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2EE90" w14:textId="133B7A4E" w:rsidR="001C3F9D" w:rsidRDefault="001C3F9D" w:rsidP="001C3F9D">
      <w:pPr>
        <w:rPr>
          <w:rFonts w:ascii="Arial" w:hAnsi="Arial" w:cs="Arial"/>
          <w:b/>
          <w:bCs/>
        </w:rPr>
      </w:pPr>
      <w:r>
        <w:rPr>
          <w:rFonts w:ascii="Arial" w:hAnsi="Arial" w:cs="Arial"/>
          <w:b/>
          <w:bCs/>
        </w:rPr>
        <w:t>Additional File</w:t>
      </w:r>
      <w:r w:rsidRPr="000F1004">
        <w:rPr>
          <w:rFonts w:ascii="Arial" w:hAnsi="Arial" w:cs="Arial"/>
          <w:b/>
          <w:bCs/>
        </w:rPr>
        <w:t xml:space="preserve"> 1: RE-AIM Framework</w:t>
      </w:r>
      <w:r>
        <w:rPr>
          <w:rFonts w:ascii="Arial" w:hAnsi="Arial" w:cs="Arial"/>
          <w:b/>
          <w:bCs/>
        </w:rPr>
        <w:t xml:space="preserve"> </w:t>
      </w:r>
    </w:p>
    <w:p w14:paraId="6796F6BB" w14:textId="77777777" w:rsidR="001C3F9D" w:rsidRPr="000F1004" w:rsidRDefault="001C3F9D" w:rsidP="001C3F9D">
      <w:pPr>
        <w:rPr>
          <w:rFonts w:ascii="Arial" w:hAnsi="Arial" w:cs="Arial"/>
          <w:b/>
          <w:bCs/>
        </w:rPr>
      </w:pPr>
      <w:r>
        <w:rPr>
          <w:rFonts w:ascii="Arial" w:hAnsi="Arial" w:cs="Arial"/>
        </w:rPr>
        <w:t>(</w:t>
      </w:r>
      <w:r w:rsidRPr="00C3777B">
        <w:rPr>
          <w:rFonts w:ascii="Arial" w:hAnsi="Arial" w:cs="Arial"/>
        </w:rPr>
        <w:t>This is included to present the results in a context appropriate for implementation resear</w:t>
      </w:r>
      <w:r w:rsidRPr="009A16A8">
        <w:rPr>
          <w:rFonts w:ascii="Arial" w:hAnsi="Arial" w:cs="Arial"/>
        </w:rPr>
        <w:t>ch.)</w:t>
      </w:r>
    </w:p>
    <w:tbl>
      <w:tblPr>
        <w:tblpPr w:leftFromText="180" w:rightFromText="180" w:vertAnchor="text" w:horzAnchor="margin" w:tblpY="364"/>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2070"/>
        <w:gridCol w:w="5558"/>
      </w:tblGrid>
      <w:tr w:rsidR="001C3F9D" w:rsidRPr="000F1004" w14:paraId="497ADF6B" w14:textId="77777777" w:rsidTr="00094B33">
        <w:tc>
          <w:tcPr>
            <w:tcW w:w="170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2C6A7236" w14:textId="77777777" w:rsidR="009A16A8" w:rsidRDefault="009A16A8" w:rsidP="00094B33">
            <w:pPr>
              <w:spacing w:after="0" w:line="240" w:lineRule="auto"/>
              <w:jc w:val="center"/>
              <w:textAlignment w:val="baseline"/>
              <w:rPr>
                <w:rFonts w:ascii="Arial" w:eastAsia="Times New Roman" w:hAnsi="Arial" w:cs="Arial"/>
                <w:b/>
                <w:bCs/>
              </w:rPr>
            </w:pPr>
          </w:p>
          <w:p w14:paraId="25845DD8" w14:textId="275CD7DA" w:rsidR="001C3F9D" w:rsidRPr="000F1004" w:rsidRDefault="001C3F9D" w:rsidP="00094B33">
            <w:pPr>
              <w:spacing w:after="0" w:line="240" w:lineRule="auto"/>
              <w:jc w:val="center"/>
              <w:textAlignment w:val="baseline"/>
              <w:rPr>
                <w:rFonts w:ascii="Arial" w:eastAsia="Times New Roman" w:hAnsi="Arial" w:cs="Arial"/>
                <w:sz w:val="24"/>
                <w:szCs w:val="24"/>
              </w:rPr>
            </w:pPr>
            <w:r w:rsidRPr="000F1004">
              <w:rPr>
                <w:rFonts w:ascii="Arial" w:eastAsia="Times New Roman" w:hAnsi="Arial" w:cs="Arial"/>
                <w:b/>
                <w:bCs/>
              </w:rPr>
              <w:t>RE-AIM Dimension</w:t>
            </w:r>
          </w:p>
        </w:tc>
        <w:tc>
          <w:tcPr>
            <w:tcW w:w="207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6210EF40" w14:textId="77777777" w:rsidR="001C3F9D" w:rsidRDefault="001C3F9D" w:rsidP="00094B33">
            <w:pPr>
              <w:spacing w:after="0" w:line="240" w:lineRule="auto"/>
              <w:jc w:val="center"/>
              <w:textAlignment w:val="baseline"/>
              <w:rPr>
                <w:rFonts w:ascii="Arial" w:eastAsia="Times New Roman" w:hAnsi="Arial" w:cs="Arial"/>
                <w:b/>
                <w:bCs/>
              </w:rPr>
            </w:pPr>
          </w:p>
          <w:p w14:paraId="0CD52BF1" w14:textId="77777777" w:rsidR="009A16A8" w:rsidRDefault="009A16A8" w:rsidP="00094B33">
            <w:pPr>
              <w:spacing w:after="0" w:line="240" w:lineRule="auto"/>
              <w:jc w:val="center"/>
              <w:textAlignment w:val="baseline"/>
              <w:rPr>
                <w:rFonts w:ascii="Arial" w:eastAsia="Times New Roman" w:hAnsi="Arial" w:cs="Arial"/>
                <w:b/>
                <w:bCs/>
              </w:rPr>
            </w:pPr>
          </w:p>
          <w:p w14:paraId="3EB7448A" w14:textId="0AAC3E0D" w:rsidR="001C3F9D" w:rsidRPr="000F1004" w:rsidRDefault="001C3F9D" w:rsidP="00094B33">
            <w:pPr>
              <w:spacing w:after="0" w:line="240" w:lineRule="auto"/>
              <w:jc w:val="center"/>
              <w:textAlignment w:val="baseline"/>
              <w:rPr>
                <w:rFonts w:ascii="Arial" w:eastAsia="Times New Roman" w:hAnsi="Arial" w:cs="Arial"/>
              </w:rPr>
            </w:pPr>
            <w:r w:rsidRPr="000F1004">
              <w:rPr>
                <w:rFonts w:ascii="Arial" w:eastAsia="Times New Roman" w:hAnsi="Arial" w:cs="Arial"/>
                <w:b/>
                <w:bCs/>
              </w:rPr>
              <w:t>Definition</w:t>
            </w:r>
          </w:p>
          <w:p w14:paraId="36CD7947" w14:textId="77777777" w:rsidR="001C3F9D" w:rsidRPr="000F1004" w:rsidRDefault="001C3F9D" w:rsidP="009A16A8">
            <w:pPr>
              <w:spacing w:after="0" w:line="240" w:lineRule="auto"/>
              <w:textAlignment w:val="baseline"/>
              <w:rPr>
                <w:rFonts w:ascii="Arial" w:eastAsia="Times New Roman" w:hAnsi="Arial" w:cs="Arial"/>
                <w:sz w:val="24"/>
                <w:szCs w:val="24"/>
              </w:rPr>
            </w:pPr>
          </w:p>
          <w:p w14:paraId="03B26945" w14:textId="77777777" w:rsidR="001C3F9D" w:rsidRPr="000F1004" w:rsidRDefault="001C3F9D" w:rsidP="00094B33">
            <w:pPr>
              <w:spacing w:after="0" w:line="240" w:lineRule="auto"/>
              <w:jc w:val="center"/>
              <w:textAlignment w:val="baseline"/>
              <w:rPr>
                <w:rFonts w:ascii="Arial" w:eastAsia="Times New Roman" w:hAnsi="Arial" w:cs="Arial"/>
                <w:sz w:val="24"/>
                <w:szCs w:val="24"/>
              </w:rPr>
            </w:pPr>
          </w:p>
        </w:tc>
        <w:tc>
          <w:tcPr>
            <w:tcW w:w="55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hideMark/>
          </w:tcPr>
          <w:p w14:paraId="6E7D32B0" w14:textId="77777777" w:rsidR="001C3F9D" w:rsidRDefault="001C3F9D" w:rsidP="00094B33">
            <w:pPr>
              <w:spacing w:after="0" w:line="240" w:lineRule="auto"/>
              <w:jc w:val="center"/>
              <w:textAlignment w:val="baseline"/>
              <w:rPr>
                <w:rFonts w:ascii="Arial" w:eastAsia="Times New Roman" w:hAnsi="Arial" w:cs="Arial"/>
                <w:b/>
                <w:bCs/>
              </w:rPr>
            </w:pPr>
          </w:p>
          <w:p w14:paraId="41EC754D" w14:textId="77777777" w:rsidR="009A16A8" w:rsidRDefault="009A16A8" w:rsidP="00094B33">
            <w:pPr>
              <w:spacing w:after="0" w:line="240" w:lineRule="auto"/>
              <w:jc w:val="center"/>
              <w:textAlignment w:val="baseline"/>
              <w:rPr>
                <w:rFonts w:ascii="Arial" w:eastAsia="Times New Roman" w:hAnsi="Arial" w:cs="Arial"/>
                <w:b/>
                <w:bCs/>
              </w:rPr>
            </w:pPr>
          </w:p>
          <w:p w14:paraId="540E73BC" w14:textId="690362A6" w:rsidR="001C3F9D" w:rsidRPr="000F1004" w:rsidRDefault="001C3F9D" w:rsidP="00094B33">
            <w:pPr>
              <w:spacing w:after="0" w:line="240" w:lineRule="auto"/>
              <w:jc w:val="center"/>
              <w:textAlignment w:val="baseline"/>
              <w:rPr>
                <w:rFonts w:ascii="Arial" w:eastAsia="Times New Roman" w:hAnsi="Arial" w:cs="Arial"/>
                <w:sz w:val="24"/>
                <w:szCs w:val="24"/>
              </w:rPr>
            </w:pPr>
            <w:r w:rsidRPr="000F1004">
              <w:rPr>
                <w:rFonts w:ascii="Arial" w:eastAsia="Times New Roman" w:hAnsi="Arial" w:cs="Arial"/>
                <w:b/>
                <w:bCs/>
              </w:rPr>
              <w:t>Outcome</w:t>
            </w:r>
          </w:p>
        </w:tc>
      </w:tr>
      <w:tr w:rsidR="001C3F9D" w:rsidRPr="000F1004" w14:paraId="7DC19F83" w14:textId="77777777" w:rsidTr="00094B33">
        <w:tc>
          <w:tcPr>
            <w:tcW w:w="1702" w:type="dxa"/>
            <w:tcBorders>
              <w:top w:val="single" w:sz="6" w:space="0" w:color="FFFFFF" w:themeColor="background1"/>
              <w:left w:val="single" w:sz="6" w:space="0" w:color="000000"/>
              <w:bottom w:val="single" w:sz="6" w:space="0" w:color="000000"/>
              <w:right w:val="single" w:sz="6" w:space="0" w:color="000000"/>
            </w:tcBorders>
            <w:shd w:val="clear" w:color="auto" w:fill="auto"/>
            <w:hideMark/>
          </w:tcPr>
          <w:p w14:paraId="09D9E9D6"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b/>
                <w:bCs/>
              </w:rPr>
              <w:t>Reach</w:t>
            </w:r>
            <w:r w:rsidRPr="000F1004">
              <w:rPr>
                <w:rFonts w:ascii="Arial" w:eastAsia="Times New Roman" w:hAnsi="Arial" w:cs="Arial"/>
              </w:rPr>
              <w:t> </w:t>
            </w:r>
          </w:p>
        </w:tc>
        <w:tc>
          <w:tcPr>
            <w:tcW w:w="2070" w:type="dxa"/>
            <w:tcBorders>
              <w:top w:val="single" w:sz="6" w:space="0" w:color="FFFFFF" w:themeColor="background1"/>
              <w:left w:val="single" w:sz="6" w:space="0" w:color="000000"/>
              <w:bottom w:val="single" w:sz="6" w:space="0" w:color="000000"/>
              <w:right w:val="single" w:sz="6" w:space="0" w:color="000000"/>
            </w:tcBorders>
            <w:shd w:val="clear" w:color="auto" w:fill="auto"/>
            <w:hideMark/>
          </w:tcPr>
          <w:p w14:paraId="07EC61AE"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rPr>
              <w:t>Proportion of patients receiving any intervention </w:t>
            </w:r>
          </w:p>
        </w:tc>
        <w:tc>
          <w:tcPr>
            <w:tcW w:w="5558" w:type="dxa"/>
            <w:tcBorders>
              <w:top w:val="single" w:sz="6" w:space="0" w:color="FFFFFF" w:themeColor="background1"/>
              <w:left w:val="single" w:sz="6" w:space="0" w:color="000000"/>
              <w:bottom w:val="single" w:sz="6" w:space="0" w:color="000000"/>
              <w:right w:val="single" w:sz="6" w:space="0" w:color="000000"/>
            </w:tcBorders>
            <w:shd w:val="clear" w:color="auto" w:fill="auto"/>
            <w:hideMark/>
          </w:tcPr>
          <w:p w14:paraId="126C06C3" w14:textId="77777777" w:rsidR="001C3F9D" w:rsidRPr="000F1004" w:rsidRDefault="001C3F9D" w:rsidP="00094B33">
            <w:pPr>
              <w:spacing w:after="0" w:line="240" w:lineRule="auto"/>
              <w:textAlignment w:val="baseline"/>
              <w:rPr>
                <w:rFonts w:ascii="Arial" w:eastAsia="Times New Roman" w:hAnsi="Arial" w:cs="Arial"/>
                <w:color w:val="0078D4"/>
                <w:u w:val="single"/>
              </w:rPr>
            </w:pPr>
            <w:r w:rsidRPr="000F1004">
              <w:rPr>
                <w:rFonts w:ascii="Arial" w:eastAsia="Times New Roman" w:hAnsi="Arial" w:cs="Arial"/>
              </w:rPr>
              <w:t>Quantitative:</w:t>
            </w:r>
            <w:r w:rsidRPr="000F1004">
              <w:rPr>
                <w:rFonts w:ascii="Arial" w:eastAsia="Times New Roman" w:hAnsi="Arial" w:cs="Arial"/>
                <w:color w:val="0078D4"/>
                <w:u w:val="single"/>
              </w:rPr>
              <w:t xml:space="preserve"> </w:t>
            </w:r>
          </w:p>
          <w:p w14:paraId="554C234E" w14:textId="77777777" w:rsidR="001C3F9D" w:rsidRPr="000F1004" w:rsidRDefault="001C3F9D" w:rsidP="00094B33">
            <w:pPr>
              <w:spacing w:after="0" w:line="240" w:lineRule="auto"/>
              <w:textAlignment w:val="baseline"/>
              <w:rPr>
                <w:rFonts w:ascii="Arial" w:eastAsia="Times New Roman" w:hAnsi="Arial" w:cs="Arial"/>
              </w:rPr>
            </w:pPr>
            <w:r w:rsidRPr="000F1004">
              <w:rPr>
                <w:rFonts w:ascii="Arial" w:eastAsia="Times New Roman" w:hAnsi="Arial" w:cs="Arial"/>
              </w:rPr>
              <w:t>Number of patients receiving outreach (Figures 2</w:t>
            </w:r>
            <w:r>
              <w:rPr>
                <w:rFonts w:ascii="Arial" w:eastAsia="Times New Roman" w:hAnsi="Arial" w:cs="Arial"/>
              </w:rPr>
              <w:t>A and 2B</w:t>
            </w:r>
            <w:r w:rsidRPr="000F1004">
              <w:rPr>
                <w:rFonts w:ascii="Arial" w:eastAsia="Times New Roman" w:hAnsi="Arial" w:cs="Arial"/>
              </w:rPr>
              <w:t xml:space="preserve">), which change over </w:t>
            </w:r>
            <w:proofErr w:type="gramStart"/>
            <w:r w:rsidRPr="000F1004">
              <w:rPr>
                <w:rFonts w:ascii="Arial" w:eastAsia="Times New Roman" w:hAnsi="Arial" w:cs="Arial"/>
              </w:rPr>
              <w:t>time</w:t>
            </w:r>
            <w:proofErr w:type="gramEnd"/>
          </w:p>
          <w:p w14:paraId="64F35794" w14:textId="77777777" w:rsidR="001C3F9D" w:rsidRPr="000F1004" w:rsidRDefault="001C3F9D" w:rsidP="00094B33">
            <w:pPr>
              <w:spacing w:after="0" w:line="240" w:lineRule="auto"/>
              <w:textAlignment w:val="baseline"/>
              <w:rPr>
                <w:rFonts w:ascii="Arial" w:eastAsia="Times New Roman" w:hAnsi="Arial" w:cs="Arial"/>
                <w:i/>
                <w:iCs/>
              </w:rPr>
            </w:pPr>
          </w:p>
          <w:p w14:paraId="6673A659" w14:textId="77777777" w:rsidR="001C3F9D" w:rsidRPr="000F1004" w:rsidRDefault="001C3F9D" w:rsidP="00094B33">
            <w:pPr>
              <w:spacing w:after="0" w:line="240" w:lineRule="auto"/>
              <w:textAlignment w:val="baseline"/>
              <w:rPr>
                <w:rFonts w:ascii="Arial" w:eastAsia="Times New Roman" w:hAnsi="Arial" w:cs="Arial"/>
                <w:sz w:val="24"/>
                <w:szCs w:val="24"/>
              </w:rPr>
            </w:pPr>
          </w:p>
        </w:tc>
      </w:tr>
      <w:tr w:rsidR="001C3F9D" w:rsidRPr="000F1004" w14:paraId="4D0C7249" w14:textId="77777777" w:rsidTr="00094B33">
        <w:tc>
          <w:tcPr>
            <w:tcW w:w="1702" w:type="dxa"/>
            <w:tcBorders>
              <w:top w:val="single" w:sz="6" w:space="0" w:color="000000"/>
              <w:left w:val="single" w:sz="6" w:space="0" w:color="000000"/>
              <w:bottom w:val="single" w:sz="6" w:space="0" w:color="000000"/>
              <w:right w:val="single" w:sz="6" w:space="0" w:color="000000"/>
            </w:tcBorders>
            <w:shd w:val="clear" w:color="auto" w:fill="auto"/>
            <w:hideMark/>
          </w:tcPr>
          <w:p w14:paraId="0811561C"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b/>
                <w:bCs/>
              </w:rPr>
              <w:t>Effectiveness</w:t>
            </w:r>
            <w:r w:rsidRPr="000F1004">
              <w:rPr>
                <w:rFonts w:ascii="Arial" w:eastAsia="Times New Roman" w:hAnsi="Arial" w:cs="Arial"/>
              </w:rPr>
              <w:t> </w:t>
            </w:r>
          </w:p>
        </w:tc>
        <w:tc>
          <w:tcPr>
            <w:tcW w:w="2070" w:type="dxa"/>
            <w:tcBorders>
              <w:top w:val="single" w:sz="6" w:space="0" w:color="000000"/>
              <w:left w:val="single" w:sz="6" w:space="0" w:color="000000"/>
              <w:bottom w:val="single" w:sz="6" w:space="0" w:color="000000"/>
              <w:right w:val="single" w:sz="6" w:space="0" w:color="000000"/>
            </w:tcBorders>
            <w:shd w:val="clear" w:color="auto" w:fill="auto"/>
            <w:hideMark/>
          </w:tcPr>
          <w:p w14:paraId="1C212AD8"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rPr>
              <w:t xml:space="preserve">Change in medication optimization over </w:t>
            </w:r>
            <w:proofErr w:type="gramStart"/>
            <w:r w:rsidRPr="000F1004">
              <w:rPr>
                <w:rFonts w:ascii="Arial" w:eastAsia="Times New Roman" w:hAnsi="Arial" w:cs="Arial"/>
              </w:rPr>
              <w:t>time</w:t>
            </w:r>
            <w:proofErr w:type="gramEnd"/>
            <w:r w:rsidRPr="000F1004">
              <w:rPr>
                <w:rFonts w:ascii="Arial" w:eastAsia="Times New Roman" w:hAnsi="Arial" w:cs="Arial"/>
              </w:rPr>
              <w:t> </w:t>
            </w:r>
          </w:p>
          <w:p w14:paraId="3F755C90" w14:textId="77777777" w:rsidR="001C3F9D" w:rsidRPr="000F1004" w:rsidRDefault="001C3F9D" w:rsidP="00094B33">
            <w:pPr>
              <w:spacing w:after="0" w:line="240" w:lineRule="auto"/>
              <w:textAlignment w:val="baseline"/>
              <w:rPr>
                <w:rFonts w:ascii="Arial" w:eastAsia="Times New Roman" w:hAnsi="Arial" w:cs="Arial"/>
                <w:sz w:val="24"/>
                <w:szCs w:val="24"/>
              </w:rPr>
            </w:pPr>
          </w:p>
        </w:tc>
        <w:tc>
          <w:tcPr>
            <w:tcW w:w="5558" w:type="dxa"/>
            <w:tcBorders>
              <w:top w:val="single" w:sz="6" w:space="0" w:color="000000"/>
              <w:left w:val="single" w:sz="6" w:space="0" w:color="000000"/>
              <w:bottom w:val="single" w:sz="6" w:space="0" w:color="000000"/>
              <w:right w:val="single" w:sz="6" w:space="0" w:color="000000"/>
            </w:tcBorders>
            <w:shd w:val="clear" w:color="auto" w:fill="auto"/>
            <w:hideMark/>
          </w:tcPr>
          <w:p w14:paraId="146CCDB7"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rPr>
              <w:t>Quantitative: </w:t>
            </w:r>
          </w:p>
          <w:p w14:paraId="2D1CB14F" w14:textId="77777777" w:rsidR="001C3F9D" w:rsidRPr="000F1004" w:rsidRDefault="001C3F9D" w:rsidP="00094B33">
            <w:pPr>
              <w:spacing w:after="0" w:line="240" w:lineRule="auto"/>
              <w:textAlignment w:val="baseline"/>
              <w:rPr>
                <w:rFonts w:ascii="Arial" w:eastAsia="Times New Roman" w:hAnsi="Arial" w:cs="Arial"/>
              </w:rPr>
            </w:pPr>
            <w:r w:rsidRPr="000F1004">
              <w:rPr>
                <w:rFonts w:ascii="Arial" w:eastAsia="Times New Roman" w:hAnsi="Arial" w:cs="Arial"/>
              </w:rPr>
              <w:t>% of patients with T2DM and CKD, ASCVD, or HF</w:t>
            </w:r>
            <w:r w:rsidRPr="000F1004">
              <w:rPr>
                <w:rFonts w:ascii="Arial" w:eastAsia="Times New Roman" w:hAnsi="Arial" w:cs="Arial"/>
                <w:color w:val="0078D4"/>
              </w:rPr>
              <w:t xml:space="preserve"> </w:t>
            </w:r>
            <w:r w:rsidRPr="000F1004">
              <w:rPr>
                <w:rFonts w:ascii="Arial" w:eastAsia="Times New Roman" w:hAnsi="Arial" w:cs="Arial"/>
              </w:rPr>
              <w:t xml:space="preserve">on an SGLT2 inhibitor or GLP-1 RA (Figure </w:t>
            </w:r>
            <w:r>
              <w:rPr>
                <w:rFonts w:ascii="Arial" w:eastAsia="Times New Roman" w:hAnsi="Arial" w:cs="Arial"/>
              </w:rPr>
              <w:t>3</w:t>
            </w:r>
            <w:r w:rsidRPr="000F1004">
              <w:rPr>
                <w:rFonts w:ascii="Arial" w:eastAsia="Times New Roman" w:hAnsi="Arial" w:cs="Arial"/>
              </w:rPr>
              <w:t xml:space="preserve">) </w:t>
            </w:r>
          </w:p>
          <w:p w14:paraId="40CAF6A5" w14:textId="77777777" w:rsidR="001C3F9D" w:rsidRPr="000F1004" w:rsidRDefault="001C3F9D" w:rsidP="00094B33">
            <w:pPr>
              <w:spacing w:after="0" w:line="240" w:lineRule="auto"/>
              <w:textAlignment w:val="baseline"/>
              <w:rPr>
                <w:rFonts w:ascii="Arial" w:eastAsia="Times New Roman" w:hAnsi="Arial" w:cs="Arial"/>
                <w:sz w:val="24"/>
                <w:szCs w:val="24"/>
              </w:rPr>
            </w:pPr>
          </w:p>
          <w:p w14:paraId="4564F4B4" w14:textId="77777777" w:rsidR="001C3F9D" w:rsidRPr="000F1004" w:rsidRDefault="001C3F9D" w:rsidP="00094B33">
            <w:pPr>
              <w:spacing w:after="0" w:line="240" w:lineRule="auto"/>
              <w:textAlignment w:val="baseline"/>
              <w:rPr>
                <w:rFonts w:ascii="Arial" w:eastAsia="Times New Roman" w:hAnsi="Arial" w:cs="Arial"/>
                <w:sz w:val="24"/>
                <w:szCs w:val="24"/>
              </w:rPr>
            </w:pPr>
          </w:p>
        </w:tc>
      </w:tr>
      <w:tr w:rsidR="001C3F9D" w:rsidRPr="000F1004" w14:paraId="73C7ED8D" w14:textId="77777777" w:rsidTr="00094B33">
        <w:tc>
          <w:tcPr>
            <w:tcW w:w="1702" w:type="dxa"/>
            <w:tcBorders>
              <w:top w:val="single" w:sz="6" w:space="0" w:color="000000"/>
              <w:left w:val="single" w:sz="6" w:space="0" w:color="000000"/>
              <w:bottom w:val="single" w:sz="6" w:space="0" w:color="000000"/>
              <w:right w:val="single" w:sz="6" w:space="0" w:color="000000"/>
            </w:tcBorders>
            <w:shd w:val="clear" w:color="auto" w:fill="auto"/>
            <w:hideMark/>
          </w:tcPr>
          <w:p w14:paraId="71892CA3"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b/>
                <w:bCs/>
              </w:rPr>
              <w:t>Adoption</w:t>
            </w:r>
            <w:r w:rsidRPr="000F1004">
              <w:rPr>
                <w:rFonts w:ascii="Arial" w:eastAsia="Times New Roman" w:hAnsi="Arial" w:cs="Arial"/>
              </w:rPr>
              <w:t> </w:t>
            </w:r>
          </w:p>
        </w:tc>
        <w:tc>
          <w:tcPr>
            <w:tcW w:w="2070" w:type="dxa"/>
            <w:tcBorders>
              <w:top w:val="single" w:sz="6" w:space="0" w:color="000000"/>
              <w:left w:val="single" w:sz="6" w:space="0" w:color="000000"/>
              <w:bottom w:val="single" w:sz="6" w:space="0" w:color="000000"/>
              <w:right w:val="single" w:sz="6" w:space="0" w:color="000000"/>
            </w:tcBorders>
            <w:shd w:val="clear" w:color="auto" w:fill="auto"/>
            <w:hideMark/>
          </w:tcPr>
          <w:p w14:paraId="36826C6A"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rPr>
              <w:t># and % of intervention agents participating (defined as providing outreach outside of scheduled care)</w:t>
            </w:r>
          </w:p>
        </w:tc>
        <w:tc>
          <w:tcPr>
            <w:tcW w:w="5558" w:type="dxa"/>
            <w:tcBorders>
              <w:top w:val="single" w:sz="6" w:space="0" w:color="000000"/>
              <w:left w:val="single" w:sz="6" w:space="0" w:color="000000"/>
              <w:bottom w:val="single" w:sz="6" w:space="0" w:color="000000"/>
              <w:right w:val="single" w:sz="6" w:space="0" w:color="000000"/>
            </w:tcBorders>
            <w:shd w:val="clear" w:color="auto" w:fill="auto"/>
            <w:hideMark/>
          </w:tcPr>
          <w:p w14:paraId="4485FA72"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rPr>
              <w:t>Quantitative: </w:t>
            </w:r>
          </w:p>
          <w:p w14:paraId="62E5BC62" w14:textId="77777777" w:rsidR="001C3F9D" w:rsidRPr="000F1004" w:rsidRDefault="001C3F9D" w:rsidP="00094B33">
            <w:pPr>
              <w:spacing w:after="0" w:line="240" w:lineRule="auto"/>
              <w:textAlignment w:val="baseline"/>
              <w:rPr>
                <w:rFonts w:ascii="Arial" w:eastAsia="Times New Roman" w:hAnsi="Arial" w:cs="Arial"/>
              </w:rPr>
            </w:pPr>
            <w:r w:rsidRPr="000F1004">
              <w:rPr>
                <w:rFonts w:ascii="Arial" w:eastAsia="Times New Roman" w:hAnsi="Arial" w:cs="Arial"/>
              </w:rPr>
              <w:t xml:space="preserve">Home telehealth nurses: (7/7 HT nurses participated) 100% </w:t>
            </w:r>
            <w:proofErr w:type="gramStart"/>
            <w:r w:rsidRPr="000F1004">
              <w:rPr>
                <w:rFonts w:ascii="Arial" w:eastAsia="Times New Roman" w:hAnsi="Arial" w:cs="Arial"/>
              </w:rPr>
              <w:t>participation</w:t>
            </w:r>
            <w:proofErr w:type="gramEnd"/>
            <w:r w:rsidRPr="000F1004">
              <w:rPr>
                <w:rFonts w:ascii="Arial" w:eastAsia="Times New Roman" w:hAnsi="Arial" w:cs="Arial"/>
              </w:rPr>
              <w:t xml:space="preserve"> </w:t>
            </w:r>
          </w:p>
          <w:p w14:paraId="2278D4B2" w14:textId="77777777" w:rsidR="001C3F9D" w:rsidRPr="000F1004" w:rsidRDefault="001C3F9D" w:rsidP="00094B33">
            <w:pPr>
              <w:spacing w:after="0" w:line="240" w:lineRule="auto"/>
              <w:textAlignment w:val="baseline"/>
              <w:rPr>
                <w:rFonts w:ascii="Arial" w:eastAsia="Times New Roman" w:hAnsi="Arial" w:cs="Arial"/>
                <w:sz w:val="24"/>
                <w:szCs w:val="24"/>
              </w:rPr>
            </w:pPr>
          </w:p>
          <w:p w14:paraId="10846305" w14:textId="77777777" w:rsidR="001C3F9D" w:rsidRPr="000F1004" w:rsidRDefault="001C3F9D" w:rsidP="00094B33">
            <w:pPr>
              <w:spacing w:after="0" w:line="240" w:lineRule="auto"/>
              <w:textAlignment w:val="baseline"/>
              <w:rPr>
                <w:rFonts w:ascii="Arial" w:eastAsia="Times New Roman" w:hAnsi="Arial" w:cs="Arial"/>
              </w:rPr>
            </w:pPr>
            <w:r w:rsidRPr="000F1004">
              <w:rPr>
                <w:rFonts w:ascii="Arial" w:eastAsia="Times New Roman" w:hAnsi="Arial" w:cs="Arial"/>
              </w:rPr>
              <w:t>Pharmacists: (13/16 of clinical pharmacist practitioners participated) 81% participation</w:t>
            </w:r>
          </w:p>
          <w:p w14:paraId="41D76CB1" w14:textId="77777777" w:rsidR="001C3F9D" w:rsidRPr="000F1004" w:rsidRDefault="001C3F9D" w:rsidP="00094B33">
            <w:pPr>
              <w:spacing w:after="0" w:line="240" w:lineRule="auto"/>
              <w:textAlignment w:val="baseline"/>
              <w:rPr>
                <w:rFonts w:ascii="Arial" w:eastAsia="Times New Roman" w:hAnsi="Arial" w:cs="Arial"/>
                <w:sz w:val="24"/>
                <w:szCs w:val="24"/>
              </w:rPr>
            </w:pPr>
          </w:p>
          <w:p w14:paraId="00718CC9" w14:textId="77777777" w:rsidR="001C3F9D" w:rsidRPr="000F1004" w:rsidRDefault="001C3F9D" w:rsidP="00094B33">
            <w:pPr>
              <w:spacing w:after="0" w:line="240" w:lineRule="auto"/>
              <w:textAlignment w:val="baseline"/>
              <w:rPr>
                <w:rFonts w:ascii="Arial" w:eastAsia="Times New Roman" w:hAnsi="Arial" w:cs="Arial"/>
              </w:rPr>
            </w:pPr>
            <w:r w:rsidRPr="000F1004">
              <w:rPr>
                <w:rFonts w:ascii="Arial" w:eastAsia="Times New Roman" w:hAnsi="Arial" w:cs="Arial"/>
              </w:rPr>
              <w:t xml:space="preserve">PCPs: Were not asked to provide outreach outside of scheduled </w:t>
            </w:r>
            <w:proofErr w:type="gramStart"/>
            <w:r w:rsidRPr="000F1004">
              <w:rPr>
                <w:rFonts w:ascii="Arial" w:eastAsia="Times New Roman" w:hAnsi="Arial" w:cs="Arial"/>
              </w:rPr>
              <w:t>care</w:t>
            </w:r>
            <w:proofErr w:type="gramEnd"/>
          </w:p>
          <w:p w14:paraId="1F329D44" w14:textId="77777777" w:rsidR="001C3F9D" w:rsidRPr="000F1004" w:rsidRDefault="001C3F9D" w:rsidP="00094B33">
            <w:pPr>
              <w:spacing w:after="0" w:line="240" w:lineRule="auto"/>
              <w:textAlignment w:val="baseline"/>
              <w:rPr>
                <w:rFonts w:ascii="Arial" w:eastAsia="Times New Roman" w:hAnsi="Arial" w:cs="Arial"/>
                <w:i/>
                <w:iCs/>
                <w:sz w:val="24"/>
                <w:szCs w:val="24"/>
              </w:rPr>
            </w:pPr>
          </w:p>
        </w:tc>
      </w:tr>
      <w:tr w:rsidR="001C3F9D" w:rsidRPr="000F1004" w14:paraId="248A5E0F" w14:textId="77777777" w:rsidTr="009A16A8">
        <w:trPr>
          <w:trHeight w:val="4938"/>
        </w:trPr>
        <w:tc>
          <w:tcPr>
            <w:tcW w:w="1702" w:type="dxa"/>
            <w:tcBorders>
              <w:top w:val="single" w:sz="6" w:space="0" w:color="000000"/>
              <w:left w:val="single" w:sz="6" w:space="0" w:color="000000"/>
              <w:bottom w:val="single" w:sz="6" w:space="0" w:color="000000"/>
              <w:right w:val="single" w:sz="6" w:space="0" w:color="000000"/>
            </w:tcBorders>
            <w:shd w:val="clear" w:color="auto" w:fill="auto"/>
            <w:hideMark/>
          </w:tcPr>
          <w:p w14:paraId="57F13A3D"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b/>
                <w:bCs/>
              </w:rPr>
              <w:t>Implementation</w:t>
            </w:r>
            <w:r w:rsidRPr="000F1004">
              <w:rPr>
                <w:rFonts w:ascii="Arial" w:eastAsia="Times New Roman" w:hAnsi="Arial" w:cs="Arial"/>
              </w:rPr>
              <w:t> </w:t>
            </w:r>
          </w:p>
        </w:tc>
        <w:tc>
          <w:tcPr>
            <w:tcW w:w="2070" w:type="dxa"/>
            <w:tcBorders>
              <w:top w:val="single" w:sz="6" w:space="0" w:color="000000"/>
              <w:left w:val="single" w:sz="6" w:space="0" w:color="000000"/>
              <w:bottom w:val="single" w:sz="6" w:space="0" w:color="000000"/>
              <w:right w:val="single" w:sz="6" w:space="0" w:color="000000"/>
            </w:tcBorders>
            <w:shd w:val="clear" w:color="auto" w:fill="auto"/>
            <w:hideMark/>
          </w:tcPr>
          <w:p w14:paraId="5C5409B4"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rPr>
              <w:t>Measure of fidelity, burden, and adaptation</w:t>
            </w:r>
          </w:p>
        </w:tc>
        <w:tc>
          <w:tcPr>
            <w:tcW w:w="5558" w:type="dxa"/>
            <w:tcBorders>
              <w:top w:val="single" w:sz="6" w:space="0" w:color="000000"/>
              <w:left w:val="single" w:sz="6" w:space="0" w:color="000000"/>
              <w:bottom w:val="single" w:sz="6" w:space="0" w:color="000000"/>
              <w:right w:val="single" w:sz="6" w:space="0" w:color="000000"/>
            </w:tcBorders>
            <w:shd w:val="clear" w:color="auto" w:fill="auto"/>
            <w:hideMark/>
          </w:tcPr>
          <w:p w14:paraId="1F052C8A" w14:textId="138BB711" w:rsidR="001C3F9D" w:rsidRPr="000F1004" w:rsidRDefault="001C3F9D" w:rsidP="00094B33">
            <w:pPr>
              <w:rPr>
                <w:rFonts w:ascii="Arial" w:hAnsi="Arial" w:cs="Arial"/>
                <w:b/>
                <w:bCs/>
              </w:rPr>
            </w:pPr>
            <w:r w:rsidRPr="000F1004">
              <w:rPr>
                <w:rFonts w:ascii="Arial" w:eastAsia="Calibri" w:hAnsi="Arial" w:cs="Arial"/>
              </w:rPr>
              <w:t>Survey of HT nurses and CPPs involved in outreach effort. Post-intervention, participating telehealth nurses and CPPs received a brief 7 question survey. The overall response rate was 50%, including responses from 6 (47%) CPPs and 4 (57%) nurses. Respondents varied in the level of effort with 33% reaching out to greater than 20 patients, 22% reaching out to 11-20 patients, 44% reaching out to 10 or less patients. Respondents spent on average 17 minutes at each outreach encounter. Respondents indicated that the following items facilitated their outreach efforts: education and communication about the purpose of the project and guidelines for qualifying for medication optimization, templates to assist with documentation and review, strong communication among team members, and dashboard data that were easy to use. Barriers to outreach efforts included a lack of time to complete outreach and difficulty reaching patients.</w:t>
            </w:r>
            <w:r w:rsidRPr="000F1004">
              <w:rPr>
                <w:rFonts w:ascii="Arial" w:hAnsi="Arial" w:cs="Arial"/>
                <w:b/>
                <w:bCs/>
              </w:rPr>
              <w:t xml:space="preserve"> </w:t>
            </w:r>
          </w:p>
        </w:tc>
      </w:tr>
      <w:tr w:rsidR="001C3F9D" w:rsidRPr="000F1004" w14:paraId="0139BD9D" w14:textId="77777777" w:rsidTr="00094B33">
        <w:tc>
          <w:tcPr>
            <w:tcW w:w="1702" w:type="dxa"/>
            <w:tcBorders>
              <w:top w:val="single" w:sz="6" w:space="0" w:color="000000"/>
              <w:left w:val="single" w:sz="6" w:space="0" w:color="000000"/>
              <w:bottom w:val="single" w:sz="6" w:space="0" w:color="000000"/>
              <w:right w:val="single" w:sz="6" w:space="0" w:color="000000"/>
            </w:tcBorders>
            <w:shd w:val="clear" w:color="auto" w:fill="auto"/>
            <w:hideMark/>
          </w:tcPr>
          <w:p w14:paraId="6B473A91"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b/>
                <w:bCs/>
              </w:rPr>
              <w:t>Maintenance</w:t>
            </w:r>
            <w:r w:rsidRPr="000F1004">
              <w:rPr>
                <w:rFonts w:ascii="Arial" w:eastAsia="Times New Roman" w:hAnsi="Arial" w:cs="Arial"/>
              </w:rPr>
              <w:t> </w:t>
            </w:r>
          </w:p>
        </w:tc>
        <w:tc>
          <w:tcPr>
            <w:tcW w:w="2070" w:type="dxa"/>
            <w:tcBorders>
              <w:top w:val="single" w:sz="6" w:space="0" w:color="000000"/>
              <w:left w:val="single" w:sz="6" w:space="0" w:color="000000"/>
              <w:bottom w:val="single" w:sz="6" w:space="0" w:color="000000"/>
              <w:right w:val="single" w:sz="6" w:space="0" w:color="000000"/>
            </w:tcBorders>
            <w:shd w:val="clear" w:color="auto" w:fill="auto"/>
            <w:hideMark/>
          </w:tcPr>
          <w:p w14:paraId="269EB3B4"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rPr>
              <w:t>Proportion of patients receiving medication optimization after the intervention ends </w:t>
            </w:r>
          </w:p>
        </w:tc>
        <w:tc>
          <w:tcPr>
            <w:tcW w:w="5558" w:type="dxa"/>
            <w:tcBorders>
              <w:top w:val="single" w:sz="6" w:space="0" w:color="000000"/>
              <w:left w:val="single" w:sz="6" w:space="0" w:color="000000"/>
              <w:bottom w:val="single" w:sz="6" w:space="0" w:color="000000"/>
              <w:right w:val="single" w:sz="6" w:space="0" w:color="000000"/>
            </w:tcBorders>
            <w:shd w:val="clear" w:color="auto" w:fill="auto"/>
            <w:hideMark/>
          </w:tcPr>
          <w:p w14:paraId="3160D0F1" w14:textId="77777777" w:rsidR="001C3F9D" w:rsidRPr="000F1004" w:rsidRDefault="001C3F9D" w:rsidP="00094B33">
            <w:pPr>
              <w:spacing w:after="0" w:line="240" w:lineRule="auto"/>
              <w:textAlignment w:val="baseline"/>
              <w:rPr>
                <w:rFonts w:ascii="Arial" w:eastAsia="Times New Roman" w:hAnsi="Arial" w:cs="Arial"/>
                <w:sz w:val="24"/>
                <w:szCs w:val="24"/>
              </w:rPr>
            </w:pPr>
            <w:r w:rsidRPr="000F1004">
              <w:rPr>
                <w:rFonts w:ascii="Arial" w:eastAsia="Times New Roman" w:hAnsi="Arial" w:cs="Arial"/>
              </w:rPr>
              <w:t>Quantitative: </w:t>
            </w:r>
          </w:p>
          <w:p w14:paraId="6A3C6B24" w14:textId="77777777" w:rsidR="001C3F9D" w:rsidRPr="000F1004" w:rsidRDefault="001C3F9D" w:rsidP="00094B33">
            <w:pPr>
              <w:spacing w:after="0" w:line="240" w:lineRule="auto"/>
              <w:textAlignment w:val="baseline"/>
              <w:rPr>
                <w:rFonts w:ascii="Arial" w:eastAsia="Times New Roman" w:hAnsi="Arial" w:cs="Arial"/>
              </w:rPr>
            </w:pPr>
            <w:r>
              <w:rPr>
                <w:rFonts w:ascii="Arial" w:eastAsia="Times New Roman" w:hAnsi="Arial" w:cs="Arial"/>
              </w:rPr>
              <w:t xml:space="preserve">Prescribing </w:t>
            </w:r>
            <w:r w:rsidRPr="000F1004">
              <w:rPr>
                <w:rFonts w:ascii="Arial" w:eastAsia="Times New Roman" w:hAnsi="Arial" w:cs="Arial"/>
              </w:rPr>
              <w:t xml:space="preserve">continued to increase faster than at comparison sites (see Figure </w:t>
            </w:r>
            <w:r>
              <w:rPr>
                <w:rFonts w:ascii="Arial" w:eastAsia="Times New Roman" w:hAnsi="Arial" w:cs="Arial"/>
              </w:rPr>
              <w:t>3</w:t>
            </w:r>
            <w:r w:rsidRPr="000F1004">
              <w:rPr>
                <w:rFonts w:ascii="Arial" w:eastAsia="Times New Roman" w:hAnsi="Arial" w:cs="Arial"/>
              </w:rPr>
              <w:t xml:space="preserve">) </w:t>
            </w:r>
          </w:p>
          <w:p w14:paraId="2AE729C2" w14:textId="77777777" w:rsidR="001C3F9D" w:rsidRPr="000F1004" w:rsidRDefault="001C3F9D" w:rsidP="00094B33">
            <w:pPr>
              <w:spacing w:after="0" w:line="240" w:lineRule="auto"/>
              <w:textAlignment w:val="baseline"/>
              <w:rPr>
                <w:rFonts w:ascii="Arial" w:eastAsia="Times New Roman" w:hAnsi="Arial" w:cs="Arial"/>
                <w:sz w:val="24"/>
                <w:szCs w:val="24"/>
              </w:rPr>
            </w:pPr>
          </w:p>
        </w:tc>
      </w:tr>
    </w:tbl>
    <w:p w14:paraId="1F2BE41D" w14:textId="77777777" w:rsidR="001C3F9D" w:rsidRPr="005E7E22" w:rsidRDefault="001C3F9D" w:rsidP="001C3F9D">
      <w:pPr>
        <w:rPr>
          <w:rFonts w:ascii="Arial" w:hAnsi="Arial" w:cs="Arial"/>
        </w:rPr>
      </w:pPr>
    </w:p>
    <w:p w14:paraId="4B97AD4D" w14:textId="77777777" w:rsidR="00E94C2A" w:rsidRDefault="00E94C2A"/>
    <w:sectPr w:rsidR="00E94C2A" w:rsidSect="002329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9D"/>
    <w:rsid w:val="001C3F9D"/>
    <w:rsid w:val="009A16A8"/>
    <w:rsid w:val="00E94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0B7A5"/>
  <w15:chartTrackingRefBased/>
  <w15:docId w15:val="{E0C73225-81CC-4058-9061-7967C9CB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F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Klamerus, Mandi L. (she/her/hers)</dc:creator>
  <cp:keywords/>
  <dc:description/>
  <cp:lastModifiedBy>Klamerus, Mandi L. (she/her/hers)</cp:lastModifiedBy>
  <cp:revision>1</cp:revision>
  <dcterms:created xsi:type="dcterms:W3CDTF">2024-02-28T16:14:00Z</dcterms:created>
  <dcterms:modified xsi:type="dcterms:W3CDTF">2024-02-28T16:42:00Z</dcterms:modified>
</cp:coreProperties>
</file>