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6F28" w14:textId="77777777" w:rsidR="00095BBA" w:rsidRPr="001549D3" w:rsidRDefault="00095BBA" w:rsidP="00095BBA">
      <w:pPr>
        <w:pStyle w:val="SupplementaryMaterial"/>
        <w:rPr>
          <w:b w:val="0"/>
        </w:rPr>
      </w:pPr>
      <w:r w:rsidRPr="001549D3">
        <w:t>Supplementary Material</w:t>
      </w:r>
    </w:p>
    <w:p w14:paraId="6EAA1D48" w14:textId="665BA7A9" w:rsidR="00095BBA" w:rsidRDefault="00095BBA" w:rsidP="00095BBA">
      <w:pPr>
        <w:pStyle w:val="2"/>
        <w:numPr>
          <w:ilvl w:val="0"/>
          <w:numId w:val="0"/>
        </w:numPr>
        <w:ind w:left="567" w:hanging="567"/>
      </w:pPr>
      <w:bookmarkStart w:id="0" w:name="_Hlk103196088"/>
      <w:r w:rsidRPr="0001436A">
        <w:t>Supplementary</w:t>
      </w:r>
      <w:r w:rsidRPr="001549D3">
        <w:t xml:space="preserve"> Figure</w:t>
      </w:r>
      <w:bookmarkEnd w:id="0"/>
      <w:r>
        <w:t xml:space="preserve"> </w:t>
      </w:r>
    </w:p>
    <w:p w14:paraId="0F324580" w14:textId="77777777" w:rsidR="00095BBA" w:rsidRDefault="00095BBA" w:rsidP="00095BBA">
      <w:r>
        <w:t>Based on the species abundance, the species composition of the two groups of PLC patients was analyzed in terms of phylum, class, order, family, and genus classification levels (</w:t>
      </w:r>
      <w:r w:rsidRPr="005C1620">
        <w:t xml:space="preserve">Supplementary Figure </w:t>
      </w:r>
      <w:r>
        <w:t>1A–E). The composition of the intestinal flora in the two groups was similar at each classification level, but the abundance of intestinal flora was different. The differences in flora composition and abundance between the two groups of specimens are described at the phylum, family, and genus levels (</w:t>
      </w:r>
      <w:r w:rsidRPr="0001436A">
        <w:t>Supplementary</w:t>
      </w:r>
      <w:r w:rsidRPr="001549D3">
        <w:t xml:space="preserve"> Figure</w:t>
      </w:r>
      <w:r>
        <w:t>1A, D, E).</w:t>
      </w:r>
    </w:p>
    <w:p w14:paraId="16A0FA2C" w14:textId="77777777" w:rsidR="00095BBA" w:rsidRPr="005C1620" w:rsidRDefault="00095BBA" w:rsidP="00095BBA">
      <w:r>
        <w:t xml:space="preserve">In the two groups of samples, the phyla mainly included Firmicutes, </w:t>
      </w:r>
      <w:proofErr w:type="spellStart"/>
      <w:r>
        <w:t>Bacteroidota</w:t>
      </w:r>
      <w:proofErr w:type="spellEnd"/>
      <w:r>
        <w:t xml:space="preserve">, Proteobacteria, </w:t>
      </w:r>
      <w:proofErr w:type="spellStart"/>
      <w:r>
        <w:t>Actinobacteriota</w:t>
      </w:r>
      <w:proofErr w:type="spellEnd"/>
      <w:r>
        <w:t xml:space="preserve">, </w:t>
      </w:r>
      <w:proofErr w:type="spellStart"/>
      <w:r>
        <w:t>Desulfobacterota</w:t>
      </w:r>
      <w:proofErr w:type="spellEnd"/>
      <w:r>
        <w:t xml:space="preserve">, </w:t>
      </w:r>
      <w:proofErr w:type="spellStart"/>
      <w:r>
        <w:t>Verrucomicrobiota</w:t>
      </w:r>
      <w:proofErr w:type="spellEnd"/>
      <w:r>
        <w:t xml:space="preserve">, and </w:t>
      </w:r>
      <w:proofErr w:type="spellStart"/>
      <w:r>
        <w:t>Fusobacteriota</w:t>
      </w:r>
      <w:proofErr w:type="spellEnd"/>
      <w:r>
        <w:t xml:space="preserve"> (</w:t>
      </w:r>
      <w:r w:rsidRPr="0001436A">
        <w:t>Supplementary</w:t>
      </w:r>
      <w:r w:rsidRPr="001549D3">
        <w:t xml:space="preserve"> Figure</w:t>
      </w:r>
      <w:r>
        <w:t xml:space="preserve"> 1A). Among them, the relative abundance of </w:t>
      </w:r>
      <w:proofErr w:type="spellStart"/>
      <w:r>
        <w:t>Bacteroidota</w:t>
      </w:r>
      <w:proofErr w:type="spellEnd"/>
      <w:r>
        <w:t xml:space="preserve">, Proteobacteria, </w:t>
      </w:r>
      <w:proofErr w:type="spellStart"/>
      <w:r>
        <w:t>Desulfobacterota</w:t>
      </w:r>
      <w:proofErr w:type="spellEnd"/>
      <w:r>
        <w:t xml:space="preserve">, and </w:t>
      </w:r>
      <w:proofErr w:type="spellStart"/>
      <w:r>
        <w:t>Verrucomicrobiota</w:t>
      </w:r>
      <w:proofErr w:type="spellEnd"/>
      <w:r>
        <w:t xml:space="preserve"> was decreased in patients after treatment compared to before treatment. Firmicutes and </w:t>
      </w:r>
      <w:proofErr w:type="spellStart"/>
      <w:r>
        <w:t>Actinobacteriota</w:t>
      </w:r>
      <w:proofErr w:type="spellEnd"/>
      <w:r>
        <w:t xml:space="preserve"> had a higher relative abundance in the intestinal flora of patients in the post-medication group than the pre-medication group. At the family level, the relative abundance of </w:t>
      </w:r>
      <w:proofErr w:type="spellStart"/>
      <w:r>
        <w:t>Bacteroidaceae</w:t>
      </w:r>
      <w:proofErr w:type="spellEnd"/>
      <w:r>
        <w:t xml:space="preserve">, </w:t>
      </w:r>
      <w:proofErr w:type="spellStart"/>
      <w:r>
        <w:t>Lachnospiraceae</w:t>
      </w:r>
      <w:proofErr w:type="spellEnd"/>
      <w:r>
        <w:t xml:space="preserve">, </w:t>
      </w:r>
      <w:proofErr w:type="spellStart"/>
      <w:r>
        <w:t>Ruminococcaceae</w:t>
      </w:r>
      <w:proofErr w:type="spellEnd"/>
      <w:r>
        <w:t xml:space="preserve">, </w:t>
      </w:r>
      <w:proofErr w:type="spellStart"/>
      <w:r>
        <w:t>Streptococcaceae</w:t>
      </w:r>
      <w:proofErr w:type="spellEnd"/>
      <w:r>
        <w:t xml:space="preserve">, </w:t>
      </w:r>
      <w:proofErr w:type="spellStart"/>
      <w:r>
        <w:t>Selenomonadaceae</w:t>
      </w:r>
      <w:proofErr w:type="spellEnd"/>
      <w:r>
        <w:t xml:space="preserve">, </w:t>
      </w:r>
      <w:proofErr w:type="spellStart"/>
      <w:r>
        <w:t>Bifidobacteriaceae</w:t>
      </w:r>
      <w:proofErr w:type="spellEnd"/>
      <w:r>
        <w:t xml:space="preserve">, and </w:t>
      </w:r>
      <w:proofErr w:type="spellStart"/>
      <w:r>
        <w:t>Lactobacillaceae</w:t>
      </w:r>
      <w:proofErr w:type="spellEnd"/>
      <w:r>
        <w:t xml:space="preserve"> was higher in the PV2 group than in the PV1 group (</w:t>
      </w:r>
      <w:r w:rsidRPr="0001436A">
        <w:t>Supplementary</w:t>
      </w:r>
      <w:r w:rsidRPr="001549D3">
        <w:t xml:space="preserve"> Figure</w:t>
      </w:r>
      <w:r>
        <w:t xml:space="preserve">1D). The relative abundance of Enterobacteriaceae, </w:t>
      </w:r>
      <w:proofErr w:type="spellStart"/>
      <w:r>
        <w:t>Veillonellacese</w:t>
      </w:r>
      <w:proofErr w:type="spellEnd"/>
      <w:r>
        <w:t xml:space="preserve">, and </w:t>
      </w:r>
      <w:proofErr w:type="spellStart"/>
      <w:r>
        <w:t>Prevotellaceae</w:t>
      </w:r>
      <w:proofErr w:type="spellEnd"/>
      <w:r>
        <w:t xml:space="preserve"> was lower in the PV2 group than in the PV1 group. At the genus level (</w:t>
      </w:r>
      <w:r w:rsidRPr="0001436A">
        <w:t>Supplementary</w:t>
      </w:r>
      <w:r w:rsidRPr="001549D3">
        <w:t xml:space="preserve"> Figure</w:t>
      </w:r>
      <w:r>
        <w:t xml:space="preserve">1E), the top ten species with the highest relative abundance in the two groups were Bacteroides, </w:t>
      </w:r>
      <w:proofErr w:type="spellStart"/>
      <w:r>
        <w:t>Veillonella</w:t>
      </w:r>
      <w:proofErr w:type="spellEnd"/>
      <w:r>
        <w:t xml:space="preserve">, Escherichia, Shigella, </w:t>
      </w:r>
      <w:proofErr w:type="spellStart"/>
      <w:r>
        <w:t>Prevotella</w:t>
      </w:r>
      <w:proofErr w:type="spellEnd"/>
      <w:r>
        <w:t xml:space="preserve">, Streptococcus, </w:t>
      </w:r>
      <w:proofErr w:type="spellStart"/>
      <w:r>
        <w:t>Megamonas</w:t>
      </w:r>
      <w:proofErr w:type="spellEnd"/>
      <w:r>
        <w:t xml:space="preserve">, </w:t>
      </w:r>
      <w:proofErr w:type="spellStart"/>
      <w:r>
        <w:t>Faecalibacterium</w:t>
      </w:r>
      <w:proofErr w:type="spellEnd"/>
      <w:r>
        <w:t xml:space="preserve">, </w:t>
      </w:r>
      <w:proofErr w:type="spellStart"/>
      <w:r>
        <w:t>Subdoligranulum</w:t>
      </w:r>
      <w:proofErr w:type="spellEnd"/>
      <w:r>
        <w:t xml:space="preserve">, Bifidobacterium, and </w:t>
      </w:r>
      <w:proofErr w:type="spellStart"/>
      <w:r>
        <w:t>Eisenbergiella</w:t>
      </w:r>
      <w:proofErr w:type="spellEnd"/>
      <w:r>
        <w:t xml:space="preserve">. Among them, the abundance of Bacteroides, </w:t>
      </w:r>
      <w:proofErr w:type="spellStart"/>
      <w:r>
        <w:t>Veillonella</w:t>
      </w:r>
      <w:proofErr w:type="spellEnd"/>
      <w:r>
        <w:t xml:space="preserve">, Escherichia, Shigella, </w:t>
      </w:r>
      <w:proofErr w:type="spellStart"/>
      <w:r>
        <w:t>Prevotella</w:t>
      </w:r>
      <w:proofErr w:type="spellEnd"/>
      <w:r>
        <w:t xml:space="preserve">, and </w:t>
      </w:r>
      <w:proofErr w:type="spellStart"/>
      <w:r>
        <w:t>Eisenbergiella</w:t>
      </w:r>
      <w:proofErr w:type="spellEnd"/>
      <w:r>
        <w:t xml:space="preserve"> was lower, and the abundance of Streptococcus, </w:t>
      </w:r>
      <w:proofErr w:type="spellStart"/>
      <w:r>
        <w:t>Megamonas</w:t>
      </w:r>
      <w:proofErr w:type="spellEnd"/>
      <w:r>
        <w:t xml:space="preserve">, </w:t>
      </w:r>
      <w:proofErr w:type="spellStart"/>
      <w:r>
        <w:t>Faecalibacterium</w:t>
      </w:r>
      <w:proofErr w:type="spellEnd"/>
      <w:r>
        <w:t xml:space="preserve">, </w:t>
      </w:r>
      <w:proofErr w:type="spellStart"/>
      <w:r>
        <w:t>Subdoligranulum</w:t>
      </w:r>
      <w:proofErr w:type="spellEnd"/>
      <w:r>
        <w:t>, and Bifidobacterium, was higher in the PV2 group than the PV1 group.</w:t>
      </w:r>
    </w:p>
    <w:p w14:paraId="38AA2614" w14:textId="77777777" w:rsidR="00095BBA" w:rsidRPr="001549D3" w:rsidRDefault="00095BBA" w:rsidP="00095BBA">
      <w:pPr>
        <w:keepNext/>
        <w:jc w:val="center"/>
        <w:rPr>
          <w:rFonts w:cs="Times New Roman"/>
          <w:szCs w:val="24"/>
        </w:rPr>
      </w:pPr>
      <w:r>
        <w:rPr>
          <w:noProof/>
        </w:rPr>
        <w:lastRenderedPageBreak/>
        <w:drawing>
          <wp:inline distT="0" distB="0" distL="0" distR="0" wp14:anchorId="3DD15DF3" wp14:editId="240E063A">
            <wp:extent cx="6035040" cy="2578608"/>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5040" cy="2578608"/>
                    </a:xfrm>
                    <a:prstGeom prst="rect">
                      <a:avLst/>
                    </a:prstGeom>
                  </pic:spPr>
                </pic:pic>
              </a:graphicData>
            </a:graphic>
          </wp:inline>
        </w:drawing>
      </w:r>
    </w:p>
    <w:p w14:paraId="5860FDD7" w14:textId="54E18609" w:rsidR="00B57BEB" w:rsidRDefault="00095BBA" w:rsidP="0099199D">
      <w:pPr>
        <w:keepNext/>
      </w:pPr>
      <w:r w:rsidRPr="0001436A">
        <w:rPr>
          <w:rFonts w:cs="Times New Roman"/>
          <w:b/>
          <w:szCs w:val="24"/>
        </w:rPr>
        <w:t>Supplementary Figure.</w:t>
      </w:r>
      <w:r w:rsidRPr="001549D3">
        <w:rPr>
          <w:rFonts w:cs="Times New Roman"/>
          <w:szCs w:val="24"/>
        </w:rPr>
        <w:t xml:space="preserve"> </w:t>
      </w:r>
      <w:r w:rsidRPr="00DE2041">
        <w:rPr>
          <w:rFonts w:cs="Times New Roman"/>
          <w:szCs w:val="24"/>
          <w:lang w:bidi="en-US"/>
        </w:rPr>
        <w:t>Column diagram of species composition between the PLC groups. A–E are the column diagrams of species composition in the two PLC groups at the phylum, class, order, family, and genus classification levels, respectively. The top ten species with the highest relative abundance are described, whereas the rest are classified as others</w:t>
      </w:r>
      <w:r>
        <w:rPr>
          <w:rFonts w:cs="Times New Roman"/>
          <w:szCs w:val="24"/>
          <w:lang w:bidi="en-US"/>
        </w:rPr>
        <w:t>.</w:t>
      </w:r>
    </w:p>
    <w:sectPr w:rsidR="00B57B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3B81A" w14:textId="77777777" w:rsidR="00921BC0" w:rsidRDefault="00921BC0" w:rsidP="00095BBA">
      <w:pPr>
        <w:spacing w:before="0" w:after="0"/>
      </w:pPr>
      <w:r>
        <w:separator/>
      </w:r>
    </w:p>
  </w:endnote>
  <w:endnote w:type="continuationSeparator" w:id="0">
    <w:p w14:paraId="4C988A91" w14:textId="77777777" w:rsidR="00921BC0" w:rsidRDefault="00921BC0" w:rsidP="00095B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7E3BA" w14:textId="77777777" w:rsidR="00921BC0" w:rsidRDefault="00921BC0" w:rsidP="00095BBA">
      <w:pPr>
        <w:spacing w:before="0" w:after="0"/>
      </w:pPr>
      <w:r>
        <w:separator/>
      </w:r>
    </w:p>
  </w:footnote>
  <w:footnote w:type="continuationSeparator" w:id="0">
    <w:p w14:paraId="2F9B920D" w14:textId="77777777" w:rsidR="00921BC0" w:rsidRDefault="00921BC0" w:rsidP="00095BB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3CC812F2"/>
    <w:multiLevelType w:val="hybridMultilevel"/>
    <w:tmpl w:val="B0AE71BA"/>
    <w:lvl w:ilvl="0" w:tplc="086C94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81033755">
    <w:abstractNumId w:val="0"/>
  </w:num>
  <w:num w:numId="2" w16cid:durableId="247467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29"/>
    <w:rsid w:val="00095BBA"/>
    <w:rsid w:val="00921BC0"/>
    <w:rsid w:val="0099199D"/>
    <w:rsid w:val="00B57BEB"/>
    <w:rsid w:val="00F67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C63E9"/>
  <w15:chartTrackingRefBased/>
  <w15:docId w15:val="{543BEFBE-9198-4E8A-A82D-6DFD6B0E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BBA"/>
    <w:pPr>
      <w:spacing w:before="120" w:after="240"/>
    </w:pPr>
    <w:rPr>
      <w:rFonts w:ascii="Times New Roman" w:hAnsi="Times New Roman"/>
      <w:kern w:val="0"/>
      <w:sz w:val="24"/>
      <w:lang w:eastAsia="en-US"/>
    </w:rPr>
  </w:style>
  <w:style w:type="paragraph" w:styleId="1">
    <w:name w:val="heading 1"/>
    <w:basedOn w:val="a0"/>
    <w:next w:val="a"/>
    <w:link w:val="10"/>
    <w:uiPriority w:val="2"/>
    <w:qFormat/>
    <w:rsid w:val="00095BBA"/>
    <w:pPr>
      <w:numPr>
        <w:numId w:val="1"/>
      </w:numPr>
      <w:spacing w:before="240"/>
      <w:ind w:firstLineChars="0"/>
      <w:outlineLvl w:val="0"/>
    </w:pPr>
    <w:rPr>
      <w:rFonts w:eastAsia="Cambria" w:cs="Times New Roman"/>
      <w:b/>
      <w:szCs w:val="24"/>
    </w:rPr>
  </w:style>
  <w:style w:type="paragraph" w:styleId="2">
    <w:name w:val="heading 2"/>
    <w:basedOn w:val="1"/>
    <w:next w:val="a"/>
    <w:link w:val="20"/>
    <w:uiPriority w:val="2"/>
    <w:qFormat/>
    <w:rsid w:val="00095BBA"/>
    <w:pPr>
      <w:numPr>
        <w:ilvl w:val="1"/>
      </w:numPr>
      <w:spacing w:after="200"/>
      <w:outlineLvl w:val="1"/>
    </w:pPr>
  </w:style>
  <w:style w:type="paragraph" w:styleId="3">
    <w:name w:val="heading 3"/>
    <w:basedOn w:val="a"/>
    <w:next w:val="a"/>
    <w:link w:val="30"/>
    <w:uiPriority w:val="2"/>
    <w:qFormat/>
    <w:rsid w:val="00095BBA"/>
    <w:pPr>
      <w:keepNext/>
      <w:keepLines/>
      <w:numPr>
        <w:ilvl w:val="2"/>
        <w:numId w:val="1"/>
      </w:numPr>
      <w:spacing w:before="40" w:after="120"/>
      <w:outlineLvl w:val="2"/>
    </w:pPr>
    <w:rPr>
      <w:rFonts w:eastAsiaTheme="majorEastAsia" w:cstheme="majorBidi"/>
      <w:b/>
      <w:szCs w:val="24"/>
    </w:rPr>
  </w:style>
  <w:style w:type="paragraph" w:styleId="4">
    <w:name w:val="heading 4"/>
    <w:basedOn w:val="3"/>
    <w:next w:val="a"/>
    <w:link w:val="40"/>
    <w:uiPriority w:val="2"/>
    <w:qFormat/>
    <w:rsid w:val="00095BBA"/>
    <w:pPr>
      <w:numPr>
        <w:ilvl w:val="3"/>
      </w:numPr>
      <w:outlineLvl w:val="3"/>
    </w:pPr>
    <w:rPr>
      <w:iCs/>
    </w:rPr>
  </w:style>
  <w:style w:type="paragraph" w:styleId="5">
    <w:name w:val="heading 5"/>
    <w:basedOn w:val="4"/>
    <w:next w:val="a"/>
    <w:link w:val="50"/>
    <w:uiPriority w:val="2"/>
    <w:qFormat/>
    <w:rsid w:val="00095BBA"/>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95BBA"/>
    <w:pPr>
      <w:tabs>
        <w:tab w:val="center" w:pos="4153"/>
        <w:tab w:val="right" w:pos="8306"/>
      </w:tabs>
      <w:snapToGrid w:val="0"/>
      <w:jc w:val="center"/>
    </w:pPr>
    <w:rPr>
      <w:sz w:val="18"/>
      <w:szCs w:val="18"/>
    </w:rPr>
  </w:style>
  <w:style w:type="character" w:customStyle="1" w:styleId="a5">
    <w:name w:val="页眉 字符"/>
    <w:basedOn w:val="a1"/>
    <w:link w:val="a4"/>
    <w:uiPriority w:val="99"/>
    <w:rsid w:val="00095BBA"/>
    <w:rPr>
      <w:sz w:val="18"/>
      <w:szCs w:val="18"/>
    </w:rPr>
  </w:style>
  <w:style w:type="paragraph" w:styleId="a6">
    <w:name w:val="footer"/>
    <w:basedOn w:val="a"/>
    <w:link w:val="a7"/>
    <w:uiPriority w:val="99"/>
    <w:unhideWhenUsed/>
    <w:rsid w:val="00095BBA"/>
    <w:pPr>
      <w:tabs>
        <w:tab w:val="center" w:pos="4153"/>
        <w:tab w:val="right" w:pos="8306"/>
      </w:tabs>
      <w:snapToGrid w:val="0"/>
    </w:pPr>
    <w:rPr>
      <w:sz w:val="18"/>
      <w:szCs w:val="18"/>
    </w:rPr>
  </w:style>
  <w:style w:type="character" w:customStyle="1" w:styleId="a7">
    <w:name w:val="页脚 字符"/>
    <w:basedOn w:val="a1"/>
    <w:link w:val="a6"/>
    <w:uiPriority w:val="99"/>
    <w:rsid w:val="00095BBA"/>
    <w:rPr>
      <w:sz w:val="18"/>
      <w:szCs w:val="18"/>
    </w:rPr>
  </w:style>
  <w:style w:type="character" w:customStyle="1" w:styleId="10">
    <w:name w:val="标题 1 字符"/>
    <w:basedOn w:val="a1"/>
    <w:link w:val="1"/>
    <w:uiPriority w:val="2"/>
    <w:rsid w:val="00095BBA"/>
    <w:rPr>
      <w:rFonts w:ascii="Times New Roman" w:eastAsia="Cambria" w:hAnsi="Times New Roman" w:cs="Times New Roman"/>
      <w:b/>
      <w:kern w:val="0"/>
      <w:sz w:val="24"/>
      <w:szCs w:val="24"/>
      <w:lang w:eastAsia="en-US"/>
    </w:rPr>
  </w:style>
  <w:style w:type="character" w:customStyle="1" w:styleId="20">
    <w:name w:val="标题 2 字符"/>
    <w:basedOn w:val="a1"/>
    <w:link w:val="2"/>
    <w:uiPriority w:val="2"/>
    <w:rsid w:val="00095BBA"/>
    <w:rPr>
      <w:rFonts w:ascii="Times New Roman" w:eastAsia="Cambria" w:hAnsi="Times New Roman" w:cs="Times New Roman"/>
      <w:b/>
      <w:kern w:val="0"/>
      <w:sz w:val="24"/>
      <w:szCs w:val="24"/>
      <w:lang w:eastAsia="en-US"/>
    </w:rPr>
  </w:style>
  <w:style w:type="character" w:customStyle="1" w:styleId="30">
    <w:name w:val="标题 3 字符"/>
    <w:basedOn w:val="a1"/>
    <w:link w:val="3"/>
    <w:uiPriority w:val="2"/>
    <w:rsid w:val="00095BBA"/>
    <w:rPr>
      <w:rFonts w:ascii="Times New Roman" w:eastAsiaTheme="majorEastAsia" w:hAnsi="Times New Roman" w:cstheme="majorBidi"/>
      <w:b/>
      <w:kern w:val="0"/>
      <w:sz w:val="24"/>
      <w:szCs w:val="24"/>
      <w:lang w:eastAsia="en-US"/>
    </w:rPr>
  </w:style>
  <w:style w:type="character" w:customStyle="1" w:styleId="40">
    <w:name w:val="标题 4 字符"/>
    <w:basedOn w:val="a1"/>
    <w:link w:val="4"/>
    <w:uiPriority w:val="2"/>
    <w:rsid w:val="00095BBA"/>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095BBA"/>
    <w:rPr>
      <w:rFonts w:ascii="Times New Roman" w:eastAsiaTheme="majorEastAsia" w:hAnsi="Times New Roman" w:cstheme="majorBidi"/>
      <w:b/>
      <w:iCs/>
      <w:kern w:val="0"/>
      <w:sz w:val="24"/>
      <w:szCs w:val="24"/>
      <w:lang w:eastAsia="en-US"/>
    </w:rPr>
  </w:style>
  <w:style w:type="numbering" w:customStyle="1" w:styleId="Headings">
    <w:name w:val="Headings"/>
    <w:uiPriority w:val="99"/>
    <w:rsid w:val="00095BBA"/>
    <w:pPr>
      <w:numPr>
        <w:numId w:val="1"/>
      </w:numPr>
    </w:pPr>
  </w:style>
  <w:style w:type="paragraph" w:customStyle="1" w:styleId="SupplementaryMaterial">
    <w:name w:val="Supplementary Material"/>
    <w:basedOn w:val="a8"/>
    <w:next w:val="a8"/>
    <w:qFormat/>
    <w:rsid w:val="00095BBA"/>
    <w:pPr>
      <w:suppressLineNumbers/>
      <w:spacing w:after="120"/>
      <w:outlineLvl w:val="9"/>
    </w:pPr>
    <w:rPr>
      <w:rFonts w:ascii="Times New Roman" w:eastAsiaTheme="minorEastAsia" w:hAnsi="Times New Roman" w:cs="Times New Roman"/>
      <w:bCs w:val="0"/>
      <w:i/>
    </w:rPr>
  </w:style>
  <w:style w:type="paragraph" w:styleId="a0">
    <w:name w:val="List Paragraph"/>
    <w:basedOn w:val="a"/>
    <w:uiPriority w:val="34"/>
    <w:qFormat/>
    <w:rsid w:val="00095BBA"/>
    <w:pPr>
      <w:ind w:firstLineChars="200" w:firstLine="420"/>
    </w:pPr>
  </w:style>
  <w:style w:type="paragraph" w:styleId="a8">
    <w:name w:val="Title"/>
    <w:basedOn w:val="a"/>
    <w:next w:val="a"/>
    <w:link w:val="a9"/>
    <w:uiPriority w:val="10"/>
    <w:qFormat/>
    <w:rsid w:val="00095BBA"/>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1"/>
    <w:link w:val="a8"/>
    <w:uiPriority w:val="10"/>
    <w:rsid w:val="00095BBA"/>
    <w:rPr>
      <w:rFonts w:asciiTheme="majorHAnsi" w:eastAsiaTheme="majorEastAsia" w:hAnsiTheme="majorHAnsi" w:cstheme="majorBidi"/>
      <w:b/>
      <w:bCs/>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欣 柴</dc:creator>
  <cp:keywords/>
  <dc:description/>
  <cp:lastModifiedBy>欣 柴</cp:lastModifiedBy>
  <cp:revision>3</cp:revision>
  <dcterms:created xsi:type="dcterms:W3CDTF">2024-03-07T13:00:00Z</dcterms:created>
  <dcterms:modified xsi:type="dcterms:W3CDTF">2024-03-07T13:00:00Z</dcterms:modified>
</cp:coreProperties>
</file>