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drawings/drawing2.xml" ContentType="application/vnd.openxmlformats-officedocument.drawingml.chartshapes+xml"/>
  <Override PartName="/word/charts/chart4.xml" ContentType="application/vnd.openxmlformats-officedocument.drawingml.chart+xml"/>
  <Override PartName="/word/drawings/drawing3.xml" ContentType="application/vnd.openxmlformats-officedocument.drawingml.chartshapes+xml"/>
  <Override PartName="/word/charts/chart5.xml" ContentType="application/vnd.openxmlformats-officedocument.drawingml.chart+xml"/>
  <Override PartName="/word/drawings/drawing4.xml" ContentType="application/vnd.openxmlformats-officedocument.drawingml.chartshapes+xml"/>
  <Override PartName="/word/charts/chart6.xml" ContentType="application/vnd.openxmlformats-officedocument.drawingml.chart+xml"/>
  <Override PartName="/word/drawings/drawing5.xml" ContentType="application/vnd.openxmlformats-officedocument.drawingml.chartshapes+xml"/>
  <Override PartName="/word/charts/chart7.xml" ContentType="application/vnd.openxmlformats-officedocument.drawingml.chart+xml"/>
  <Override PartName="/word/drawings/drawing6.xml" ContentType="application/vnd.openxmlformats-officedocument.drawingml.chartshapes+xml"/>
  <Override PartName="/word/charts/chart8.xml" ContentType="application/vnd.openxmlformats-officedocument.drawingml.chart+xml"/>
  <Override PartName="/word/drawings/drawing7.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10F7BA" w14:textId="7C0C543A" w:rsidR="00737D0D" w:rsidRPr="00926306" w:rsidRDefault="000862F2" w:rsidP="00926306">
      <w:pPr>
        <w:spacing w:line="360" w:lineRule="auto"/>
        <w:jc w:val="center"/>
        <w:rPr>
          <w:b/>
        </w:rPr>
      </w:pPr>
      <w:r w:rsidRPr="00926306">
        <w:rPr>
          <w:b/>
        </w:rPr>
        <w:t>APPENDIX</w:t>
      </w:r>
    </w:p>
    <w:p w14:paraId="54A03F62" w14:textId="77777777" w:rsidR="006F2517" w:rsidRPr="00FB6564" w:rsidRDefault="006F2517" w:rsidP="006F2517">
      <w:pPr>
        <w:spacing w:line="360" w:lineRule="auto"/>
        <w:jc w:val="center"/>
        <w:rPr>
          <w:b/>
        </w:rPr>
      </w:pPr>
      <w:r w:rsidRPr="00FB6564">
        <w:rPr>
          <w:b/>
        </w:rPr>
        <w:t>Cost-Effectiveness Analysis of a Large-Scale Crèche Intervention to Prevent Child Drowning in Rural Bangladesh</w:t>
      </w:r>
    </w:p>
    <w:sdt>
      <w:sdtPr>
        <w:rPr>
          <w:rFonts w:asciiTheme="minorHAnsi" w:eastAsiaTheme="minorHAnsi" w:hAnsiTheme="minorHAnsi" w:cstheme="minorBidi"/>
          <w:color w:val="auto"/>
          <w:sz w:val="22"/>
          <w:szCs w:val="22"/>
        </w:rPr>
        <w:id w:val="-506753780"/>
        <w:docPartObj>
          <w:docPartGallery w:val="Table of Contents"/>
          <w:docPartUnique/>
        </w:docPartObj>
      </w:sdtPr>
      <w:sdtEndPr>
        <w:rPr>
          <w:b/>
          <w:bCs/>
          <w:noProof/>
        </w:rPr>
      </w:sdtEndPr>
      <w:sdtContent>
        <w:p w14:paraId="3D18565D" w14:textId="68AA8611" w:rsidR="00F51D4E" w:rsidRDefault="00F51D4E">
          <w:pPr>
            <w:pStyle w:val="TOCHeading"/>
          </w:pPr>
          <w:r>
            <w:t>Contents</w:t>
          </w:r>
        </w:p>
        <w:p w14:paraId="6594FD4A" w14:textId="49242CD6" w:rsidR="0079620F" w:rsidRDefault="00F51D4E">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62485640" w:history="1">
            <w:r w:rsidR="0079620F" w:rsidRPr="0062164C">
              <w:rPr>
                <w:rStyle w:val="Hyperlink"/>
                <w:b/>
                <w:bCs/>
                <w:noProof/>
              </w:rPr>
              <w:t>METHODS</w:t>
            </w:r>
            <w:r w:rsidR="0079620F">
              <w:rPr>
                <w:noProof/>
                <w:webHidden/>
              </w:rPr>
              <w:tab/>
            </w:r>
            <w:r w:rsidR="0079620F">
              <w:rPr>
                <w:noProof/>
                <w:webHidden/>
              </w:rPr>
              <w:fldChar w:fldCharType="begin"/>
            </w:r>
            <w:r w:rsidR="0079620F">
              <w:rPr>
                <w:noProof/>
                <w:webHidden/>
              </w:rPr>
              <w:instrText xml:space="preserve"> PAGEREF _Toc62485640 \h </w:instrText>
            </w:r>
            <w:r w:rsidR="0079620F">
              <w:rPr>
                <w:noProof/>
                <w:webHidden/>
              </w:rPr>
            </w:r>
            <w:r w:rsidR="0079620F">
              <w:rPr>
                <w:noProof/>
                <w:webHidden/>
              </w:rPr>
              <w:fldChar w:fldCharType="separate"/>
            </w:r>
            <w:r w:rsidR="0079620F">
              <w:rPr>
                <w:noProof/>
                <w:webHidden/>
              </w:rPr>
              <w:t>1</w:t>
            </w:r>
            <w:r w:rsidR="0079620F">
              <w:rPr>
                <w:noProof/>
                <w:webHidden/>
              </w:rPr>
              <w:fldChar w:fldCharType="end"/>
            </w:r>
          </w:hyperlink>
        </w:p>
        <w:p w14:paraId="1FC5E8EF" w14:textId="14A13230" w:rsidR="0079620F" w:rsidRDefault="009A62DD">
          <w:pPr>
            <w:pStyle w:val="TOC2"/>
            <w:tabs>
              <w:tab w:val="right" w:leader="dot" w:pos="9350"/>
            </w:tabs>
            <w:rPr>
              <w:rFonts w:eastAsiaTheme="minorEastAsia"/>
              <w:noProof/>
            </w:rPr>
          </w:pPr>
          <w:hyperlink w:anchor="_Toc62485641" w:history="1">
            <w:r w:rsidR="0079620F" w:rsidRPr="0062164C">
              <w:rPr>
                <w:rStyle w:val="Hyperlink"/>
                <w:b/>
                <w:bCs/>
                <w:noProof/>
              </w:rPr>
              <w:t>Appendix Exhibit A. Detailed List of Creche Program Inputs</w:t>
            </w:r>
            <w:r w:rsidR="0079620F">
              <w:rPr>
                <w:noProof/>
                <w:webHidden/>
              </w:rPr>
              <w:tab/>
            </w:r>
            <w:r w:rsidR="0079620F">
              <w:rPr>
                <w:noProof/>
                <w:webHidden/>
              </w:rPr>
              <w:fldChar w:fldCharType="begin"/>
            </w:r>
            <w:r w:rsidR="0079620F">
              <w:rPr>
                <w:noProof/>
                <w:webHidden/>
              </w:rPr>
              <w:instrText xml:space="preserve"> PAGEREF _Toc62485641 \h </w:instrText>
            </w:r>
            <w:r w:rsidR="0079620F">
              <w:rPr>
                <w:noProof/>
                <w:webHidden/>
              </w:rPr>
            </w:r>
            <w:r w:rsidR="0079620F">
              <w:rPr>
                <w:noProof/>
                <w:webHidden/>
              </w:rPr>
              <w:fldChar w:fldCharType="separate"/>
            </w:r>
            <w:r w:rsidR="0079620F">
              <w:rPr>
                <w:noProof/>
                <w:webHidden/>
              </w:rPr>
              <w:t>2</w:t>
            </w:r>
            <w:r w:rsidR="0079620F">
              <w:rPr>
                <w:noProof/>
                <w:webHidden/>
              </w:rPr>
              <w:fldChar w:fldCharType="end"/>
            </w:r>
          </w:hyperlink>
        </w:p>
        <w:p w14:paraId="0685E5A1" w14:textId="0818F6BF" w:rsidR="0079620F" w:rsidRDefault="009A62DD">
          <w:pPr>
            <w:pStyle w:val="TOC2"/>
            <w:tabs>
              <w:tab w:val="right" w:leader="dot" w:pos="9350"/>
            </w:tabs>
            <w:rPr>
              <w:rFonts w:eastAsiaTheme="minorEastAsia"/>
              <w:noProof/>
            </w:rPr>
          </w:pPr>
          <w:hyperlink w:anchor="_Toc62485642" w:history="1">
            <w:r w:rsidR="0079620F" w:rsidRPr="0062164C">
              <w:rPr>
                <w:rStyle w:val="Hyperlink"/>
                <w:b/>
                <w:bCs/>
                <w:noProof/>
              </w:rPr>
              <w:t>Appendix Exhibit B. Societal Cost Parameter Assumptions for Monte Carlo Simulation</w:t>
            </w:r>
            <w:r w:rsidR="0079620F">
              <w:rPr>
                <w:noProof/>
                <w:webHidden/>
              </w:rPr>
              <w:tab/>
            </w:r>
            <w:r w:rsidR="0079620F">
              <w:rPr>
                <w:noProof/>
                <w:webHidden/>
              </w:rPr>
              <w:fldChar w:fldCharType="begin"/>
            </w:r>
            <w:r w:rsidR="0079620F">
              <w:rPr>
                <w:noProof/>
                <w:webHidden/>
              </w:rPr>
              <w:instrText xml:space="preserve"> PAGEREF _Toc62485642 \h </w:instrText>
            </w:r>
            <w:r w:rsidR="0079620F">
              <w:rPr>
                <w:noProof/>
                <w:webHidden/>
              </w:rPr>
            </w:r>
            <w:r w:rsidR="0079620F">
              <w:rPr>
                <w:noProof/>
                <w:webHidden/>
              </w:rPr>
              <w:fldChar w:fldCharType="separate"/>
            </w:r>
            <w:r w:rsidR="0079620F">
              <w:rPr>
                <w:noProof/>
                <w:webHidden/>
              </w:rPr>
              <w:t>3</w:t>
            </w:r>
            <w:r w:rsidR="0079620F">
              <w:rPr>
                <w:noProof/>
                <w:webHidden/>
              </w:rPr>
              <w:fldChar w:fldCharType="end"/>
            </w:r>
          </w:hyperlink>
        </w:p>
        <w:p w14:paraId="59C70BEE" w14:textId="2DA79B27" w:rsidR="0079620F" w:rsidRDefault="009A62DD">
          <w:pPr>
            <w:pStyle w:val="TOC1"/>
            <w:tabs>
              <w:tab w:val="right" w:leader="dot" w:pos="9350"/>
            </w:tabs>
            <w:rPr>
              <w:rFonts w:eastAsiaTheme="minorEastAsia"/>
              <w:noProof/>
            </w:rPr>
          </w:pPr>
          <w:hyperlink w:anchor="_Toc62485643" w:history="1">
            <w:r w:rsidR="0079620F" w:rsidRPr="0062164C">
              <w:rPr>
                <w:rStyle w:val="Hyperlink"/>
                <w:b/>
                <w:bCs/>
                <w:noProof/>
              </w:rPr>
              <w:t>RESULTS</w:t>
            </w:r>
            <w:r w:rsidR="0079620F">
              <w:rPr>
                <w:noProof/>
                <w:webHidden/>
              </w:rPr>
              <w:tab/>
            </w:r>
            <w:r w:rsidR="0079620F">
              <w:rPr>
                <w:noProof/>
                <w:webHidden/>
              </w:rPr>
              <w:fldChar w:fldCharType="begin"/>
            </w:r>
            <w:r w:rsidR="0079620F">
              <w:rPr>
                <w:noProof/>
                <w:webHidden/>
              </w:rPr>
              <w:instrText xml:space="preserve"> PAGEREF _Toc62485643 \h </w:instrText>
            </w:r>
            <w:r w:rsidR="0079620F">
              <w:rPr>
                <w:noProof/>
                <w:webHidden/>
              </w:rPr>
            </w:r>
            <w:r w:rsidR="0079620F">
              <w:rPr>
                <w:noProof/>
                <w:webHidden/>
              </w:rPr>
              <w:fldChar w:fldCharType="separate"/>
            </w:r>
            <w:r w:rsidR="0079620F">
              <w:rPr>
                <w:noProof/>
                <w:webHidden/>
              </w:rPr>
              <w:t>3</w:t>
            </w:r>
            <w:r w:rsidR="0079620F">
              <w:rPr>
                <w:noProof/>
                <w:webHidden/>
              </w:rPr>
              <w:fldChar w:fldCharType="end"/>
            </w:r>
          </w:hyperlink>
        </w:p>
        <w:p w14:paraId="44219D60" w14:textId="71D7E722" w:rsidR="0079620F" w:rsidRDefault="009A62DD">
          <w:pPr>
            <w:pStyle w:val="TOC2"/>
            <w:tabs>
              <w:tab w:val="right" w:leader="dot" w:pos="9350"/>
            </w:tabs>
            <w:rPr>
              <w:rFonts w:eastAsiaTheme="minorEastAsia"/>
              <w:noProof/>
            </w:rPr>
          </w:pPr>
          <w:hyperlink w:anchor="_Toc62485644" w:history="1">
            <w:r w:rsidR="0079620F" w:rsidRPr="0062164C">
              <w:rPr>
                <w:rStyle w:val="Hyperlink"/>
                <w:b/>
                <w:bCs/>
                <w:noProof/>
              </w:rPr>
              <w:t>Appendix Exhibit C. 10-Year Model of Annualized Program Cost, by Year</w:t>
            </w:r>
            <w:r w:rsidR="0079620F">
              <w:rPr>
                <w:noProof/>
                <w:webHidden/>
              </w:rPr>
              <w:tab/>
            </w:r>
            <w:r w:rsidR="0079620F">
              <w:rPr>
                <w:noProof/>
                <w:webHidden/>
              </w:rPr>
              <w:fldChar w:fldCharType="begin"/>
            </w:r>
            <w:r w:rsidR="0079620F">
              <w:rPr>
                <w:noProof/>
                <w:webHidden/>
              </w:rPr>
              <w:instrText xml:space="preserve"> PAGEREF _Toc62485644 \h </w:instrText>
            </w:r>
            <w:r w:rsidR="0079620F">
              <w:rPr>
                <w:noProof/>
                <w:webHidden/>
              </w:rPr>
            </w:r>
            <w:r w:rsidR="0079620F">
              <w:rPr>
                <w:noProof/>
                <w:webHidden/>
              </w:rPr>
              <w:fldChar w:fldCharType="separate"/>
            </w:r>
            <w:r w:rsidR="0079620F">
              <w:rPr>
                <w:noProof/>
                <w:webHidden/>
              </w:rPr>
              <w:t>4</w:t>
            </w:r>
            <w:r w:rsidR="0079620F">
              <w:rPr>
                <w:noProof/>
                <w:webHidden/>
              </w:rPr>
              <w:fldChar w:fldCharType="end"/>
            </w:r>
          </w:hyperlink>
        </w:p>
        <w:p w14:paraId="589F45A3" w14:textId="7D587D1B" w:rsidR="0079620F" w:rsidRDefault="009A62DD">
          <w:pPr>
            <w:pStyle w:val="TOC2"/>
            <w:tabs>
              <w:tab w:val="right" w:leader="dot" w:pos="9350"/>
            </w:tabs>
            <w:rPr>
              <w:rFonts w:eastAsiaTheme="minorEastAsia"/>
              <w:noProof/>
            </w:rPr>
          </w:pPr>
          <w:hyperlink w:anchor="_Toc62485645" w:history="1">
            <w:r w:rsidR="0079620F" w:rsidRPr="0062164C">
              <w:rPr>
                <w:rStyle w:val="Hyperlink"/>
                <w:b/>
                <w:bCs/>
                <w:noProof/>
              </w:rPr>
              <w:t>Appendix Exhibit D. Child Enrollment and Capacity by Month</w:t>
            </w:r>
            <w:r w:rsidR="0079620F">
              <w:rPr>
                <w:noProof/>
                <w:webHidden/>
              </w:rPr>
              <w:tab/>
            </w:r>
            <w:r w:rsidR="0079620F">
              <w:rPr>
                <w:noProof/>
                <w:webHidden/>
              </w:rPr>
              <w:fldChar w:fldCharType="begin"/>
            </w:r>
            <w:r w:rsidR="0079620F">
              <w:rPr>
                <w:noProof/>
                <w:webHidden/>
              </w:rPr>
              <w:instrText xml:space="preserve"> PAGEREF _Toc62485645 \h </w:instrText>
            </w:r>
            <w:r w:rsidR="0079620F">
              <w:rPr>
                <w:noProof/>
                <w:webHidden/>
              </w:rPr>
            </w:r>
            <w:r w:rsidR="0079620F">
              <w:rPr>
                <w:noProof/>
                <w:webHidden/>
              </w:rPr>
              <w:fldChar w:fldCharType="separate"/>
            </w:r>
            <w:r w:rsidR="0079620F">
              <w:rPr>
                <w:noProof/>
                <w:webHidden/>
              </w:rPr>
              <w:t>4</w:t>
            </w:r>
            <w:r w:rsidR="0079620F">
              <w:rPr>
                <w:noProof/>
                <w:webHidden/>
              </w:rPr>
              <w:fldChar w:fldCharType="end"/>
            </w:r>
          </w:hyperlink>
        </w:p>
        <w:p w14:paraId="713F6F47" w14:textId="2A626BCD" w:rsidR="0079620F" w:rsidRDefault="009A62DD">
          <w:pPr>
            <w:pStyle w:val="TOC2"/>
            <w:tabs>
              <w:tab w:val="right" w:leader="dot" w:pos="9350"/>
            </w:tabs>
            <w:rPr>
              <w:rFonts w:eastAsiaTheme="minorEastAsia"/>
              <w:noProof/>
            </w:rPr>
          </w:pPr>
          <w:hyperlink w:anchor="_Toc62485646" w:history="1">
            <w:r w:rsidR="0079620F" w:rsidRPr="0062164C">
              <w:rPr>
                <w:rStyle w:val="Hyperlink"/>
                <w:b/>
                <w:bCs/>
                <w:noProof/>
              </w:rPr>
              <w:t>Appendix Exhibit E. Program Cost by Study Area</w:t>
            </w:r>
            <w:r w:rsidR="0079620F">
              <w:rPr>
                <w:noProof/>
                <w:webHidden/>
              </w:rPr>
              <w:tab/>
            </w:r>
            <w:r w:rsidR="0079620F">
              <w:rPr>
                <w:noProof/>
                <w:webHidden/>
              </w:rPr>
              <w:fldChar w:fldCharType="begin"/>
            </w:r>
            <w:r w:rsidR="0079620F">
              <w:rPr>
                <w:noProof/>
                <w:webHidden/>
              </w:rPr>
              <w:instrText xml:space="preserve"> PAGEREF _Toc62485646 \h </w:instrText>
            </w:r>
            <w:r w:rsidR="0079620F">
              <w:rPr>
                <w:noProof/>
                <w:webHidden/>
              </w:rPr>
            </w:r>
            <w:r w:rsidR="0079620F">
              <w:rPr>
                <w:noProof/>
                <w:webHidden/>
              </w:rPr>
              <w:fldChar w:fldCharType="separate"/>
            </w:r>
            <w:r w:rsidR="0079620F">
              <w:rPr>
                <w:noProof/>
                <w:webHidden/>
              </w:rPr>
              <w:t>5</w:t>
            </w:r>
            <w:r w:rsidR="0079620F">
              <w:rPr>
                <w:noProof/>
                <w:webHidden/>
              </w:rPr>
              <w:fldChar w:fldCharType="end"/>
            </w:r>
          </w:hyperlink>
        </w:p>
        <w:p w14:paraId="299CFAAB" w14:textId="6F3114B5" w:rsidR="0079620F" w:rsidRDefault="009A62DD">
          <w:pPr>
            <w:pStyle w:val="TOC2"/>
            <w:tabs>
              <w:tab w:val="right" w:leader="dot" w:pos="9350"/>
            </w:tabs>
            <w:rPr>
              <w:rFonts w:eastAsiaTheme="minorEastAsia"/>
              <w:noProof/>
            </w:rPr>
          </w:pPr>
          <w:hyperlink w:anchor="_Toc62485647" w:history="1">
            <w:r w:rsidR="0079620F" w:rsidRPr="0062164C">
              <w:rPr>
                <w:rStyle w:val="Hyperlink"/>
                <w:b/>
                <w:bCs/>
                <w:noProof/>
              </w:rPr>
              <w:t>Appendix Exhibit F1. Area 1 Monthly Expenditure Trend</w:t>
            </w:r>
            <w:r w:rsidR="0079620F">
              <w:rPr>
                <w:noProof/>
                <w:webHidden/>
              </w:rPr>
              <w:tab/>
            </w:r>
            <w:r w:rsidR="0079620F">
              <w:rPr>
                <w:noProof/>
                <w:webHidden/>
              </w:rPr>
              <w:fldChar w:fldCharType="begin"/>
            </w:r>
            <w:r w:rsidR="0079620F">
              <w:rPr>
                <w:noProof/>
                <w:webHidden/>
              </w:rPr>
              <w:instrText xml:space="preserve"> PAGEREF _Toc62485647 \h </w:instrText>
            </w:r>
            <w:r w:rsidR="0079620F">
              <w:rPr>
                <w:noProof/>
                <w:webHidden/>
              </w:rPr>
            </w:r>
            <w:r w:rsidR="0079620F">
              <w:rPr>
                <w:noProof/>
                <w:webHidden/>
              </w:rPr>
              <w:fldChar w:fldCharType="separate"/>
            </w:r>
            <w:r w:rsidR="0079620F">
              <w:rPr>
                <w:noProof/>
                <w:webHidden/>
              </w:rPr>
              <w:t>6</w:t>
            </w:r>
            <w:r w:rsidR="0079620F">
              <w:rPr>
                <w:noProof/>
                <w:webHidden/>
              </w:rPr>
              <w:fldChar w:fldCharType="end"/>
            </w:r>
          </w:hyperlink>
        </w:p>
        <w:p w14:paraId="06493FFA" w14:textId="5AFAF59F" w:rsidR="0079620F" w:rsidRDefault="009A62DD">
          <w:pPr>
            <w:pStyle w:val="TOC2"/>
            <w:tabs>
              <w:tab w:val="right" w:leader="dot" w:pos="9350"/>
            </w:tabs>
            <w:rPr>
              <w:rFonts w:eastAsiaTheme="minorEastAsia"/>
              <w:noProof/>
            </w:rPr>
          </w:pPr>
          <w:hyperlink w:anchor="_Toc62485648" w:history="1">
            <w:r w:rsidR="0079620F" w:rsidRPr="0062164C">
              <w:rPr>
                <w:rStyle w:val="Hyperlink"/>
                <w:b/>
                <w:bCs/>
                <w:noProof/>
              </w:rPr>
              <w:t>Appendix Exhibit F2. Area 2 Monthly Expenditure Trend</w:t>
            </w:r>
            <w:r w:rsidR="0079620F">
              <w:rPr>
                <w:noProof/>
                <w:webHidden/>
              </w:rPr>
              <w:tab/>
            </w:r>
            <w:r w:rsidR="0079620F">
              <w:rPr>
                <w:noProof/>
                <w:webHidden/>
              </w:rPr>
              <w:fldChar w:fldCharType="begin"/>
            </w:r>
            <w:r w:rsidR="0079620F">
              <w:rPr>
                <w:noProof/>
                <w:webHidden/>
              </w:rPr>
              <w:instrText xml:space="preserve"> PAGEREF _Toc62485648 \h </w:instrText>
            </w:r>
            <w:r w:rsidR="0079620F">
              <w:rPr>
                <w:noProof/>
                <w:webHidden/>
              </w:rPr>
            </w:r>
            <w:r w:rsidR="0079620F">
              <w:rPr>
                <w:noProof/>
                <w:webHidden/>
              </w:rPr>
              <w:fldChar w:fldCharType="separate"/>
            </w:r>
            <w:r w:rsidR="0079620F">
              <w:rPr>
                <w:noProof/>
                <w:webHidden/>
              </w:rPr>
              <w:t>6</w:t>
            </w:r>
            <w:r w:rsidR="0079620F">
              <w:rPr>
                <w:noProof/>
                <w:webHidden/>
              </w:rPr>
              <w:fldChar w:fldCharType="end"/>
            </w:r>
          </w:hyperlink>
        </w:p>
        <w:p w14:paraId="432802BB" w14:textId="0125CDF3" w:rsidR="0079620F" w:rsidRDefault="009A62DD">
          <w:pPr>
            <w:pStyle w:val="TOC1"/>
            <w:tabs>
              <w:tab w:val="right" w:leader="dot" w:pos="9350"/>
            </w:tabs>
            <w:rPr>
              <w:rFonts w:eastAsiaTheme="minorEastAsia"/>
              <w:noProof/>
            </w:rPr>
          </w:pPr>
          <w:hyperlink w:anchor="_Toc62485649" w:history="1">
            <w:r w:rsidR="0079620F" w:rsidRPr="0062164C">
              <w:rPr>
                <w:rStyle w:val="Hyperlink"/>
                <w:b/>
                <w:bCs/>
                <w:noProof/>
              </w:rPr>
              <w:t>SENSITIVITY ANALYSIS</w:t>
            </w:r>
            <w:r w:rsidR="0079620F">
              <w:rPr>
                <w:noProof/>
                <w:webHidden/>
              </w:rPr>
              <w:tab/>
            </w:r>
            <w:r w:rsidR="0079620F">
              <w:rPr>
                <w:noProof/>
                <w:webHidden/>
              </w:rPr>
              <w:fldChar w:fldCharType="begin"/>
            </w:r>
            <w:r w:rsidR="0079620F">
              <w:rPr>
                <w:noProof/>
                <w:webHidden/>
              </w:rPr>
              <w:instrText xml:space="preserve"> PAGEREF _Toc62485649 \h </w:instrText>
            </w:r>
            <w:r w:rsidR="0079620F">
              <w:rPr>
                <w:noProof/>
                <w:webHidden/>
              </w:rPr>
            </w:r>
            <w:r w:rsidR="0079620F">
              <w:rPr>
                <w:noProof/>
                <w:webHidden/>
              </w:rPr>
              <w:fldChar w:fldCharType="separate"/>
            </w:r>
            <w:r w:rsidR="0079620F">
              <w:rPr>
                <w:noProof/>
                <w:webHidden/>
              </w:rPr>
              <w:t>7</w:t>
            </w:r>
            <w:r w:rsidR="0079620F">
              <w:rPr>
                <w:noProof/>
                <w:webHidden/>
              </w:rPr>
              <w:fldChar w:fldCharType="end"/>
            </w:r>
          </w:hyperlink>
        </w:p>
        <w:p w14:paraId="70FDA083" w14:textId="677546A1" w:rsidR="0079620F" w:rsidRDefault="009A62DD">
          <w:pPr>
            <w:pStyle w:val="TOC2"/>
            <w:tabs>
              <w:tab w:val="right" w:leader="dot" w:pos="9350"/>
            </w:tabs>
            <w:rPr>
              <w:rFonts w:eastAsiaTheme="minorEastAsia"/>
              <w:noProof/>
            </w:rPr>
          </w:pPr>
          <w:hyperlink w:anchor="_Toc62485650" w:history="1">
            <w:r w:rsidR="0079620F" w:rsidRPr="0062164C">
              <w:rPr>
                <w:rStyle w:val="Hyperlink"/>
                <w:b/>
                <w:bCs/>
                <w:noProof/>
              </w:rPr>
              <w:t>Appendix Exhibit G1a. Effect of Changes to the Program Cost on the ICER</w:t>
            </w:r>
            <w:r w:rsidR="0079620F">
              <w:rPr>
                <w:noProof/>
                <w:webHidden/>
              </w:rPr>
              <w:tab/>
            </w:r>
            <w:r w:rsidR="0079620F">
              <w:rPr>
                <w:noProof/>
                <w:webHidden/>
              </w:rPr>
              <w:fldChar w:fldCharType="begin"/>
            </w:r>
            <w:r w:rsidR="0079620F">
              <w:rPr>
                <w:noProof/>
                <w:webHidden/>
              </w:rPr>
              <w:instrText xml:space="preserve"> PAGEREF _Toc62485650 \h </w:instrText>
            </w:r>
            <w:r w:rsidR="0079620F">
              <w:rPr>
                <w:noProof/>
                <w:webHidden/>
              </w:rPr>
            </w:r>
            <w:r w:rsidR="0079620F">
              <w:rPr>
                <w:noProof/>
                <w:webHidden/>
              </w:rPr>
              <w:fldChar w:fldCharType="separate"/>
            </w:r>
            <w:r w:rsidR="0079620F">
              <w:rPr>
                <w:noProof/>
                <w:webHidden/>
              </w:rPr>
              <w:t>7</w:t>
            </w:r>
            <w:r w:rsidR="0079620F">
              <w:rPr>
                <w:noProof/>
                <w:webHidden/>
              </w:rPr>
              <w:fldChar w:fldCharType="end"/>
            </w:r>
          </w:hyperlink>
        </w:p>
        <w:p w14:paraId="4D03C6F6" w14:textId="284036E2" w:rsidR="0079620F" w:rsidRDefault="009A62DD">
          <w:pPr>
            <w:pStyle w:val="TOC2"/>
            <w:tabs>
              <w:tab w:val="right" w:leader="dot" w:pos="9350"/>
            </w:tabs>
            <w:rPr>
              <w:rFonts w:eastAsiaTheme="minorEastAsia"/>
              <w:noProof/>
            </w:rPr>
          </w:pPr>
          <w:hyperlink w:anchor="_Toc62485651" w:history="1">
            <w:r w:rsidR="0079620F" w:rsidRPr="0062164C">
              <w:rPr>
                <w:rStyle w:val="Hyperlink"/>
                <w:b/>
                <w:bCs/>
                <w:noProof/>
              </w:rPr>
              <w:t>Appendix Exhibit G1b. Effect of Changes to the Societal Cost on the ICER</w:t>
            </w:r>
            <w:r w:rsidR="0079620F">
              <w:rPr>
                <w:noProof/>
                <w:webHidden/>
              </w:rPr>
              <w:tab/>
            </w:r>
            <w:r w:rsidR="0079620F">
              <w:rPr>
                <w:noProof/>
                <w:webHidden/>
              </w:rPr>
              <w:fldChar w:fldCharType="begin"/>
            </w:r>
            <w:r w:rsidR="0079620F">
              <w:rPr>
                <w:noProof/>
                <w:webHidden/>
              </w:rPr>
              <w:instrText xml:space="preserve"> PAGEREF _Toc62485651 \h </w:instrText>
            </w:r>
            <w:r w:rsidR="0079620F">
              <w:rPr>
                <w:noProof/>
                <w:webHidden/>
              </w:rPr>
            </w:r>
            <w:r w:rsidR="0079620F">
              <w:rPr>
                <w:noProof/>
                <w:webHidden/>
              </w:rPr>
              <w:fldChar w:fldCharType="separate"/>
            </w:r>
            <w:r w:rsidR="0079620F">
              <w:rPr>
                <w:noProof/>
                <w:webHidden/>
              </w:rPr>
              <w:t>7</w:t>
            </w:r>
            <w:r w:rsidR="0079620F">
              <w:rPr>
                <w:noProof/>
                <w:webHidden/>
              </w:rPr>
              <w:fldChar w:fldCharType="end"/>
            </w:r>
          </w:hyperlink>
        </w:p>
        <w:p w14:paraId="24F4B17F" w14:textId="0C2A76F1" w:rsidR="0079620F" w:rsidRDefault="009A62DD">
          <w:pPr>
            <w:pStyle w:val="TOC2"/>
            <w:tabs>
              <w:tab w:val="right" w:leader="dot" w:pos="9350"/>
            </w:tabs>
            <w:rPr>
              <w:rFonts w:eastAsiaTheme="minorEastAsia"/>
              <w:noProof/>
            </w:rPr>
          </w:pPr>
          <w:hyperlink w:anchor="_Toc62485652" w:history="1">
            <w:r w:rsidR="0079620F" w:rsidRPr="0062164C">
              <w:rPr>
                <w:rStyle w:val="Hyperlink"/>
                <w:b/>
                <w:bCs/>
                <w:noProof/>
              </w:rPr>
              <w:t>Appendix Exhibit G2a. Effect of Changes to the Number of DALYs Averted on the ICER</w:t>
            </w:r>
            <w:r w:rsidR="0079620F">
              <w:rPr>
                <w:noProof/>
                <w:webHidden/>
              </w:rPr>
              <w:tab/>
            </w:r>
            <w:r w:rsidR="0079620F">
              <w:rPr>
                <w:noProof/>
                <w:webHidden/>
              </w:rPr>
              <w:fldChar w:fldCharType="begin"/>
            </w:r>
            <w:r w:rsidR="0079620F">
              <w:rPr>
                <w:noProof/>
                <w:webHidden/>
              </w:rPr>
              <w:instrText xml:space="preserve"> PAGEREF _Toc62485652 \h </w:instrText>
            </w:r>
            <w:r w:rsidR="0079620F">
              <w:rPr>
                <w:noProof/>
                <w:webHidden/>
              </w:rPr>
            </w:r>
            <w:r w:rsidR="0079620F">
              <w:rPr>
                <w:noProof/>
                <w:webHidden/>
              </w:rPr>
              <w:fldChar w:fldCharType="separate"/>
            </w:r>
            <w:r w:rsidR="0079620F">
              <w:rPr>
                <w:noProof/>
                <w:webHidden/>
              </w:rPr>
              <w:t>8</w:t>
            </w:r>
            <w:r w:rsidR="0079620F">
              <w:rPr>
                <w:noProof/>
                <w:webHidden/>
              </w:rPr>
              <w:fldChar w:fldCharType="end"/>
            </w:r>
          </w:hyperlink>
        </w:p>
        <w:p w14:paraId="5A4A1EB7" w14:textId="43096562" w:rsidR="0079620F" w:rsidRDefault="009A62DD">
          <w:pPr>
            <w:pStyle w:val="TOC2"/>
            <w:tabs>
              <w:tab w:val="right" w:leader="dot" w:pos="9350"/>
            </w:tabs>
            <w:rPr>
              <w:rFonts w:eastAsiaTheme="minorEastAsia"/>
              <w:noProof/>
            </w:rPr>
          </w:pPr>
          <w:hyperlink w:anchor="_Toc62485653" w:history="1">
            <w:r w:rsidR="0079620F" w:rsidRPr="0062164C">
              <w:rPr>
                <w:rStyle w:val="Hyperlink"/>
                <w:b/>
                <w:bCs/>
                <w:noProof/>
              </w:rPr>
              <w:t>Appendix Exhibit G2b. Effect of Changes to the Number of Drowning Deaths Averted on the ICER</w:t>
            </w:r>
            <w:r w:rsidR="0079620F">
              <w:rPr>
                <w:noProof/>
                <w:webHidden/>
              </w:rPr>
              <w:tab/>
            </w:r>
            <w:r w:rsidR="0079620F">
              <w:rPr>
                <w:noProof/>
                <w:webHidden/>
              </w:rPr>
              <w:fldChar w:fldCharType="begin"/>
            </w:r>
            <w:r w:rsidR="0079620F">
              <w:rPr>
                <w:noProof/>
                <w:webHidden/>
              </w:rPr>
              <w:instrText xml:space="preserve"> PAGEREF _Toc62485653 \h </w:instrText>
            </w:r>
            <w:r w:rsidR="0079620F">
              <w:rPr>
                <w:noProof/>
                <w:webHidden/>
              </w:rPr>
            </w:r>
            <w:r w:rsidR="0079620F">
              <w:rPr>
                <w:noProof/>
                <w:webHidden/>
              </w:rPr>
              <w:fldChar w:fldCharType="separate"/>
            </w:r>
            <w:r w:rsidR="0079620F">
              <w:rPr>
                <w:noProof/>
                <w:webHidden/>
              </w:rPr>
              <w:t>8</w:t>
            </w:r>
            <w:r w:rsidR="0079620F">
              <w:rPr>
                <w:noProof/>
                <w:webHidden/>
              </w:rPr>
              <w:fldChar w:fldCharType="end"/>
            </w:r>
          </w:hyperlink>
        </w:p>
        <w:p w14:paraId="68893A8E" w14:textId="5BFD3401" w:rsidR="0079620F" w:rsidRDefault="009A62DD">
          <w:pPr>
            <w:pStyle w:val="TOC2"/>
            <w:tabs>
              <w:tab w:val="right" w:leader="dot" w:pos="9350"/>
            </w:tabs>
            <w:rPr>
              <w:rFonts w:eastAsiaTheme="minorEastAsia"/>
              <w:noProof/>
            </w:rPr>
          </w:pPr>
          <w:hyperlink w:anchor="_Toc62485654" w:history="1">
            <w:r w:rsidR="0079620F" w:rsidRPr="0062164C">
              <w:rPr>
                <w:rStyle w:val="Hyperlink"/>
                <w:b/>
                <w:bCs/>
                <w:noProof/>
              </w:rPr>
              <w:t>Appendix Exhibit H. Effect of Percentage Change of Inputs on the ICER</w:t>
            </w:r>
            <w:r w:rsidR="0079620F">
              <w:rPr>
                <w:noProof/>
                <w:webHidden/>
              </w:rPr>
              <w:tab/>
            </w:r>
            <w:r w:rsidR="0079620F">
              <w:rPr>
                <w:noProof/>
                <w:webHidden/>
              </w:rPr>
              <w:fldChar w:fldCharType="begin"/>
            </w:r>
            <w:r w:rsidR="0079620F">
              <w:rPr>
                <w:noProof/>
                <w:webHidden/>
              </w:rPr>
              <w:instrText xml:space="preserve"> PAGEREF _Toc62485654 \h </w:instrText>
            </w:r>
            <w:r w:rsidR="0079620F">
              <w:rPr>
                <w:noProof/>
                <w:webHidden/>
              </w:rPr>
            </w:r>
            <w:r w:rsidR="0079620F">
              <w:rPr>
                <w:noProof/>
                <w:webHidden/>
              </w:rPr>
              <w:fldChar w:fldCharType="separate"/>
            </w:r>
            <w:r w:rsidR="0079620F">
              <w:rPr>
                <w:noProof/>
                <w:webHidden/>
              </w:rPr>
              <w:t>9</w:t>
            </w:r>
            <w:r w:rsidR="0079620F">
              <w:rPr>
                <w:noProof/>
                <w:webHidden/>
              </w:rPr>
              <w:fldChar w:fldCharType="end"/>
            </w:r>
          </w:hyperlink>
        </w:p>
        <w:p w14:paraId="73983EE3" w14:textId="2C1CBB3E" w:rsidR="0079620F" w:rsidRDefault="009A62DD">
          <w:pPr>
            <w:pStyle w:val="TOC1"/>
            <w:tabs>
              <w:tab w:val="right" w:leader="dot" w:pos="9350"/>
            </w:tabs>
            <w:rPr>
              <w:rFonts w:eastAsiaTheme="minorEastAsia"/>
              <w:noProof/>
            </w:rPr>
          </w:pPr>
          <w:hyperlink w:anchor="_Toc62485655" w:history="1">
            <w:r w:rsidR="0079620F" w:rsidRPr="0062164C">
              <w:rPr>
                <w:rStyle w:val="Hyperlink"/>
                <w:b/>
                <w:bCs/>
                <w:noProof/>
              </w:rPr>
              <w:t>CONSOLIDATED HEALTH ECONOMIC EVALUATION REPORTING STANDARDS – CHEERS CHECKLIST</w:t>
            </w:r>
            <w:r w:rsidR="0079620F">
              <w:rPr>
                <w:noProof/>
                <w:webHidden/>
              </w:rPr>
              <w:tab/>
            </w:r>
            <w:r w:rsidR="0079620F">
              <w:rPr>
                <w:noProof/>
                <w:webHidden/>
              </w:rPr>
              <w:fldChar w:fldCharType="begin"/>
            </w:r>
            <w:r w:rsidR="0079620F">
              <w:rPr>
                <w:noProof/>
                <w:webHidden/>
              </w:rPr>
              <w:instrText xml:space="preserve"> PAGEREF _Toc62485655 \h </w:instrText>
            </w:r>
            <w:r w:rsidR="0079620F">
              <w:rPr>
                <w:noProof/>
                <w:webHidden/>
              </w:rPr>
            </w:r>
            <w:r w:rsidR="0079620F">
              <w:rPr>
                <w:noProof/>
                <w:webHidden/>
              </w:rPr>
              <w:fldChar w:fldCharType="separate"/>
            </w:r>
            <w:r w:rsidR="0079620F">
              <w:rPr>
                <w:noProof/>
                <w:webHidden/>
              </w:rPr>
              <w:t>10</w:t>
            </w:r>
            <w:r w:rsidR="0079620F">
              <w:rPr>
                <w:noProof/>
                <w:webHidden/>
              </w:rPr>
              <w:fldChar w:fldCharType="end"/>
            </w:r>
          </w:hyperlink>
        </w:p>
        <w:p w14:paraId="75B4AAA0" w14:textId="08038DB8" w:rsidR="00F51D4E" w:rsidRPr="00926306" w:rsidRDefault="00F51D4E" w:rsidP="00926306">
          <w:r>
            <w:rPr>
              <w:b/>
              <w:bCs/>
              <w:noProof/>
            </w:rPr>
            <w:fldChar w:fldCharType="end"/>
          </w:r>
        </w:p>
      </w:sdtContent>
    </w:sdt>
    <w:p w14:paraId="15AC8387" w14:textId="77777777" w:rsidR="00F51D4E" w:rsidRPr="00C45633" w:rsidRDefault="00F51D4E" w:rsidP="00B17018">
      <w:pPr>
        <w:spacing w:after="0" w:line="240" w:lineRule="auto"/>
        <w:rPr>
          <w:b/>
          <w:bCs/>
        </w:rPr>
      </w:pPr>
    </w:p>
    <w:p w14:paraId="296B2DBD" w14:textId="7244688B" w:rsidR="00E158EE" w:rsidRDefault="00E158EE" w:rsidP="00F51D4E">
      <w:pPr>
        <w:pStyle w:val="Heading1"/>
        <w:rPr>
          <w:b/>
          <w:bCs/>
        </w:rPr>
      </w:pPr>
      <w:bookmarkStart w:id="0" w:name="_Toc62485640"/>
      <w:r w:rsidRPr="00C45633">
        <w:rPr>
          <w:b/>
          <w:bCs/>
        </w:rPr>
        <w:t>METHODS</w:t>
      </w:r>
      <w:bookmarkEnd w:id="0"/>
    </w:p>
    <w:p w14:paraId="1581E81E" w14:textId="0B6074C2" w:rsidR="002D4B59" w:rsidRDefault="002C5C30" w:rsidP="00926306">
      <w:pPr>
        <w:spacing w:after="0" w:line="240" w:lineRule="auto"/>
      </w:pPr>
      <w:r w:rsidRPr="00FC6088">
        <w:t>Program ingredients included experts’ time design</w:t>
      </w:r>
      <w:r>
        <w:t>ing</w:t>
      </w:r>
      <w:r w:rsidRPr="00FC6088">
        <w:t xml:space="preserve"> </w:t>
      </w:r>
      <w:r>
        <w:t xml:space="preserve">the intervention </w:t>
      </w:r>
      <w:r w:rsidRPr="00FC6088">
        <w:t xml:space="preserve">and </w:t>
      </w:r>
      <w:r>
        <w:t xml:space="preserve">developing the creche </w:t>
      </w:r>
      <w:r w:rsidRPr="00FC6088">
        <w:t>manual</w:t>
      </w:r>
      <w:r>
        <w:t>s,</w:t>
      </w:r>
      <w:r w:rsidRPr="00FC6088">
        <w:t xml:space="preserve"> equipment for central</w:t>
      </w:r>
      <w:r>
        <w:t xml:space="preserve"> offices</w:t>
      </w:r>
      <w:r w:rsidRPr="00FC6088">
        <w:t xml:space="preserve"> (CO) and field offices (FOs)</w:t>
      </w:r>
      <w:r>
        <w:t xml:space="preserve">, </w:t>
      </w:r>
      <w:r w:rsidRPr="00FC6088">
        <w:t xml:space="preserve">trainings for </w:t>
      </w:r>
      <w:r>
        <w:t>crèche mothers and assistants</w:t>
      </w:r>
      <w:r w:rsidRPr="00FC6088">
        <w:t>, supervisors and monitoring officers</w:t>
      </w:r>
      <w:r>
        <w:t>,</w:t>
      </w:r>
      <w:r w:rsidRPr="00FC6088">
        <w:t xml:space="preserve"> expenses for coordinating union, upazilla and village injury committee meetings</w:t>
      </w:r>
      <w:r>
        <w:t>,</w:t>
      </w:r>
      <w:r w:rsidRPr="00FC6088">
        <w:t xml:space="preserve"> engaging the community in the program</w:t>
      </w:r>
      <w:r>
        <w:t>,</w:t>
      </w:r>
      <w:r w:rsidRPr="00FC6088">
        <w:t xml:space="preserve"> manual printing (one per crèche)</w:t>
      </w:r>
      <w:r>
        <w:t>,</w:t>
      </w:r>
      <w:r w:rsidRPr="00FC6088">
        <w:t xml:space="preserve"> </w:t>
      </w:r>
      <w:r>
        <w:t xml:space="preserve">and </w:t>
      </w:r>
      <w:r w:rsidRPr="00FC6088">
        <w:t>logistic supplies</w:t>
      </w:r>
      <w:r>
        <w:t xml:space="preserve"> for the creches</w:t>
      </w:r>
      <w:r w:rsidRPr="00FC6088">
        <w:t xml:space="preserve"> (tiffin box, plastic jug, mug, paper basket, bowl, soap case, belcha, plastic pack, melamine glass, story book, poster chart, floor mat (12x 16 ft2), black board, electric fan, board, switch, cable and normal bulb</w:t>
      </w:r>
      <w:r>
        <w:t>)</w:t>
      </w:r>
      <w:r w:rsidRPr="00FC6088">
        <w:t xml:space="preserve">. Other </w:t>
      </w:r>
      <w:r>
        <w:t xml:space="preserve">items included in the program cost included </w:t>
      </w:r>
      <w:r w:rsidRPr="00FC6088">
        <w:t>supplies provided more than once per year</w:t>
      </w:r>
      <w:r>
        <w:t xml:space="preserve"> (e.g.</w:t>
      </w:r>
      <w:r w:rsidRPr="00FC6088">
        <w:t xml:space="preserve"> registration book, towels, toys, door mat, soap, broom, colors and paper, chalks), stipend for</w:t>
      </w:r>
      <w:r>
        <w:t xml:space="preserve"> crèche mothers and assistant</w:t>
      </w:r>
      <w:r w:rsidRPr="00FC6088">
        <w:t>, CO and FOs</w:t>
      </w:r>
      <w:r>
        <w:t>’</w:t>
      </w:r>
      <w:r w:rsidRPr="00FC6088">
        <w:t xml:space="preserve"> rent, wages, utilities, maintenance.</w:t>
      </w:r>
      <w:r w:rsidR="002D4B59">
        <w:br w:type="page"/>
      </w:r>
    </w:p>
    <w:p w14:paraId="62A2D44F" w14:textId="77777777" w:rsidR="002D4B59" w:rsidRDefault="002D4B59" w:rsidP="00B17018">
      <w:pPr>
        <w:spacing w:after="0" w:line="240" w:lineRule="auto"/>
        <w:rPr>
          <w:b/>
          <w:bCs/>
        </w:rPr>
      </w:pPr>
    </w:p>
    <w:p w14:paraId="0DF34351" w14:textId="77777777" w:rsidR="00B17018" w:rsidRDefault="00B17018" w:rsidP="00B17018">
      <w:pPr>
        <w:spacing w:after="0" w:line="240" w:lineRule="auto"/>
        <w:rPr>
          <w:b/>
          <w:bCs/>
        </w:rPr>
      </w:pPr>
    </w:p>
    <w:p w14:paraId="653CB90B" w14:textId="581EC405" w:rsidR="00C45633" w:rsidRPr="00C45633" w:rsidRDefault="00C45633" w:rsidP="00F51D4E">
      <w:pPr>
        <w:pStyle w:val="Heading2"/>
        <w:rPr>
          <w:b/>
          <w:bCs/>
        </w:rPr>
      </w:pPr>
      <w:bookmarkStart w:id="1" w:name="_Toc62485641"/>
      <w:r w:rsidRPr="00C45633">
        <w:rPr>
          <w:b/>
          <w:bCs/>
        </w:rPr>
        <w:t>Appendix Exhibit A</w:t>
      </w:r>
      <w:r>
        <w:rPr>
          <w:b/>
          <w:bCs/>
        </w:rPr>
        <w:t>.</w:t>
      </w:r>
      <w:r w:rsidRPr="00C45633">
        <w:rPr>
          <w:b/>
          <w:bCs/>
        </w:rPr>
        <w:t xml:space="preserve"> Detailed List of Creche Program Inputs</w:t>
      </w:r>
      <w:bookmarkEnd w:id="1"/>
    </w:p>
    <w:tbl>
      <w:tblPr>
        <w:tblW w:w="7952" w:type="dxa"/>
        <w:tblInd w:w="108" w:type="dxa"/>
        <w:tblLook w:val="04A0" w:firstRow="1" w:lastRow="0" w:firstColumn="1" w:lastColumn="0" w:noHBand="0" w:noVBand="1"/>
      </w:tblPr>
      <w:tblGrid>
        <w:gridCol w:w="266"/>
        <w:gridCol w:w="2087"/>
        <w:gridCol w:w="5796"/>
      </w:tblGrid>
      <w:tr w:rsidR="00C45633" w:rsidRPr="00C45633" w14:paraId="31E0E914" w14:textId="77777777" w:rsidTr="00C45633">
        <w:trPr>
          <w:trHeight w:val="290"/>
        </w:trPr>
        <w:tc>
          <w:tcPr>
            <w:tcW w:w="2156" w:type="dxa"/>
            <w:gridSpan w:val="2"/>
            <w:tcBorders>
              <w:top w:val="nil"/>
              <w:left w:val="nil"/>
              <w:bottom w:val="single" w:sz="4" w:space="0" w:color="auto"/>
              <w:right w:val="nil"/>
            </w:tcBorders>
            <w:shd w:val="clear" w:color="000000" w:fill="D9D9D9"/>
            <w:noWrap/>
            <w:vAlign w:val="center"/>
            <w:hideMark/>
          </w:tcPr>
          <w:p w14:paraId="183BC737" w14:textId="77777777" w:rsidR="00C45633" w:rsidRPr="00C45633" w:rsidRDefault="00C45633" w:rsidP="00B17018">
            <w:pPr>
              <w:spacing w:after="0" w:line="240" w:lineRule="auto"/>
              <w:jc w:val="center"/>
              <w:rPr>
                <w:rFonts w:ascii="Calibri" w:eastAsia="Times New Roman" w:hAnsi="Calibri" w:cs="Calibri"/>
                <w:b/>
                <w:bCs/>
                <w:color w:val="000000"/>
              </w:rPr>
            </w:pPr>
            <w:r w:rsidRPr="00C45633">
              <w:rPr>
                <w:rFonts w:ascii="Calibri" w:eastAsia="Times New Roman" w:hAnsi="Calibri" w:cs="Calibri"/>
                <w:b/>
                <w:bCs/>
                <w:color w:val="000000"/>
              </w:rPr>
              <w:t>Input Category</w:t>
            </w:r>
          </w:p>
        </w:tc>
        <w:tc>
          <w:tcPr>
            <w:tcW w:w="5796" w:type="dxa"/>
            <w:tcBorders>
              <w:top w:val="nil"/>
              <w:left w:val="nil"/>
              <w:bottom w:val="single" w:sz="4" w:space="0" w:color="auto"/>
              <w:right w:val="nil"/>
            </w:tcBorders>
            <w:shd w:val="clear" w:color="000000" w:fill="D9D9D9"/>
            <w:noWrap/>
            <w:vAlign w:val="center"/>
            <w:hideMark/>
          </w:tcPr>
          <w:p w14:paraId="48564D51" w14:textId="77777777" w:rsidR="00C45633" w:rsidRPr="00C45633" w:rsidRDefault="00C45633" w:rsidP="00B17018">
            <w:pPr>
              <w:spacing w:after="0" w:line="240" w:lineRule="auto"/>
              <w:jc w:val="center"/>
              <w:rPr>
                <w:rFonts w:ascii="Calibri" w:eastAsia="Times New Roman" w:hAnsi="Calibri" w:cs="Calibri"/>
                <w:b/>
                <w:bCs/>
                <w:color w:val="000000"/>
              </w:rPr>
            </w:pPr>
            <w:r w:rsidRPr="00C45633">
              <w:rPr>
                <w:rFonts w:ascii="Calibri" w:eastAsia="Times New Roman" w:hAnsi="Calibri" w:cs="Calibri"/>
                <w:b/>
                <w:bCs/>
                <w:color w:val="000000"/>
              </w:rPr>
              <w:t xml:space="preserve">Input Description </w:t>
            </w:r>
          </w:p>
        </w:tc>
      </w:tr>
      <w:tr w:rsidR="00C45633" w:rsidRPr="00C45633" w14:paraId="55994F82" w14:textId="77777777" w:rsidTr="00C45633">
        <w:trPr>
          <w:trHeight w:val="290"/>
        </w:trPr>
        <w:tc>
          <w:tcPr>
            <w:tcW w:w="7952" w:type="dxa"/>
            <w:gridSpan w:val="3"/>
            <w:tcBorders>
              <w:top w:val="nil"/>
              <w:left w:val="nil"/>
              <w:bottom w:val="nil"/>
              <w:right w:val="nil"/>
            </w:tcBorders>
            <w:shd w:val="clear" w:color="auto" w:fill="auto"/>
            <w:noWrap/>
            <w:hideMark/>
          </w:tcPr>
          <w:p w14:paraId="1C5A7724" w14:textId="77777777" w:rsidR="00C45633" w:rsidRPr="00C45633" w:rsidRDefault="00C45633" w:rsidP="00B17018">
            <w:pPr>
              <w:spacing w:after="0" w:line="240" w:lineRule="auto"/>
              <w:rPr>
                <w:rFonts w:ascii="Calibri" w:eastAsia="Times New Roman" w:hAnsi="Calibri" w:cs="Calibri"/>
                <w:b/>
                <w:bCs/>
                <w:color w:val="000000"/>
              </w:rPr>
            </w:pPr>
            <w:r w:rsidRPr="00C45633">
              <w:rPr>
                <w:rFonts w:ascii="Calibri" w:eastAsia="Times New Roman" w:hAnsi="Calibri" w:cs="Calibri"/>
                <w:b/>
                <w:bCs/>
                <w:color w:val="000000"/>
              </w:rPr>
              <w:t>Fixed Costs [life-time yrs.]</w:t>
            </w:r>
          </w:p>
        </w:tc>
      </w:tr>
      <w:tr w:rsidR="00C45633" w:rsidRPr="00C45633" w14:paraId="55F51992" w14:textId="77777777" w:rsidTr="00C45633">
        <w:trPr>
          <w:trHeight w:val="580"/>
        </w:trPr>
        <w:tc>
          <w:tcPr>
            <w:tcW w:w="69" w:type="dxa"/>
            <w:tcBorders>
              <w:top w:val="nil"/>
              <w:left w:val="nil"/>
              <w:bottom w:val="nil"/>
              <w:right w:val="nil"/>
            </w:tcBorders>
            <w:shd w:val="clear" w:color="auto" w:fill="auto"/>
            <w:noWrap/>
            <w:hideMark/>
          </w:tcPr>
          <w:p w14:paraId="758C073D" w14:textId="77777777" w:rsidR="00C45633" w:rsidRPr="00C45633" w:rsidRDefault="00C45633" w:rsidP="00B17018">
            <w:pPr>
              <w:spacing w:after="0" w:line="240" w:lineRule="auto"/>
              <w:rPr>
                <w:rFonts w:ascii="Calibri" w:eastAsia="Times New Roman" w:hAnsi="Calibri" w:cs="Calibri"/>
                <w:b/>
                <w:bCs/>
                <w:color w:val="000000"/>
              </w:rPr>
            </w:pPr>
          </w:p>
        </w:tc>
        <w:tc>
          <w:tcPr>
            <w:tcW w:w="2087" w:type="dxa"/>
            <w:tcBorders>
              <w:top w:val="nil"/>
              <w:left w:val="nil"/>
              <w:bottom w:val="nil"/>
              <w:right w:val="nil"/>
            </w:tcBorders>
            <w:shd w:val="clear" w:color="auto" w:fill="auto"/>
            <w:noWrap/>
            <w:hideMark/>
          </w:tcPr>
          <w:p w14:paraId="17FEA746"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Start-up</w:t>
            </w:r>
          </w:p>
        </w:tc>
        <w:tc>
          <w:tcPr>
            <w:tcW w:w="5796" w:type="dxa"/>
            <w:tcBorders>
              <w:top w:val="nil"/>
              <w:left w:val="nil"/>
              <w:bottom w:val="nil"/>
              <w:right w:val="nil"/>
            </w:tcBorders>
            <w:shd w:val="clear" w:color="auto" w:fill="auto"/>
            <w:hideMark/>
          </w:tcPr>
          <w:p w14:paraId="1F63E280"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Program design, manual development, initial stakeholder meetings (2-6 months of labor and operational costs) [10]</w:t>
            </w:r>
          </w:p>
        </w:tc>
      </w:tr>
      <w:tr w:rsidR="00C45633" w:rsidRPr="00C45633" w14:paraId="0523EA8E" w14:textId="77777777" w:rsidTr="00C45633">
        <w:trPr>
          <w:trHeight w:val="290"/>
        </w:trPr>
        <w:tc>
          <w:tcPr>
            <w:tcW w:w="69" w:type="dxa"/>
            <w:tcBorders>
              <w:top w:val="nil"/>
              <w:left w:val="nil"/>
              <w:bottom w:val="nil"/>
              <w:right w:val="nil"/>
            </w:tcBorders>
            <w:shd w:val="clear" w:color="auto" w:fill="auto"/>
            <w:noWrap/>
            <w:hideMark/>
          </w:tcPr>
          <w:p w14:paraId="36E2E469"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val="restart"/>
            <w:tcBorders>
              <w:top w:val="nil"/>
              <w:left w:val="nil"/>
              <w:bottom w:val="nil"/>
              <w:right w:val="nil"/>
            </w:tcBorders>
            <w:shd w:val="clear" w:color="auto" w:fill="auto"/>
            <w:hideMark/>
          </w:tcPr>
          <w:p w14:paraId="396158FA"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 xml:space="preserve">Equipment </w:t>
            </w:r>
          </w:p>
        </w:tc>
        <w:tc>
          <w:tcPr>
            <w:tcW w:w="5796" w:type="dxa"/>
            <w:tcBorders>
              <w:top w:val="nil"/>
              <w:left w:val="nil"/>
              <w:bottom w:val="nil"/>
              <w:right w:val="nil"/>
            </w:tcBorders>
            <w:shd w:val="clear" w:color="auto" w:fill="auto"/>
            <w:hideMark/>
          </w:tcPr>
          <w:p w14:paraId="669F3793"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Office furniture [10]</w:t>
            </w:r>
          </w:p>
        </w:tc>
      </w:tr>
      <w:tr w:rsidR="00C45633" w:rsidRPr="00C45633" w14:paraId="28F8BECB" w14:textId="77777777" w:rsidTr="00C45633">
        <w:trPr>
          <w:trHeight w:val="290"/>
        </w:trPr>
        <w:tc>
          <w:tcPr>
            <w:tcW w:w="69" w:type="dxa"/>
            <w:tcBorders>
              <w:top w:val="nil"/>
              <w:left w:val="nil"/>
              <w:bottom w:val="nil"/>
              <w:right w:val="nil"/>
            </w:tcBorders>
            <w:shd w:val="clear" w:color="auto" w:fill="auto"/>
            <w:noWrap/>
            <w:hideMark/>
          </w:tcPr>
          <w:p w14:paraId="4DEA0F7E"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nil"/>
              <w:right w:val="nil"/>
            </w:tcBorders>
            <w:vAlign w:val="center"/>
            <w:hideMark/>
          </w:tcPr>
          <w:p w14:paraId="276140AC"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58FACF8A"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Office computers [5]</w:t>
            </w:r>
          </w:p>
        </w:tc>
      </w:tr>
      <w:tr w:rsidR="00C45633" w:rsidRPr="00C45633" w14:paraId="2C4A0AE1" w14:textId="77777777" w:rsidTr="00C45633">
        <w:trPr>
          <w:trHeight w:val="290"/>
        </w:trPr>
        <w:tc>
          <w:tcPr>
            <w:tcW w:w="69" w:type="dxa"/>
            <w:tcBorders>
              <w:top w:val="nil"/>
              <w:left w:val="nil"/>
              <w:bottom w:val="nil"/>
              <w:right w:val="nil"/>
            </w:tcBorders>
            <w:shd w:val="clear" w:color="auto" w:fill="auto"/>
            <w:noWrap/>
            <w:hideMark/>
          </w:tcPr>
          <w:p w14:paraId="69BC4D88" w14:textId="77777777" w:rsidR="00C45633" w:rsidRPr="00C45633" w:rsidRDefault="00C45633" w:rsidP="00B17018">
            <w:pPr>
              <w:spacing w:after="0" w:line="240" w:lineRule="auto"/>
              <w:rPr>
                <w:rFonts w:ascii="Calibri" w:eastAsia="Times New Roman" w:hAnsi="Calibri" w:cs="Calibri"/>
                <w:color w:val="000000"/>
              </w:rPr>
            </w:pPr>
          </w:p>
        </w:tc>
        <w:tc>
          <w:tcPr>
            <w:tcW w:w="2087" w:type="dxa"/>
            <w:tcBorders>
              <w:top w:val="nil"/>
              <w:left w:val="nil"/>
              <w:bottom w:val="nil"/>
              <w:right w:val="nil"/>
            </w:tcBorders>
            <w:shd w:val="clear" w:color="auto" w:fill="auto"/>
            <w:noWrap/>
            <w:hideMark/>
          </w:tcPr>
          <w:p w14:paraId="77F747CC"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Trainings</w:t>
            </w:r>
          </w:p>
        </w:tc>
        <w:tc>
          <w:tcPr>
            <w:tcW w:w="5796" w:type="dxa"/>
            <w:tcBorders>
              <w:top w:val="nil"/>
              <w:left w:val="nil"/>
              <w:bottom w:val="nil"/>
              <w:right w:val="nil"/>
            </w:tcBorders>
            <w:shd w:val="clear" w:color="auto" w:fill="auto"/>
            <w:hideMark/>
          </w:tcPr>
          <w:p w14:paraId="648A64CD"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Crèche mother, mother assistant, trainer-of-trainers [5]</w:t>
            </w:r>
          </w:p>
        </w:tc>
      </w:tr>
      <w:tr w:rsidR="00C45633" w:rsidRPr="00C45633" w14:paraId="18EE1215" w14:textId="77777777" w:rsidTr="00C45633">
        <w:trPr>
          <w:trHeight w:val="580"/>
        </w:trPr>
        <w:tc>
          <w:tcPr>
            <w:tcW w:w="69" w:type="dxa"/>
            <w:tcBorders>
              <w:top w:val="nil"/>
              <w:left w:val="nil"/>
              <w:bottom w:val="nil"/>
              <w:right w:val="nil"/>
            </w:tcBorders>
            <w:shd w:val="clear" w:color="auto" w:fill="auto"/>
            <w:noWrap/>
            <w:hideMark/>
          </w:tcPr>
          <w:p w14:paraId="2F901DA0"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val="restart"/>
            <w:tcBorders>
              <w:top w:val="nil"/>
              <w:left w:val="nil"/>
              <w:bottom w:val="single" w:sz="4" w:space="0" w:color="000000"/>
              <w:right w:val="nil"/>
            </w:tcBorders>
            <w:shd w:val="clear" w:color="auto" w:fill="auto"/>
            <w:hideMark/>
          </w:tcPr>
          <w:p w14:paraId="46CD4C54"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Crèche maintenance</w:t>
            </w:r>
          </w:p>
        </w:tc>
        <w:tc>
          <w:tcPr>
            <w:tcW w:w="5796" w:type="dxa"/>
            <w:tcBorders>
              <w:top w:val="nil"/>
              <w:left w:val="nil"/>
              <w:bottom w:val="nil"/>
              <w:right w:val="nil"/>
            </w:tcBorders>
            <w:shd w:val="clear" w:color="auto" w:fill="auto"/>
            <w:hideMark/>
          </w:tcPr>
          <w:p w14:paraId="4CF61E1D"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Long lasting supplies: stationery, teaching and cleaning, equipment [5]</w:t>
            </w:r>
          </w:p>
        </w:tc>
      </w:tr>
      <w:tr w:rsidR="00C45633" w:rsidRPr="00C45633" w14:paraId="55BE3872" w14:textId="77777777" w:rsidTr="00C45633">
        <w:trPr>
          <w:trHeight w:val="290"/>
        </w:trPr>
        <w:tc>
          <w:tcPr>
            <w:tcW w:w="69" w:type="dxa"/>
            <w:tcBorders>
              <w:top w:val="nil"/>
              <w:left w:val="nil"/>
              <w:bottom w:val="nil"/>
              <w:right w:val="nil"/>
            </w:tcBorders>
            <w:shd w:val="clear" w:color="auto" w:fill="auto"/>
            <w:noWrap/>
            <w:hideMark/>
          </w:tcPr>
          <w:p w14:paraId="0038776A"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1149D170"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57F46471"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Short lasting supplies: teaching and cleaning supplies [1]</w:t>
            </w:r>
          </w:p>
        </w:tc>
      </w:tr>
      <w:tr w:rsidR="00C45633" w:rsidRPr="00C45633" w14:paraId="730FD6A7" w14:textId="77777777" w:rsidTr="00C45633">
        <w:trPr>
          <w:trHeight w:val="290"/>
        </w:trPr>
        <w:tc>
          <w:tcPr>
            <w:tcW w:w="69" w:type="dxa"/>
            <w:tcBorders>
              <w:top w:val="nil"/>
              <w:left w:val="nil"/>
              <w:bottom w:val="single" w:sz="4" w:space="0" w:color="auto"/>
              <w:right w:val="nil"/>
            </w:tcBorders>
            <w:shd w:val="clear" w:color="auto" w:fill="auto"/>
            <w:noWrap/>
            <w:hideMark/>
          </w:tcPr>
          <w:p w14:paraId="7D8840F5"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 </w:t>
            </w:r>
          </w:p>
        </w:tc>
        <w:tc>
          <w:tcPr>
            <w:tcW w:w="2087" w:type="dxa"/>
            <w:vMerge/>
            <w:tcBorders>
              <w:top w:val="nil"/>
              <w:left w:val="nil"/>
              <w:bottom w:val="single" w:sz="4" w:space="0" w:color="000000"/>
              <w:right w:val="nil"/>
            </w:tcBorders>
            <w:vAlign w:val="center"/>
            <w:hideMark/>
          </w:tcPr>
          <w:p w14:paraId="6F30E525"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single" w:sz="4" w:space="0" w:color="auto"/>
              <w:right w:val="nil"/>
            </w:tcBorders>
            <w:shd w:val="clear" w:color="auto" w:fill="auto"/>
            <w:hideMark/>
          </w:tcPr>
          <w:p w14:paraId="41D3BD3E"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Repairs [2]</w:t>
            </w:r>
          </w:p>
        </w:tc>
      </w:tr>
      <w:tr w:rsidR="00C45633" w:rsidRPr="00C45633" w14:paraId="26907F4E" w14:textId="77777777" w:rsidTr="00C45633">
        <w:trPr>
          <w:trHeight w:val="290"/>
        </w:trPr>
        <w:tc>
          <w:tcPr>
            <w:tcW w:w="2156" w:type="dxa"/>
            <w:gridSpan w:val="2"/>
            <w:tcBorders>
              <w:top w:val="nil"/>
              <w:left w:val="nil"/>
              <w:bottom w:val="nil"/>
              <w:right w:val="nil"/>
            </w:tcBorders>
            <w:shd w:val="clear" w:color="auto" w:fill="auto"/>
            <w:noWrap/>
            <w:hideMark/>
          </w:tcPr>
          <w:p w14:paraId="41AAAA6C" w14:textId="77777777" w:rsidR="00C45633" w:rsidRPr="00C45633" w:rsidRDefault="00C45633" w:rsidP="00B17018">
            <w:pPr>
              <w:spacing w:after="0" w:line="240" w:lineRule="auto"/>
              <w:rPr>
                <w:rFonts w:ascii="Calibri" w:eastAsia="Times New Roman" w:hAnsi="Calibri" w:cs="Calibri"/>
                <w:b/>
                <w:bCs/>
                <w:color w:val="000000"/>
              </w:rPr>
            </w:pPr>
            <w:r w:rsidRPr="00C45633">
              <w:rPr>
                <w:rFonts w:ascii="Calibri" w:eastAsia="Times New Roman" w:hAnsi="Calibri" w:cs="Calibri"/>
                <w:b/>
                <w:bCs/>
                <w:color w:val="000000"/>
              </w:rPr>
              <w:t>Variable Cost (VC)</w:t>
            </w:r>
          </w:p>
        </w:tc>
        <w:tc>
          <w:tcPr>
            <w:tcW w:w="5796" w:type="dxa"/>
            <w:tcBorders>
              <w:top w:val="nil"/>
              <w:left w:val="nil"/>
              <w:bottom w:val="nil"/>
              <w:right w:val="nil"/>
            </w:tcBorders>
            <w:shd w:val="clear" w:color="auto" w:fill="auto"/>
            <w:hideMark/>
          </w:tcPr>
          <w:p w14:paraId="4B58BE7C" w14:textId="77777777" w:rsidR="00C45633" w:rsidRPr="00C45633" w:rsidRDefault="00C45633" w:rsidP="00B17018">
            <w:pPr>
              <w:spacing w:after="0" w:line="240" w:lineRule="auto"/>
              <w:rPr>
                <w:rFonts w:ascii="Calibri" w:eastAsia="Times New Roman" w:hAnsi="Calibri" w:cs="Calibri"/>
                <w:b/>
                <w:bCs/>
                <w:color w:val="000000"/>
              </w:rPr>
            </w:pPr>
          </w:p>
        </w:tc>
      </w:tr>
      <w:tr w:rsidR="00C45633" w:rsidRPr="00C45633" w14:paraId="2A800150" w14:textId="77777777" w:rsidTr="00C45633">
        <w:trPr>
          <w:trHeight w:val="290"/>
        </w:trPr>
        <w:tc>
          <w:tcPr>
            <w:tcW w:w="69" w:type="dxa"/>
            <w:tcBorders>
              <w:top w:val="nil"/>
              <w:left w:val="nil"/>
              <w:bottom w:val="nil"/>
              <w:right w:val="nil"/>
            </w:tcBorders>
            <w:shd w:val="clear" w:color="auto" w:fill="auto"/>
            <w:noWrap/>
            <w:hideMark/>
          </w:tcPr>
          <w:p w14:paraId="1070882A" w14:textId="77777777" w:rsidR="00C45633" w:rsidRPr="00C45633" w:rsidRDefault="00C45633" w:rsidP="00B17018">
            <w:pPr>
              <w:spacing w:after="0" w:line="240" w:lineRule="auto"/>
              <w:rPr>
                <w:rFonts w:ascii="Times New Roman" w:eastAsia="Times New Roman" w:hAnsi="Times New Roman" w:cs="Times New Roman"/>
                <w:sz w:val="20"/>
                <w:szCs w:val="20"/>
              </w:rPr>
            </w:pPr>
          </w:p>
        </w:tc>
        <w:tc>
          <w:tcPr>
            <w:tcW w:w="2087" w:type="dxa"/>
            <w:vMerge w:val="restart"/>
            <w:tcBorders>
              <w:top w:val="nil"/>
              <w:left w:val="nil"/>
              <w:bottom w:val="nil"/>
              <w:right w:val="nil"/>
            </w:tcBorders>
            <w:shd w:val="clear" w:color="auto" w:fill="auto"/>
            <w:hideMark/>
          </w:tcPr>
          <w:p w14:paraId="482468E8"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Wages / stipend (field staff)</w:t>
            </w:r>
          </w:p>
        </w:tc>
        <w:tc>
          <w:tcPr>
            <w:tcW w:w="5796" w:type="dxa"/>
            <w:tcBorders>
              <w:top w:val="nil"/>
              <w:left w:val="nil"/>
              <w:bottom w:val="nil"/>
              <w:right w:val="nil"/>
            </w:tcBorders>
            <w:shd w:val="clear" w:color="auto" w:fill="auto"/>
            <w:hideMark/>
          </w:tcPr>
          <w:p w14:paraId="37D96838"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Crèche mother &amp; assistant</w:t>
            </w:r>
          </w:p>
        </w:tc>
      </w:tr>
      <w:tr w:rsidR="00C45633" w:rsidRPr="00C45633" w14:paraId="6BDF9515" w14:textId="77777777" w:rsidTr="00C45633">
        <w:trPr>
          <w:trHeight w:val="290"/>
        </w:trPr>
        <w:tc>
          <w:tcPr>
            <w:tcW w:w="69" w:type="dxa"/>
            <w:tcBorders>
              <w:top w:val="nil"/>
              <w:left w:val="nil"/>
              <w:bottom w:val="nil"/>
              <w:right w:val="nil"/>
            </w:tcBorders>
            <w:shd w:val="clear" w:color="auto" w:fill="auto"/>
            <w:noWrap/>
            <w:hideMark/>
          </w:tcPr>
          <w:p w14:paraId="0BBF3328"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nil"/>
              <w:right w:val="nil"/>
            </w:tcBorders>
            <w:vAlign w:val="center"/>
            <w:hideMark/>
          </w:tcPr>
          <w:p w14:paraId="411A37E2"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25DEB557"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Supervisors</w:t>
            </w:r>
          </w:p>
        </w:tc>
      </w:tr>
      <w:tr w:rsidR="00C45633" w:rsidRPr="00C45633" w14:paraId="43D040E3" w14:textId="77777777" w:rsidTr="00C45633">
        <w:trPr>
          <w:trHeight w:val="290"/>
        </w:trPr>
        <w:tc>
          <w:tcPr>
            <w:tcW w:w="69" w:type="dxa"/>
            <w:tcBorders>
              <w:top w:val="nil"/>
              <w:left w:val="nil"/>
              <w:bottom w:val="nil"/>
              <w:right w:val="nil"/>
            </w:tcBorders>
            <w:shd w:val="clear" w:color="auto" w:fill="auto"/>
            <w:noWrap/>
            <w:hideMark/>
          </w:tcPr>
          <w:p w14:paraId="7B673598"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nil"/>
              <w:right w:val="nil"/>
            </w:tcBorders>
            <w:vAlign w:val="center"/>
            <w:hideMark/>
          </w:tcPr>
          <w:p w14:paraId="418008DF"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67E12834"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Monitoring officers</w:t>
            </w:r>
          </w:p>
        </w:tc>
      </w:tr>
      <w:tr w:rsidR="00C45633" w:rsidRPr="00C45633" w14:paraId="332A5EA0" w14:textId="77777777" w:rsidTr="00C45633">
        <w:trPr>
          <w:trHeight w:val="580"/>
        </w:trPr>
        <w:tc>
          <w:tcPr>
            <w:tcW w:w="69" w:type="dxa"/>
            <w:tcBorders>
              <w:top w:val="nil"/>
              <w:left w:val="nil"/>
              <w:bottom w:val="nil"/>
              <w:right w:val="nil"/>
            </w:tcBorders>
            <w:shd w:val="clear" w:color="auto" w:fill="auto"/>
            <w:noWrap/>
            <w:hideMark/>
          </w:tcPr>
          <w:p w14:paraId="275610D2"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val="restart"/>
            <w:tcBorders>
              <w:top w:val="nil"/>
              <w:left w:val="nil"/>
              <w:bottom w:val="nil"/>
              <w:right w:val="nil"/>
            </w:tcBorders>
            <w:shd w:val="clear" w:color="auto" w:fill="auto"/>
            <w:hideMark/>
          </w:tcPr>
          <w:p w14:paraId="2BCFFF4A"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Community engagement</w:t>
            </w:r>
          </w:p>
        </w:tc>
        <w:tc>
          <w:tcPr>
            <w:tcW w:w="5796" w:type="dxa"/>
            <w:tcBorders>
              <w:top w:val="nil"/>
              <w:left w:val="nil"/>
              <w:bottom w:val="nil"/>
              <w:right w:val="nil"/>
            </w:tcBorders>
            <w:shd w:val="clear" w:color="auto" w:fill="auto"/>
            <w:hideMark/>
          </w:tcPr>
          <w:p w14:paraId="658179CB"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Upazila committee advocacy meeting (CAM), Union CAM, village CAM</w:t>
            </w:r>
          </w:p>
        </w:tc>
      </w:tr>
      <w:tr w:rsidR="00C45633" w:rsidRPr="00C45633" w14:paraId="055AE564" w14:textId="77777777" w:rsidTr="00C45633">
        <w:trPr>
          <w:trHeight w:val="290"/>
        </w:trPr>
        <w:tc>
          <w:tcPr>
            <w:tcW w:w="69" w:type="dxa"/>
            <w:tcBorders>
              <w:top w:val="nil"/>
              <w:left w:val="nil"/>
              <w:bottom w:val="nil"/>
              <w:right w:val="nil"/>
            </w:tcBorders>
            <w:shd w:val="clear" w:color="auto" w:fill="auto"/>
            <w:noWrap/>
            <w:hideMark/>
          </w:tcPr>
          <w:p w14:paraId="7B7CFFF4"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nil"/>
              <w:right w:val="nil"/>
            </w:tcBorders>
            <w:vAlign w:val="center"/>
            <w:hideMark/>
          </w:tcPr>
          <w:p w14:paraId="0574400F"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57CA4236"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Village and Union injury Prevention Committees (VIPC, UIPC)</w:t>
            </w:r>
          </w:p>
        </w:tc>
      </w:tr>
      <w:tr w:rsidR="00C45633" w:rsidRPr="00C45633" w14:paraId="1C867755" w14:textId="77777777" w:rsidTr="00C45633">
        <w:trPr>
          <w:trHeight w:val="290"/>
        </w:trPr>
        <w:tc>
          <w:tcPr>
            <w:tcW w:w="69" w:type="dxa"/>
            <w:tcBorders>
              <w:top w:val="nil"/>
              <w:left w:val="nil"/>
              <w:bottom w:val="nil"/>
              <w:right w:val="nil"/>
            </w:tcBorders>
            <w:shd w:val="clear" w:color="auto" w:fill="auto"/>
            <w:noWrap/>
            <w:vAlign w:val="bottom"/>
            <w:hideMark/>
          </w:tcPr>
          <w:p w14:paraId="0B1EE3A8" w14:textId="77777777" w:rsidR="00C45633" w:rsidRPr="00C45633" w:rsidRDefault="00C45633" w:rsidP="00B17018">
            <w:pPr>
              <w:spacing w:after="0" w:line="240" w:lineRule="auto"/>
              <w:rPr>
                <w:rFonts w:ascii="Calibri" w:eastAsia="Times New Roman" w:hAnsi="Calibri" w:cs="Calibri"/>
                <w:color w:val="000000"/>
              </w:rPr>
            </w:pPr>
          </w:p>
        </w:tc>
        <w:tc>
          <w:tcPr>
            <w:tcW w:w="2087" w:type="dxa"/>
            <w:tcBorders>
              <w:top w:val="nil"/>
              <w:left w:val="nil"/>
              <w:bottom w:val="nil"/>
              <w:right w:val="nil"/>
            </w:tcBorders>
            <w:shd w:val="clear" w:color="auto" w:fill="auto"/>
            <w:noWrap/>
            <w:hideMark/>
          </w:tcPr>
          <w:p w14:paraId="3B104B98"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Transportation</w:t>
            </w:r>
          </w:p>
        </w:tc>
        <w:tc>
          <w:tcPr>
            <w:tcW w:w="5796" w:type="dxa"/>
            <w:tcBorders>
              <w:top w:val="nil"/>
              <w:left w:val="nil"/>
              <w:bottom w:val="nil"/>
              <w:right w:val="nil"/>
            </w:tcBorders>
            <w:shd w:val="clear" w:color="auto" w:fill="auto"/>
            <w:hideMark/>
          </w:tcPr>
          <w:p w14:paraId="7B30DC75"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Excludes trainings</w:t>
            </w:r>
          </w:p>
        </w:tc>
      </w:tr>
      <w:tr w:rsidR="00C45633" w:rsidRPr="00C45633" w14:paraId="5ACA3B87" w14:textId="77777777" w:rsidTr="00C45633">
        <w:trPr>
          <w:trHeight w:val="290"/>
        </w:trPr>
        <w:tc>
          <w:tcPr>
            <w:tcW w:w="69" w:type="dxa"/>
            <w:tcBorders>
              <w:top w:val="nil"/>
              <w:left w:val="nil"/>
              <w:bottom w:val="nil"/>
              <w:right w:val="nil"/>
            </w:tcBorders>
            <w:shd w:val="clear" w:color="auto" w:fill="auto"/>
            <w:noWrap/>
            <w:vAlign w:val="bottom"/>
            <w:hideMark/>
          </w:tcPr>
          <w:p w14:paraId="6D9CB10C" w14:textId="77777777" w:rsidR="00C45633" w:rsidRPr="00C45633" w:rsidRDefault="00C45633" w:rsidP="00B17018">
            <w:pPr>
              <w:spacing w:after="0" w:line="240" w:lineRule="auto"/>
              <w:rPr>
                <w:rFonts w:ascii="Calibri" w:eastAsia="Times New Roman" w:hAnsi="Calibri" w:cs="Calibri"/>
                <w:color w:val="000000"/>
              </w:rPr>
            </w:pPr>
          </w:p>
        </w:tc>
        <w:tc>
          <w:tcPr>
            <w:tcW w:w="2087" w:type="dxa"/>
            <w:tcBorders>
              <w:top w:val="nil"/>
              <w:left w:val="nil"/>
              <w:bottom w:val="nil"/>
              <w:right w:val="nil"/>
            </w:tcBorders>
            <w:shd w:val="clear" w:color="auto" w:fill="auto"/>
            <w:noWrap/>
            <w:hideMark/>
          </w:tcPr>
          <w:p w14:paraId="2F4109E7"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Field overhead</w:t>
            </w:r>
          </w:p>
        </w:tc>
        <w:tc>
          <w:tcPr>
            <w:tcW w:w="5796" w:type="dxa"/>
            <w:tcBorders>
              <w:top w:val="nil"/>
              <w:left w:val="nil"/>
              <w:bottom w:val="nil"/>
              <w:right w:val="nil"/>
            </w:tcBorders>
            <w:shd w:val="clear" w:color="auto" w:fill="auto"/>
            <w:hideMark/>
          </w:tcPr>
          <w:p w14:paraId="6D25B629"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Rent, utilities, maintenance</w:t>
            </w:r>
          </w:p>
        </w:tc>
      </w:tr>
      <w:tr w:rsidR="00C45633" w:rsidRPr="00C45633" w14:paraId="5137CD52" w14:textId="77777777" w:rsidTr="00C45633">
        <w:trPr>
          <w:trHeight w:val="290"/>
        </w:trPr>
        <w:tc>
          <w:tcPr>
            <w:tcW w:w="69" w:type="dxa"/>
            <w:tcBorders>
              <w:top w:val="nil"/>
              <w:left w:val="nil"/>
              <w:bottom w:val="nil"/>
              <w:right w:val="nil"/>
            </w:tcBorders>
            <w:shd w:val="clear" w:color="auto" w:fill="auto"/>
            <w:noWrap/>
            <w:vAlign w:val="bottom"/>
            <w:hideMark/>
          </w:tcPr>
          <w:p w14:paraId="1B5A94F8"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val="restart"/>
            <w:tcBorders>
              <w:top w:val="nil"/>
              <w:left w:val="nil"/>
              <w:bottom w:val="single" w:sz="4" w:space="0" w:color="000000"/>
              <w:right w:val="nil"/>
            </w:tcBorders>
            <w:shd w:val="clear" w:color="auto" w:fill="auto"/>
            <w:hideMark/>
          </w:tcPr>
          <w:p w14:paraId="7D11A949"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Administration</w:t>
            </w:r>
          </w:p>
        </w:tc>
        <w:tc>
          <w:tcPr>
            <w:tcW w:w="5796" w:type="dxa"/>
            <w:tcBorders>
              <w:top w:val="nil"/>
              <w:left w:val="nil"/>
              <w:bottom w:val="nil"/>
              <w:right w:val="nil"/>
            </w:tcBorders>
            <w:shd w:val="clear" w:color="auto" w:fill="auto"/>
            <w:hideMark/>
          </w:tcPr>
          <w:p w14:paraId="29984264"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Rent</w:t>
            </w:r>
          </w:p>
        </w:tc>
      </w:tr>
      <w:tr w:rsidR="00C45633" w:rsidRPr="00C45633" w14:paraId="0AA696C9" w14:textId="77777777" w:rsidTr="00C45633">
        <w:trPr>
          <w:trHeight w:val="580"/>
        </w:trPr>
        <w:tc>
          <w:tcPr>
            <w:tcW w:w="69" w:type="dxa"/>
            <w:tcBorders>
              <w:top w:val="nil"/>
              <w:left w:val="nil"/>
              <w:bottom w:val="nil"/>
              <w:right w:val="nil"/>
            </w:tcBorders>
            <w:shd w:val="clear" w:color="auto" w:fill="auto"/>
            <w:noWrap/>
            <w:vAlign w:val="bottom"/>
            <w:hideMark/>
          </w:tcPr>
          <w:p w14:paraId="64CC9835"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17F805CB"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2102FCBD"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Wages: Upazila coordinators, team leaders, senior FAO, A/C officer</w:t>
            </w:r>
          </w:p>
        </w:tc>
      </w:tr>
      <w:tr w:rsidR="00C45633" w:rsidRPr="00C45633" w14:paraId="0FF1DB27" w14:textId="77777777" w:rsidTr="00C45633">
        <w:trPr>
          <w:trHeight w:val="290"/>
        </w:trPr>
        <w:tc>
          <w:tcPr>
            <w:tcW w:w="69" w:type="dxa"/>
            <w:tcBorders>
              <w:top w:val="nil"/>
              <w:left w:val="nil"/>
              <w:bottom w:val="nil"/>
              <w:right w:val="nil"/>
            </w:tcBorders>
            <w:shd w:val="clear" w:color="auto" w:fill="auto"/>
            <w:noWrap/>
            <w:vAlign w:val="bottom"/>
            <w:hideMark/>
          </w:tcPr>
          <w:p w14:paraId="33F3525F"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18ABC694"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10EDDADC"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Wages: Deputy team leaders, office assistants</w:t>
            </w:r>
          </w:p>
        </w:tc>
      </w:tr>
      <w:tr w:rsidR="00C45633" w:rsidRPr="00C45633" w14:paraId="1DC4DBE7" w14:textId="77777777" w:rsidTr="00C45633">
        <w:trPr>
          <w:trHeight w:val="290"/>
        </w:trPr>
        <w:tc>
          <w:tcPr>
            <w:tcW w:w="69" w:type="dxa"/>
            <w:tcBorders>
              <w:top w:val="nil"/>
              <w:left w:val="nil"/>
              <w:bottom w:val="nil"/>
              <w:right w:val="nil"/>
            </w:tcBorders>
            <w:shd w:val="clear" w:color="auto" w:fill="auto"/>
            <w:noWrap/>
            <w:vAlign w:val="bottom"/>
            <w:hideMark/>
          </w:tcPr>
          <w:p w14:paraId="4C71279B"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2C09473E"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7AFED882"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Wages: Human Resources and Admin</w:t>
            </w:r>
          </w:p>
        </w:tc>
      </w:tr>
      <w:tr w:rsidR="00C45633" w:rsidRPr="00C45633" w14:paraId="02D473D8" w14:textId="77777777" w:rsidTr="00C45633">
        <w:trPr>
          <w:trHeight w:val="290"/>
        </w:trPr>
        <w:tc>
          <w:tcPr>
            <w:tcW w:w="69" w:type="dxa"/>
            <w:tcBorders>
              <w:top w:val="nil"/>
              <w:left w:val="nil"/>
              <w:bottom w:val="nil"/>
              <w:right w:val="nil"/>
            </w:tcBorders>
            <w:shd w:val="clear" w:color="auto" w:fill="auto"/>
            <w:noWrap/>
            <w:vAlign w:val="bottom"/>
            <w:hideMark/>
          </w:tcPr>
          <w:p w14:paraId="2434FD51"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1FE6E272"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7789F6F8"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Wages: Communication officer</w:t>
            </w:r>
          </w:p>
        </w:tc>
      </w:tr>
      <w:tr w:rsidR="00C45633" w:rsidRPr="00C45633" w14:paraId="3AB395B6" w14:textId="77777777" w:rsidTr="00C45633">
        <w:trPr>
          <w:trHeight w:val="290"/>
        </w:trPr>
        <w:tc>
          <w:tcPr>
            <w:tcW w:w="69" w:type="dxa"/>
            <w:tcBorders>
              <w:top w:val="nil"/>
              <w:left w:val="nil"/>
              <w:bottom w:val="nil"/>
              <w:right w:val="nil"/>
            </w:tcBorders>
            <w:shd w:val="clear" w:color="auto" w:fill="auto"/>
            <w:noWrap/>
            <w:vAlign w:val="bottom"/>
            <w:hideMark/>
          </w:tcPr>
          <w:p w14:paraId="2B6CE0BD"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0AF68024"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2D9EA884"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 xml:space="preserve">Wages: Accountants </w:t>
            </w:r>
          </w:p>
        </w:tc>
      </w:tr>
      <w:tr w:rsidR="00C45633" w:rsidRPr="00C45633" w14:paraId="0CD1238A" w14:textId="77777777" w:rsidTr="00C45633">
        <w:trPr>
          <w:trHeight w:val="290"/>
        </w:trPr>
        <w:tc>
          <w:tcPr>
            <w:tcW w:w="69" w:type="dxa"/>
            <w:tcBorders>
              <w:top w:val="nil"/>
              <w:left w:val="nil"/>
              <w:bottom w:val="nil"/>
              <w:right w:val="nil"/>
            </w:tcBorders>
            <w:shd w:val="clear" w:color="auto" w:fill="auto"/>
            <w:noWrap/>
            <w:vAlign w:val="bottom"/>
            <w:hideMark/>
          </w:tcPr>
          <w:p w14:paraId="16834515"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44FDE190"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5AC32E39" w14:textId="5BEEFAD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Utilities expenditure</w:t>
            </w:r>
          </w:p>
        </w:tc>
      </w:tr>
      <w:tr w:rsidR="00C45633" w:rsidRPr="00C45633" w14:paraId="0B9E4348" w14:textId="77777777" w:rsidTr="00C45633">
        <w:trPr>
          <w:trHeight w:val="290"/>
        </w:trPr>
        <w:tc>
          <w:tcPr>
            <w:tcW w:w="69" w:type="dxa"/>
            <w:tcBorders>
              <w:top w:val="nil"/>
              <w:left w:val="nil"/>
              <w:bottom w:val="nil"/>
              <w:right w:val="nil"/>
            </w:tcBorders>
            <w:shd w:val="clear" w:color="auto" w:fill="auto"/>
            <w:noWrap/>
            <w:vAlign w:val="bottom"/>
            <w:hideMark/>
          </w:tcPr>
          <w:p w14:paraId="4E4D2F03" w14:textId="77777777" w:rsidR="00C45633" w:rsidRPr="00C45633" w:rsidRDefault="00C45633" w:rsidP="00B17018">
            <w:pPr>
              <w:spacing w:after="0" w:line="240" w:lineRule="auto"/>
              <w:rPr>
                <w:rFonts w:ascii="Calibri" w:eastAsia="Times New Roman" w:hAnsi="Calibri" w:cs="Calibri"/>
                <w:color w:val="000000"/>
              </w:rPr>
            </w:pPr>
          </w:p>
        </w:tc>
        <w:tc>
          <w:tcPr>
            <w:tcW w:w="2087" w:type="dxa"/>
            <w:vMerge/>
            <w:tcBorders>
              <w:top w:val="nil"/>
              <w:left w:val="nil"/>
              <w:bottom w:val="single" w:sz="4" w:space="0" w:color="000000"/>
              <w:right w:val="nil"/>
            </w:tcBorders>
            <w:vAlign w:val="center"/>
            <w:hideMark/>
          </w:tcPr>
          <w:p w14:paraId="021163AE"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nil"/>
              <w:right w:val="nil"/>
            </w:tcBorders>
            <w:shd w:val="clear" w:color="auto" w:fill="auto"/>
            <w:hideMark/>
          </w:tcPr>
          <w:p w14:paraId="7029B8AA" w14:textId="079844C0"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Maintenance expenditure</w:t>
            </w:r>
          </w:p>
        </w:tc>
      </w:tr>
      <w:tr w:rsidR="00C45633" w:rsidRPr="00C45633" w14:paraId="7AAE7C75" w14:textId="77777777" w:rsidTr="00C45633">
        <w:trPr>
          <w:trHeight w:val="290"/>
        </w:trPr>
        <w:tc>
          <w:tcPr>
            <w:tcW w:w="69" w:type="dxa"/>
            <w:tcBorders>
              <w:top w:val="nil"/>
              <w:left w:val="nil"/>
              <w:bottom w:val="single" w:sz="4" w:space="0" w:color="auto"/>
              <w:right w:val="nil"/>
            </w:tcBorders>
            <w:shd w:val="clear" w:color="auto" w:fill="auto"/>
            <w:noWrap/>
            <w:vAlign w:val="bottom"/>
            <w:hideMark/>
          </w:tcPr>
          <w:p w14:paraId="5187CC64" w14:textId="77777777"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 </w:t>
            </w:r>
          </w:p>
        </w:tc>
        <w:tc>
          <w:tcPr>
            <w:tcW w:w="2087" w:type="dxa"/>
            <w:vMerge/>
            <w:tcBorders>
              <w:top w:val="nil"/>
              <w:left w:val="nil"/>
              <w:bottom w:val="single" w:sz="4" w:space="0" w:color="000000"/>
              <w:right w:val="nil"/>
            </w:tcBorders>
            <w:vAlign w:val="center"/>
            <w:hideMark/>
          </w:tcPr>
          <w:p w14:paraId="61B8EABF" w14:textId="77777777" w:rsidR="00C45633" w:rsidRPr="00C45633" w:rsidRDefault="00C45633" w:rsidP="00B17018">
            <w:pPr>
              <w:spacing w:after="0" w:line="240" w:lineRule="auto"/>
              <w:rPr>
                <w:rFonts w:ascii="Calibri" w:eastAsia="Times New Roman" w:hAnsi="Calibri" w:cs="Calibri"/>
                <w:color w:val="000000"/>
              </w:rPr>
            </w:pPr>
          </w:p>
        </w:tc>
        <w:tc>
          <w:tcPr>
            <w:tcW w:w="5796" w:type="dxa"/>
            <w:tcBorders>
              <w:top w:val="nil"/>
              <w:left w:val="nil"/>
              <w:bottom w:val="single" w:sz="4" w:space="0" w:color="auto"/>
              <w:right w:val="nil"/>
            </w:tcBorders>
            <w:shd w:val="clear" w:color="auto" w:fill="auto"/>
            <w:hideMark/>
          </w:tcPr>
          <w:p w14:paraId="0E129A19" w14:textId="3CFDA5D5" w:rsidR="00C45633" w:rsidRPr="00C45633" w:rsidRDefault="00C45633" w:rsidP="00B17018">
            <w:pPr>
              <w:spacing w:after="0" w:line="240" w:lineRule="auto"/>
              <w:rPr>
                <w:rFonts w:ascii="Calibri" w:eastAsia="Times New Roman" w:hAnsi="Calibri" w:cs="Calibri"/>
                <w:color w:val="000000"/>
              </w:rPr>
            </w:pPr>
            <w:r w:rsidRPr="00C45633">
              <w:rPr>
                <w:rFonts w:ascii="Calibri" w:eastAsia="Times New Roman" w:hAnsi="Calibri" w:cs="Calibri"/>
                <w:color w:val="000000"/>
              </w:rPr>
              <w:t>Communication expenditure</w:t>
            </w:r>
          </w:p>
        </w:tc>
      </w:tr>
    </w:tbl>
    <w:p w14:paraId="1A40BDD5" w14:textId="1BB7D4D6" w:rsidR="00E158EE" w:rsidRDefault="00E158EE" w:rsidP="00B17018">
      <w:pPr>
        <w:spacing w:after="0" w:line="240" w:lineRule="auto"/>
        <w:rPr>
          <w:b/>
          <w:bCs/>
        </w:rPr>
      </w:pPr>
    </w:p>
    <w:p w14:paraId="766CCC10" w14:textId="46DD761A" w:rsidR="002D4B59" w:rsidRDefault="002D4B59">
      <w:pPr>
        <w:rPr>
          <w:b/>
          <w:bCs/>
        </w:rPr>
      </w:pPr>
      <w:r>
        <w:rPr>
          <w:b/>
          <w:bCs/>
        </w:rPr>
        <w:br w:type="page"/>
      </w:r>
    </w:p>
    <w:p w14:paraId="390899B0" w14:textId="77777777" w:rsidR="002D4B59" w:rsidRPr="00C45633" w:rsidRDefault="002D4B59" w:rsidP="00B17018">
      <w:pPr>
        <w:spacing w:after="0" w:line="240" w:lineRule="auto"/>
        <w:rPr>
          <w:b/>
          <w:bCs/>
        </w:rPr>
      </w:pPr>
    </w:p>
    <w:p w14:paraId="755ACC4D" w14:textId="7E8E90C8" w:rsidR="00821027" w:rsidRDefault="00821027" w:rsidP="00B17018">
      <w:pPr>
        <w:spacing w:after="0" w:line="240" w:lineRule="auto"/>
        <w:rPr>
          <w:b/>
          <w:bCs/>
        </w:rPr>
      </w:pPr>
    </w:p>
    <w:p w14:paraId="3E554616" w14:textId="0B0FBDED" w:rsidR="005E30E1" w:rsidRDefault="005E30E1" w:rsidP="00F51D4E">
      <w:pPr>
        <w:pStyle w:val="Heading2"/>
        <w:rPr>
          <w:b/>
          <w:bCs/>
        </w:rPr>
      </w:pPr>
      <w:bookmarkStart w:id="2" w:name="_Toc62485642"/>
      <w:r w:rsidRPr="00C45633">
        <w:rPr>
          <w:b/>
          <w:bCs/>
        </w:rPr>
        <w:t xml:space="preserve">Appendix Exhibit </w:t>
      </w:r>
      <w:r>
        <w:rPr>
          <w:b/>
          <w:bCs/>
        </w:rPr>
        <w:t>B.</w:t>
      </w:r>
      <w:r w:rsidRPr="00C45633">
        <w:rPr>
          <w:b/>
          <w:bCs/>
        </w:rPr>
        <w:t xml:space="preserve"> </w:t>
      </w:r>
      <w:r w:rsidRPr="005E30E1">
        <w:rPr>
          <w:b/>
          <w:bCs/>
        </w:rPr>
        <w:t xml:space="preserve">Societal </w:t>
      </w:r>
      <w:r>
        <w:rPr>
          <w:b/>
          <w:bCs/>
        </w:rPr>
        <w:t>C</w:t>
      </w:r>
      <w:r w:rsidRPr="005E30E1">
        <w:rPr>
          <w:b/>
          <w:bCs/>
        </w:rPr>
        <w:t xml:space="preserve">ost </w:t>
      </w:r>
      <w:r>
        <w:rPr>
          <w:b/>
          <w:bCs/>
        </w:rPr>
        <w:t>P</w:t>
      </w:r>
      <w:r w:rsidRPr="005E30E1">
        <w:rPr>
          <w:b/>
          <w:bCs/>
        </w:rPr>
        <w:t xml:space="preserve">arameter </w:t>
      </w:r>
      <w:r>
        <w:rPr>
          <w:b/>
          <w:bCs/>
        </w:rPr>
        <w:t>A</w:t>
      </w:r>
      <w:r w:rsidRPr="005E30E1">
        <w:rPr>
          <w:b/>
          <w:bCs/>
        </w:rPr>
        <w:t>ssumptions</w:t>
      </w:r>
      <w:r>
        <w:rPr>
          <w:b/>
          <w:bCs/>
        </w:rPr>
        <w:t xml:space="preserve"> </w:t>
      </w:r>
      <w:r w:rsidR="00C83124">
        <w:rPr>
          <w:b/>
          <w:bCs/>
        </w:rPr>
        <w:t>for Monte Carlo Simulation</w:t>
      </w:r>
      <w:bookmarkEnd w:id="2"/>
    </w:p>
    <w:p w14:paraId="214376C1" w14:textId="342F8229" w:rsidR="005E30E1" w:rsidRDefault="005E30E1" w:rsidP="00B17018">
      <w:pPr>
        <w:spacing w:after="0" w:line="240" w:lineRule="auto"/>
        <w:rPr>
          <w:b/>
          <w:bCs/>
        </w:rPr>
      </w:pPr>
    </w:p>
    <w:p w14:paraId="018E0F18" w14:textId="4B38FA7E" w:rsidR="005E30E1" w:rsidRPr="00C45633" w:rsidRDefault="00F533FF" w:rsidP="00B17018">
      <w:pPr>
        <w:spacing w:after="0" w:line="240" w:lineRule="auto"/>
        <w:rPr>
          <w:b/>
          <w:bCs/>
        </w:rPr>
      </w:pPr>
      <w:r w:rsidRPr="00F533FF">
        <w:rPr>
          <w:noProof/>
        </w:rPr>
        <w:drawing>
          <wp:inline distT="0" distB="0" distL="0" distR="0" wp14:anchorId="10B2F81B" wp14:editId="19A08CAF">
            <wp:extent cx="5943600" cy="1889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1889125"/>
                    </a:xfrm>
                    <a:prstGeom prst="rect">
                      <a:avLst/>
                    </a:prstGeom>
                    <a:noFill/>
                    <a:ln>
                      <a:noFill/>
                    </a:ln>
                  </pic:spPr>
                </pic:pic>
              </a:graphicData>
            </a:graphic>
          </wp:inline>
        </w:drawing>
      </w:r>
      <w:r w:rsidRPr="00F533FF">
        <w:rPr>
          <w:sz w:val="16"/>
          <w:szCs w:val="16"/>
        </w:rPr>
        <w:t>Note: Negative values indicate savings. S.D. is the standard deviation. *S.D. for fixed data (without distributions) is approximated to one-fourth of the range of the data (e.g., maximum – minimum)/4).</w:t>
      </w:r>
    </w:p>
    <w:p w14:paraId="12FA1571" w14:textId="77777777" w:rsidR="002D4B59" w:rsidRDefault="002D4B59" w:rsidP="00B17018">
      <w:pPr>
        <w:spacing w:after="0" w:line="240" w:lineRule="auto"/>
        <w:rPr>
          <w:b/>
          <w:bCs/>
        </w:rPr>
      </w:pPr>
    </w:p>
    <w:p w14:paraId="0C7EACF7" w14:textId="77777777" w:rsidR="002D4B59" w:rsidRDefault="002D4B59" w:rsidP="00B17018">
      <w:pPr>
        <w:spacing w:after="0" w:line="240" w:lineRule="auto"/>
        <w:rPr>
          <w:b/>
          <w:bCs/>
        </w:rPr>
      </w:pPr>
    </w:p>
    <w:p w14:paraId="08F4830A" w14:textId="5B48A213" w:rsidR="00E158EE" w:rsidRDefault="00E158EE" w:rsidP="00F51D4E">
      <w:pPr>
        <w:pStyle w:val="Heading1"/>
        <w:rPr>
          <w:b/>
          <w:bCs/>
        </w:rPr>
      </w:pPr>
      <w:bookmarkStart w:id="3" w:name="_Toc62485643"/>
      <w:r w:rsidRPr="00C45633">
        <w:rPr>
          <w:b/>
          <w:bCs/>
        </w:rPr>
        <w:t>RESULTS</w:t>
      </w:r>
      <w:bookmarkEnd w:id="3"/>
    </w:p>
    <w:p w14:paraId="449535FE" w14:textId="2B4533A8" w:rsidR="009966AF" w:rsidRDefault="009966AF" w:rsidP="00B17018">
      <w:pPr>
        <w:spacing w:after="0" w:line="240" w:lineRule="auto"/>
        <w:rPr>
          <w:b/>
          <w:bCs/>
        </w:rPr>
      </w:pPr>
    </w:p>
    <w:p w14:paraId="18DB7A77" w14:textId="6C608CBA" w:rsidR="009966AF" w:rsidRPr="000D25E8" w:rsidRDefault="000D25E8">
      <w:r w:rsidRPr="000D25E8">
        <w:t xml:space="preserve">Exhibits C shows </w:t>
      </w:r>
      <w:r>
        <w:t xml:space="preserve">the </w:t>
      </w:r>
      <w:r w:rsidRPr="000D25E8">
        <w:t xml:space="preserve">average monthly cost by input for the first three years of </w:t>
      </w:r>
      <w:r>
        <w:t xml:space="preserve">the </w:t>
      </w:r>
      <w:r w:rsidRPr="000D25E8">
        <w:t xml:space="preserve">program data and then the assumptions about the remaining 7 years in the 10-year projection model. We assumed that the </w:t>
      </w:r>
      <w:r>
        <w:t xml:space="preserve">annual </w:t>
      </w:r>
      <w:r w:rsidRPr="000D25E8">
        <w:t xml:space="preserve">program capacity for this </w:t>
      </w:r>
      <w:r>
        <w:t xml:space="preserve">annual </w:t>
      </w:r>
      <w:r w:rsidRPr="000D25E8">
        <w:t xml:space="preserve">expenditure </w:t>
      </w:r>
      <w:r>
        <w:t xml:space="preserve">level </w:t>
      </w:r>
      <w:r w:rsidRPr="000D25E8">
        <w:t>was the average</w:t>
      </w:r>
      <w:r>
        <w:t xml:space="preserve"> of </w:t>
      </w:r>
      <w:r w:rsidRPr="000D25E8">
        <w:t>the mid. to full capacity reached during the 2</w:t>
      </w:r>
      <w:r w:rsidRPr="000D25E8">
        <w:rPr>
          <w:vertAlign w:val="superscript"/>
        </w:rPr>
        <w:t>nd</w:t>
      </w:r>
      <w:r w:rsidRPr="000D25E8">
        <w:t xml:space="preserve"> year for study area 2 and both the </w:t>
      </w:r>
      <w:r>
        <w:t>2</w:t>
      </w:r>
      <w:r w:rsidRPr="000D25E8">
        <w:rPr>
          <w:vertAlign w:val="superscript"/>
        </w:rPr>
        <w:t>nd</w:t>
      </w:r>
      <w:r>
        <w:t xml:space="preserve"> </w:t>
      </w:r>
      <w:r w:rsidRPr="000D25E8">
        <w:t>and 3</w:t>
      </w:r>
      <w:r w:rsidRPr="000D25E8">
        <w:rPr>
          <w:vertAlign w:val="superscript"/>
        </w:rPr>
        <w:t>rd</w:t>
      </w:r>
      <w:r w:rsidRPr="000D25E8">
        <w:t xml:space="preserve"> year for area 1.</w:t>
      </w:r>
      <w:r w:rsidR="00871672">
        <w:t xml:space="preserve"> The total annual cost was divided by the total annual capacity to produce the average cost.</w:t>
      </w:r>
      <w:r w:rsidR="009966AF" w:rsidRPr="000D25E8">
        <w:br w:type="page"/>
      </w:r>
    </w:p>
    <w:p w14:paraId="3D6A8DA2" w14:textId="77777777" w:rsidR="009966AF" w:rsidRDefault="009966AF" w:rsidP="00B17018">
      <w:pPr>
        <w:spacing w:after="0" w:line="240" w:lineRule="auto"/>
        <w:rPr>
          <w:b/>
          <w:bCs/>
        </w:rPr>
        <w:sectPr w:rsidR="009966AF">
          <w:footerReference w:type="default" r:id="rId8"/>
          <w:pgSz w:w="12240" w:h="15840"/>
          <w:pgMar w:top="1440" w:right="1440" w:bottom="1440" w:left="1440" w:header="720" w:footer="720" w:gutter="0"/>
          <w:cols w:space="720"/>
          <w:docGrid w:linePitch="360"/>
        </w:sectPr>
      </w:pPr>
    </w:p>
    <w:p w14:paraId="15187249" w14:textId="5ECA51B1" w:rsidR="009966AF" w:rsidRDefault="009966AF" w:rsidP="00F51D4E">
      <w:pPr>
        <w:pStyle w:val="Heading2"/>
        <w:rPr>
          <w:b/>
          <w:bCs/>
        </w:rPr>
      </w:pPr>
      <w:bookmarkStart w:id="4" w:name="_Toc62485644"/>
      <w:r w:rsidRPr="00C45633">
        <w:rPr>
          <w:b/>
          <w:bCs/>
        </w:rPr>
        <w:lastRenderedPageBreak/>
        <w:t xml:space="preserve">Appendix Exhibit </w:t>
      </w:r>
      <w:r>
        <w:rPr>
          <w:b/>
          <w:bCs/>
        </w:rPr>
        <w:t xml:space="preserve">C. </w:t>
      </w:r>
      <w:r w:rsidRPr="009966AF">
        <w:rPr>
          <w:b/>
          <w:bCs/>
        </w:rPr>
        <w:t xml:space="preserve">10-Year </w:t>
      </w:r>
      <w:r w:rsidR="00EB54AF">
        <w:rPr>
          <w:b/>
          <w:bCs/>
        </w:rPr>
        <w:t xml:space="preserve">Model of Annualized </w:t>
      </w:r>
      <w:r w:rsidRPr="009966AF">
        <w:rPr>
          <w:b/>
          <w:bCs/>
        </w:rPr>
        <w:t>Program Cost</w:t>
      </w:r>
      <w:r w:rsidR="00EB54AF">
        <w:rPr>
          <w:b/>
          <w:bCs/>
        </w:rPr>
        <w:t xml:space="preserve">, </w:t>
      </w:r>
      <w:r w:rsidR="008C20E1">
        <w:rPr>
          <w:b/>
          <w:bCs/>
        </w:rPr>
        <w:t>by Year</w:t>
      </w:r>
      <w:bookmarkEnd w:id="4"/>
      <w:r w:rsidR="008C20E1">
        <w:rPr>
          <w:b/>
          <w:bCs/>
        </w:rPr>
        <w:t xml:space="preserve"> </w:t>
      </w:r>
    </w:p>
    <w:p w14:paraId="42435D1C" w14:textId="2FAB8ACE" w:rsidR="009966AF" w:rsidRDefault="00235FED">
      <w:pPr>
        <w:rPr>
          <w:b/>
          <w:bCs/>
        </w:rPr>
      </w:pPr>
      <w:r w:rsidRPr="00235FED">
        <w:rPr>
          <w:noProof/>
        </w:rPr>
        <w:drawing>
          <wp:inline distT="0" distB="0" distL="0" distR="0" wp14:anchorId="017F24FE" wp14:editId="0247115C">
            <wp:extent cx="8229600" cy="28428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29600" cy="2842895"/>
                    </a:xfrm>
                    <a:prstGeom prst="rect">
                      <a:avLst/>
                    </a:prstGeom>
                    <a:noFill/>
                    <a:ln>
                      <a:noFill/>
                    </a:ln>
                  </pic:spPr>
                </pic:pic>
              </a:graphicData>
            </a:graphic>
          </wp:inline>
        </w:drawing>
      </w:r>
    </w:p>
    <w:p w14:paraId="2331D65F" w14:textId="77777777" w:rsidR="007A4339" w:rsidRDefault="007A4339" w:rsidP="00F51D4E">
      <w:pPr>
        <w:pStyle w:val="Heading2"/>
        <w:rPr>
          <w:b/>
          <w:bCs/>
        </w:rPr>
      </w:pPr>
      <w:bookmarkStart w:id="5" w:name="_Toc62485645"/>
      <w:r w:rsidRPr="007A4339">
        <w:rPr>
          <w:b/>
          <w:bCs/>
        </w:rPr>
        <w:t>Appendix Exhibit D. Child Enrollment and Capacity by Month</w:t>
      </w:r>
      <w:bookmarkEnd w:id="5"/>
    </w:p>
    <w:p w14:paraId="0D1AB006" w14:textId="10F22DAA" w:rsidR="007A4339" w:rsidRDefault="007A4339">
      <w:pPr>
        <w:rPr>
          <w:b/>
          <w:bCs/>
        </w:rPr>
        <w:sectPr w:rsidR="007A4339" w:rsidSect="009966AF">
          <w:pgSz w:w="15840" w:h="12240" w:orient="landscape"/>
          <w:pgMar w:top="1440" w:right="1440" w:bottom="1440" w:left="1440" w:header="720" w:footer="720" w:gutter="0"/>
          <w:cols w:space="720"/>
          <w:docGrid w:linePitch="360"/>
        </w:sectPr>
      </w:pPr>
      <w:r>
        <w:rPr>
          <w:noProof/>
        </w:rPr>
        <w:drawing>
          <wp:inline distT="0" distB="0" distL="0" distR="0" wp14:anchorId="35CE9C1D" wp14:editId="30466D0D">
            <wp:extent cx="4678878" cy="2125683"/>
            <wp:effectExtent l="0" t="0" r="7620" b="8255"/>
            <wp:docPr id="3" name="Chart 3">
              <a:extLst xmlns:a="http://schemas.openxmlformats.org/drawingml/2006/main">
                <a:ext uri="{FF2B5EF4-FFF2-40B4-BE49-F238E27FC236}">
                  <a16:creationId xmlns:a16="http://schemas.microsoft.com/office/drawing/2014/main" id="{6C322FD7-6573-40B5-AA99-2FE9556289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F3B4413" w14:textId="68ACD552" w:rsidR="009628D3" w:rsidRDefault="009E4999" w:rsidP="00F51D4E">
      <w:pPr>
        <w:pStyle w:val="Heading2"/>
        <w:rPr>
          <w:b/>
          <w:bCs/>
        </w:rPr>
      </w:pPr>
      <w:bookmarkStart w:id="6" w:name="_Toc62485646"/>
      <w:r w:rsidRPr="00C45633">
        <w:rPr>
          <w:b/>
          <w:bCs/>
        </w:rPr>
        <w:lastRenderedPageBreak/>
        <w:t xml:space="preserve">Appendix Exhibit </w:t>
      </w:r>
      <w:r>
        <w:rPr>
          <w:b/>
          <w:bCs/>
        </w:rPr>
        <w:t xml:space="preserve">E. Program </w:t>
      </w:r>
      <w:r w:rsidR="00EB54AF">
        <w:rPr>
          <w:b/>
          <w:bCs/>
        </w:rPr>
        <w:t>C</w:t>
      </w:r>
      <w:r>
        <w:rPr>
          <w:b/>
          <w:bCs/>
        </w:rPr>
        <w:t>ost</w:t>
      </w:r>
      <w:r w:rsidR="00564E68">
        <w:rPr>
          <w:b/>
          <w:bCs/>
        </w:rPr>
        <w:t xml:space="preserve"> by </w:t>
      </w:r>
      <w:r w:rsidR="00EB54AF">
        <w:rPr>
          <w:b/>
          <w:bCs/>
        </w:rPr>
        <w:t>S</w:t>
      </w:r>
      <w:r w:rsidR="00564E68">
        <w:rPr>
          <w:b/>
          <w:bCs/>
        </w:rPr>
        <w:t xml:space="preserve">tudy </w:t>
      </w:r>
      <w:r w:rsidR="00EB54AF">
        <w:rPr>
          <w:b/>
          <w:bCs/>
        </w:rPr>
        <w:t>A</w:t>
      </w:r>
      <w:r w:rsidR="00564E68">
        <w:rPr>
          <w:b/>
          <w:bCs/>
        </w:rPr>
        <w:t>rea</w:t>
      </w:r>
      <w:bookmarkEnd w:id="6"/>
    </w:p>
    <w:p w14:paraId="397B3815" w14:textId="77777777" w:rsidR="009628D3" w:rsidRDefault="009628D3">
      <w:pPr>
        <w:rPr>
          <w:b/>
          <w:bCs/>
        </w:rPr>
      </w:pPr>
      <w:r w:rsidRPr="009628D3">
        <w:rPr>
          <w:noProof/>
        </w:rPr>
        <w:drawing>
          <wp:inline distT="0" distB="0" distL="0" distR="0" wp14:anchorId="4245726B" wp14:editId="5533FD0A">
            <wp:extent cx="8229600" cy="344551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229600" cy="3445510"/>
                    </a:xfrm>
                    <a:prstGeom prst="rect">
                      <a:avLst/>
                    </a:prstGeom>
                    <a:noFill/>
                    <a:ln>
                      <a:noFill/>
                    </a:ln>
                  </pic:spPr>
                </pic:pic>
              </a:graphicData>
            </a:graphic>
          </wp:inline>
        </w:drawing>
      </w:r>
    </w:p>
    <w:p w14:paraId="1B47A1F2" w14:textId="77777777" w:rsidR="00186C68" w:rsidRDefault="00186C68">
      <w:pPr>
        <w:rPr>
          <w:b/>
          <w:bCs/>
        </w:rPr>
      </w:pPr>
    </w:p>
    <w:p w14:paraId="127B26E9" w14:textId="3122B35C" w:rsidR="00186C68" w:rsidRDefault="00186C68">
      <w:pPr>
        <w:rPr>
          <w:b/>
          <w:bCs/>
        </w:rPr>
        <w:sectPr w:rsidR="00186C68" w:rsidSect="009628D3">
          <w:pgSz w:w="15840" w:h="12240" w:orient="landscape"/>
          <w:pgMar w:top="1440" w:right="1440" w:bottom="1440" w:left="1440" w:header="720" w:footer="720" w:gutter="0"/>
          <w:cols w:space="720"/>
          <w:docGrid w:linePitch="360"/>
        </w:sectPr>
      </w:pPr>
    </w:p>
    <w:p w14:paraId="69F20554" w14:textId="66F3D8FB" w:rsidR="009628D3" w:rsidRDefault="00564E68" w:rsidP="00F51D4E">
      <w:pPr>
        <w:pStyle w:val="Heading2"/>
        <w:rPr>
          <w:b/>
          <w:bCs/>
        </w:rPr>
      </w:pPr>
      <w:bookmarkStart w:id="7" w:name="_Toc62485647"/>
      <w:r w:rsidRPr="00C45633">
        <w:rPr>
          <w:b/>
          <w:bCs/>
        </w:rPr>
        <w:lastRenderedPageBreak/>
        <w:t xml:space="preserve">Appendix Exhibit </w:t>
      </w:r>
      <w:r>
        <w:rPr>
          <w:b/>
          <w:bCs/>
        </w:rPr>
        <w:t xml:space="preserve">F1. </w:t>
      </w:r>
      <w:r w:rsidR="00053557">
        <w:rPr>
          <w:b/>
          <w:bCs/>
        </w:rPr>
        <w:t>Area 1 Monthly Expenditure Trend</w:t>
      </w:r>
      <w:bookmarkEnd w:id="7"/>
    </w:p>
    <w:p w14:paraId="6F07969E" w14:textId="7694A8A6" w:rsidR="00186C68" w:rsidRDefault="00186C68">
      <w:pPr>
        <w:rPr>
          <w:b/>
          <w:bCs/>
        </w:rPr>
      </w:pPr>
      <w:r>
        <w:rPr>
          <w:noProof/>
        </w:rPr>
        <w:drawing>
          <wp:inline distT="0" distB="0" distL="0" distR="0" wp14:anchorId="4016EFA0" wp14:editId="6A85254F">
            <wp:extent cx="5943600" cy="3204845"/>
            <wp:effectExtent l="0" t="0" r="0" b="0"/>
            <wp:docPr id="1" name="Chart 1">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E079E5B" w14:textId="1E15094B" w:rsidR="00186C68" w:rsidRDefault="00564E68" w:rsidP="00F51D4E">
      <w:pPr>
        <w:pStyle w:val="Heading2"/>
        <w:rPr>
          <w:b/>
          <w:bCs/>
        </w:rPr>
      </w:pPr>
      <w:bookmarkStart w:id="8" w:name="_Toc62485648"/>
      <w:r w:rsidRPr="00C45633">
        <w:rPr>
          <w:b/>
          <w:bCs/>
        </w:rPr>
        <w:t xml:space="preserve">Appendix Exhibit </w:t>
      </w:r>
      <w:r>
        <w:rPr>
          <w:b/>
          <w:bCs/>
        </w:rPr>
        <w:t xml:space="preserve">F2. </w:t>
      </w:r>
      <w:r w:rsidR="00053557">
        <w:rPr>
          <w:b/>
          <w:bCs/>
        </w:rPr>
        <w:t>Area 2 Monthly Expenditure Trend</w:t>
      </w:r>
      <w:bookmarkEnd w:id="8"/>
    </w:p>
    <w:p w14:paraId="5A5EAE9D" w14:textId="1675CD19" w:rsidR="009966AF" w:rsidRDefault="00186C68">
      <w:pPr>
        <w:rPr>
          <w:b/>
          <w:bCs/>
        </w:rPr>
      </w:pPr>
      <w:r>
        <w:rPr>
          <w:noProof/>
        </w:rPr>
        <w:drawing>
          <wp:inline distT="0" distB="0" distL="0" distR="0" wp14:anchorId="4049FD8A" wp14:editId="10F5455B">
            <wp:extent cx="5943600" cy="2943225"/>
            <wp:effectExtent l="0" t="0" r="0" b="0"/>
            <wp:docPr id="6" name="Chart 6">
              <a:extLst xmlns:a="http://schemas.openxmlformats.org/drawingml/2006/main">
                <a:ext uri="{FF2B5EF4-FFF2-40B4-BE49-F238E27FC236}">
                  <a16:creationId xmlns:a16="http://schemas.microsoft.com/office/drawing/2014/main" id="{786F1689-646F-4986-8B36-AD15692011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9966AF">
        <w:rPr>
          <w:b/>
          <w:bCs/>
        </w:rPr>
        <w:br w:type="page"/>
      </w:r>
    </w:p>
    <w:p w14:paraId="3AFC4A86" w14:textId="3B486F7C" w:rsidR="00FD6DAA" w:rsidRDefault="00F51D4E" w:rsidP="00F51D4E">
      <w:pPr>
        <w:pStyle w:val="Heading1"/>
        <w:rPr>
          <w:b/>
          <w:bCs/>
        </w:rPr>
      </w:pPr>
      <w:bookmarkStart w:id="9" w:name="_Toc62485649"/>
      <w:r w:rsidRPr="00C272EF">
        <w:rPr>
          <w:b/>
          <w:bCs/>
        </w:rPr>
        <w:lastRenderedPageBreak/>
        <w:t>SENSITIVITY ANALYSIS</w:t>
      </w:r>
      <w:bookmarkEnd w:id="9"/>
    </w:p>
    <w:p w14:paraId="58ED0F2F" w14:textId="196C5D9C" w:rsidR="00C272EF" w:rsidRDefault="00C272EF" w:rsidP="00EB54AF">
      <w:pPr>
        <w:spacing w:after="0" w:line="240" w:lineRule="auto"/>
        <w:rPr>
          <w:b/>
          <w:bCs/>
        </w:rPr>
      </w:pPr>
    </w:p>
    <w:p w14:paraId="2F4AC54B" w14:textId="36E9B221" w:rsidR="00C272EF" w:rsidRDefault="00C272EF" w:rsidP="00EB54AF">
      <w:pPr>
        <w:pStyle w:val="Heading2"/>
        <w:spacing w:before="0" w:line="240" w:lineRule="auto"/>
        <w:rPr>
          <w:b/>
          <w:bCs/>
        </w:rPr>
      </w:pPr>
      <w:bookmarkStart w:id="10" w:name="_Toc62485650"/>
      <w:r w:rsidRPr="00C45633">
        <w:rPr>
          <w:b/>
          <w:bCs/>
        </w:rPr>
        <w:t xml:space="preserve">Appendix Exhibit </w:t>
      </w:r>
      <w:r>
        <w:rPr>
          <w:b/>
          <w:bCs/>
        </w:rPr>
        <w:t>G</w:t>
      </w:r>
      <w:r w:rsidR="00E653A9">
        <w:rPr>
          <w:b/>
          <w:bCs/>
        </w:rPr>
        <w:t>1</w:t>
      </w:r>
      <w:r w:rsidR="00AF1AD2">
        <w:rPr>
          <w:b/>
          <w:bCs/>
        </w:rPr>
        <w:t>a</w:t>
      </w:r>
      <w:r>
        <w:rPr>
          <w:b/>
          <w:bCs/>
        </w:rPr>
        <w:t xml:space="preserve">. </w:t>
      </w:r>
      <w:r w:rsidRPr="00C272EF">
        <w:rPr>
          <w:b/>
          <w:bCs/>
        </w:rPr>
        <w:t>Effect of Changes to the Program Cost on the ICER</w:t>
      </w:r>
      <w:bookmarkEnd w:id="10"/>
    </w:p>
    <w:p w14:paraId="08C49135" w14:textId="68EA7C5A" w:rsidR="00C272EF" w:rsidRDefault="002E7420" w:rsidP="00EB54AF">
      <w:pPr>
        <w:spacing w:after="0" w:line="240" w:lineRule="auto"/>
        <w:rPr>
          <w:b/>
          <w:bCs/>
        </w:rPr>
      </w:pPr>
      <w:r>
        <w:rPr>
          <w:noProof/>
        </w:rPr>
        <w:drawing>
          <wp:inline distT="0" distB="0" distL="0" distR="0" wp14:anchorId="06B168C2" wp14:editId="1EDCF57F">
            <wp:extent cx="5683170" cy="3090440"/>
            <wp:effectExtent l="0" t="0" r="13335" b="15240"/>
            <wp:docPr id="17" name="Chart 17">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0243DF5" w14:textId="77777777" w:rsidR="00D7269F" w:rsidRPr="00D7269F" w:rsidRDefault="00D7269F" w:rsidP="00D7269F">
      <w:pPr>
        <w:spacing w:after="0" w:line="240" w:lineRule="auto"/>
        <w:rPr>
          <w:sz w:val="16"/>
          <w:szCs w:val="16"/>
        </w:rPr>
      </w:pPr>
      <w:r w:rsidRPr="00D7269F">
        <w:rPr>
          <w:sz w:val="16"/>
          <w:szCs w:val="16"/>
        </w:rPr>
        <w:t xml:space="preserve">DALYs: Disability-adjusted-life years. YLL: Years-of-Life Lost; ICER: Incremental-Cost-Effectiveness-Ratio. </w:t>
      </w:r>
    </w:p>
    <w:p w14:paraId="153A3A28" w14:textId="3ED14739" w:rsidR="00AF1AD2" w:rsidRDefault="00AF1AD2" w:rsidP="00EB54AF">
      <w:pPr>
        <w:spacing w:after="0" w:line="240" w:lineRule="auto"/>
      </w:pPr>
    </w:p>
    <w:p w14:paraId="6070BD02" w14:textId="4FF031D0" w:rsidR="00AF1AD2" w:rsidRDefault="00AF1AD2" w:rsidP="00AF1AD2">
      <w:pPr>
        <w:pStyle w:val="Heading2"/>
        <w:spacing w:before="0" w:line="240" w:lineRule="auto"/>
        <w:rPr>
          <w:b/>
          <w:bCs/>
        </w:rPr>
      </w:pPr>
      <w:bookmarkStart w:id="11" w:name="_Toc62485651"/>
      <w:r w:rsidRPr="00C45633">
        <w:rPr>
          <w:b/>
          <w:bCs/>
        </w:rPr>
        <w:t xml:space="preserve">Appendix Exhibit </w:t>
      </w:r>
      <w:r>
        <w:rPr>
          <w:b/>
          <w:bCs/>
        </w:rPr>
        <w:t xml:space="preserve">G1b. </w:t>
      </w:r>
      <w:r w:rsidRPr="00C272EF">
        <w:rPr>
          <w:b/>
          <w:bCs/>
        </w:rPr>
        <w:t xml:space="preserve">Effect of Changes to the </w:t>
      </w:r>
      <w:r>
        <w:rPr>
          <w:b/>
          <w:bCs/>
        </w:rPr>
        <w:t>Societal</w:t>
      </w:r>
      <w:r w:rsidRPr="00C272EF">
        <w:rPr>
          <w:b/>
          <w:bCs/>
        </w:rPr>
        <w:t xml:space="preserve"> Cost on the ICER</w:t>
      </w:r>
      <w:bookmarkEnd w:id="11"/>
    </w:p>
    <w:p w14:paraId="600FE8D1" w14:textId="40A3669C" w:rsidR="00AF1AD2" w:rsidRDefault="00AF1AD2" w:rsidP="00AF1AD2">
      <w:pPr>
        <w:spacing w:after="0" w:line="240" w:lineRule="auto"/>
        <w:rPr>
          <w:b/>
          <w:bCs/>
        </w:rPr>
      </w:pPr>
      <w:r>
        <w:rPr>
          <w:noProof/>
        </w:rPr>
        <w:drawing>
          <wp:inline distT="0" distB="0" distL="0" distR="0" wp14:anchorId="57A43B2C" wp14:editId="1DC2D4D1">
            <wp:extent cx="5943600" cy="3342640"/>
            <wp:effectExtent l="0" t="0" r="0" b="10160"/>
            <wp:docPr id="21" name="Chart 21">
              <a:extLst xmlns:a="http://schemas.openxmlformats.org/drawingml/2006/main">
                <a:ext uri="{FF2B5EF4-FFF2-40B4-BE49-F238E27FC236}">
                  <a16:creationId xmlns:a16="http://schemas.microsoft.com/office/drawing/2014/main" id="{FCEABC16-7662-4FE2-98EA-E0CF6862E74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727C874" w14:textId="77777777" w:rsidR="00D7269F" w:rsidRPr="00D7269F" w:rsidRDefault="00D7269F" w:rsidP="00D7269F">
      <w:pPr>
        <w:spacing w:after="0" w:line="240" w:lineRule="auto"/>
        <w:rPr>
          <w:sz w:val="16"/>
          <w:szCs w:val="16"/>
        </w:rPr>
      </w:pPr>
      <w:r w:rsidRPr="00D7269F">
        <w:rPr>
          <w:sz w:val="16"/>
          <w:szCs w:val="16"/>
        </w:rPr>
        <w:t xml:space="preserve">DALYs: Disability-adjusted-life years. YLL: Years-of-Life Lost; ICER: Incremental-Cost-Effectiveness-Ratio. </w:t>
      </w:r>
    </w:p>
    <w:p w14:paraId="5D637F3A" w14:textId="7B231D14" w:rsidR="00AF1AD2" w:rsidRDefault="00AF1AD2" w:rsidP="00AF1AD2">
      <w:pPr>
        <w:spacing w:after="0" w:line="240" w:lineRule="auto"/>
      </w:pPr>
    </w:p>
    <w:p w14:paraId="7DA63310" w14:textId="77777777" w:rsidR="00AF1AD2" w:rsidRDefault="00AF1AD2" w:rsidP="00EB54AF">
      <w:pPr>
        <w:spacing w:after="0" w:line="240" w:lineRule="auto"/>
      </w:pPr>
    </w:p>
    <w:p w14:paraId="7CA89F74" w14:textId="77777777" w:rsidR="00EB54AF" w:rsidRPr="005B7DE3" w:rsidRDefault="00EB54AF" w:rsidP="00EB54AF">
      <w:pPr>
        <w:spacing w:after="0" w:line="240" w:lineRule="auto"/>
      </w:pPr>
    </w:p>
    <w:p w14:paraId="6D4FF3D9" w14:textId="0F38C03C" w:rsidR="00C272EF" w:rsidRDefault="005B1B8A" w:rsidP="00EB54AF">
      <w:pPr>
        <w:pStyle w:val="Heading2"/>
        <w:spacing w:before="0" w:line="240" w:lineRule="auto"/>
        <w:rPr>
          <w:b/>
          <w:bCs/>
        </w:rPr>
      </w:pPr>
      <w:bookmarkStart w:id="12" w:name="_Toc62485652"/>
      <w:r w:rsidRPr="00C45633">
        <w:rPr>
          <w:b/>
          <w:bCs/>
        </w:rPr>
        <w:lastRenderedPageBreak/>
        <w:t xml:space="preserve">Appendix Exhibit </w:t>
      </w:r>
      <w:r>
        <w:rPr>
          <w:b/>
          <w:bCs/>
        </w:rPr>
        <w:t>G</w:t>
      </w:r>
      <w:r w:rsidR="00E653A9">
        <w:rPr>
          <w:b/>
          <w:bCs/>
        </w:rPr>
        <w:t>2</w:t>
      </w:r>
      <w:r w:rsidR="00AB3422">
        <w:rPr>
          <w:b/>
          <w:bCs/>
        </w:rPr>
        <w:t>a</w:t>
      </w:r>
      <w:r>
        <w:rPr>
          <w:b/>
          <w:bCs/>
        </w:rPr>
        <w:t xml:space="preserve">. </w:t>
      </w:r>
      <w:r w:rsidRPr="005B1B8A">
        <w:rPr>
          <w:b/>
          <w:bCs/>
        </w:rPr>
        <w:t xml:space="preserve">Effect of Changes to the Number of </w:t>
      </w:r>
      <w:r w:rsidR="00715E09">
        <w:rPr>
          <w:b/>
          <w:bCs/>
        </w:rPr>
        <w:t>DALYs</w:t>
      </w:r>
      <w:r w:rsidRPr="005B1B8A">
        <w:rPr>
          <w:b/>
          <w:bCs/>
        </w:rPr>
        <w:t xml:space="preserve"> Averted on the ICER</w:t>
      </w:r>
      <w:bookmarkEnd w:id="12"/>
    </w:p>
    <w:p w14:paraId="538736EA" w14:textId="469B61EC" w:rsidR="005B1B8A" w:rsidRDefault="002E7420" w:rsidP="00EB54AF">
      <w:pPr>
        <w:spacing w:after="0" w:line="240" w:lineRule="auto"/>
        <w:rPr>
          <w:b/>
          <w:bCs/>
        </w:rPr>
      </w:pPr>
      <w:r>
        <w:rPr>
          <w:noProof/>
        </w:rPr>
        <w:drawing>
          <wp:inline distT="0" distB="0" distL="0" distR="0" wp14:anchorId="52088249" wp14:editId="2ED37DBB">
            <wp:extent cx="5706319" cy="3258273"/>
            <wp:effectExtent l="0" t="0" r="8890" b="18415"/>
            <wp:docPr id="18" name="Chart 18">
              <a:extLst xmlns:a="http://schemas.openxmlformats.org/drawingml/2006/main">
                <a:ext uri="{FF2B5EF4-FFF2-40B4-BE49-F238E27FC236}">
                  <a16:creationId xmlns:a16="http://schemas.microsoft.com/office/drawing/2014/main" id="{B6784086-8B31-4DCF-A9E5-05DFA0028D1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670552E" w14:textId="06AC6BDC" w:rsidR="00D7269F" w:rsidRPr="00D7269F" w:rsidRDefault="00EB54AF" w:rsidP="00D7269F">
      <w:pPr>
        <w:spacing w:after="0" w:line="240" w:lineRule="auto"/>
        <w:rPr>
          <w:sz w:val="16"/>
          <w:szCs w:val="16"/>
        </w:rPr>
      </w:pPr>
      <w:r w:rsidRPr="00D7269F">
        <w:rPr>
          <w:sz w:val="16"/>
          <w:szCs w:val="16"/>
        </w:rPr>
        <w:t>DALYs: Disability-adjusted-life years. YLL: Years-of-Life Lost</w:t>
      </w:r>
      <w:r w:rsidR="00D7269F" w:rsidRPr="00D7269F">
        <w:rPr>
          <w:sz w:val="16"/>
          <w:szCs w:val="16"/>
        </w:rPr>
        <w:t xml:space="preserve">; ICER: Incremental-Cost-Effectiveness-Ratio. </w:t>
      </w:r>
    </w:p>
    <w:p w14:paraId="5332E4F9" w14:textId="5E809BE0" w:rsidR="00EB54AF" w:rsidRPr="00D7269F" w:rsidRDefault="00EB54AF" w:rsidP="00EB54AF">
      <w:pPr>
        <w:spacing w:after="0" w:line="240" w:lineRule="auto"/>
      </w:pPr>
    </w:p>
    <w:p w14:paraId="25893CC0" w14:textId="77777777" w:rsidR="00D7269F" w:rsidRDefault="00D7269F" w:rsidP="00EB54AF">
      <w:pPr>
        <w:spacing w:after="0" w:line="240" w:lineRule="auto"/>
        <w:rPr>
          <w:b/>
          <w:bCs/>
        </w:rPr>
      </w:pPr>
    </w:p>
    <w:p w14:paraId="118205C3" w14:textId="3E398EC8" w:rsidR="0077274D" w:rsidRDefault="0077274D" w:rsidP="0077274D">
      <w:pPr>
        <w:pStyle w:val="Heading2"/>
        <w:spacing w:before="0" w:line="240" w:lineRule="auto"/>
        <w:rPr>
          <w:b/>
          <w:bCs/>
        </w:rPr>
      </w:pPr>
      <w:bookmarkStart w:id="13" w:name="_Toc62485653"/>
      <w:r w:rsidRPr="00C45633">
        <w:rPr>
          <w:b/>
          <w:bCs/>
        </w:rPr>
        <w:t xml:space="preserve">Appendix Exhibit </w:t>
      </w:r>
      <w:r>
        <w:rPr>
          <w:b/>
          <w:bCs/>
        </w:rPr>
        <w:t xml:space="preserve">G2b. </w:t>
      </w:r>
      <w:r w:rsidRPr="005B1B8A">
        <w:rPr>
          <w:b/>
          <w:bCs/>
        </w:rPr>
        <w:t>Effect of Changes to the Number of Drowning Deaths Averted on the ICER</w:t>
      </w:r>
      <w:bookmarkEnd w:id="13"/>
    </w:p>
    <w:p w14:paraId="65E9C380" w14:textId="2615E75F" w:rsidR="00AB3422" w:rsidRDefault="002E7420" w:rsidP="005B1B8A">
      <w:pPr>
        <w:rPr>
          <w:b/>
          <w:bCs/>
        </w:rPr>
      </w:pPr>
      <w:r>
        <w:rPr>
          <w:noProof/>
        </w:rPr>
        <w:drawing>
          <wp:inline distT="0" distB="0" distL="0" distR="0" wp14:anchorId="3159F8E3" wp14:editId="1516E07E">
            <wp:extent cx="5769980" cy="2877989"/>
            <wp:effectExtent l="0" t="0" r="2540" b="17780"/>
            <wp:docPr id="19" name="Chart 19">
              <a:extLst xmlns:a="http://schemas.openxmlformats.org/drawingml/2006/main">
                <a:ext uri="{FF2B5EF4-FFF2-40B4-BE49-F238E27FC236}">
                  <a16:creationId xmlns:a16="http://schemas.microsoft.com/office/drawing/2014/main" id="{4541A218-AFFD-4762-8BD2-202889AB1B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37C642E" w14:textId="77777777" w:rsidR="00D7269F" w:rsidRPr="00D7269F" w:rsidRDefault="00D7269F" w:rsidP="00D7269F">
      <w:pPr>
        <w:spacing w:after="0" w:line="240" w:lineRule="auto"/>
        <w:rPr>
          <w:sz w:val="16"/>
          <w:szCs w:val="16"/>
        </w:rPr>
      </w:pPr>
      <w:r w:rsidRPr="00D7269F">
        <w:rPr>
          <w:sz w:val="16"/>
          <w:szCs w:val="16"/>
        </w:rPr>
        <w:t xml:space="preserve">DALYs: Disability-adjusted-life years. YLL: Years-of-Life Lost; ICER: Incremental-Cost-Effectiveness-Ratio. </w:t>
      </w:r>
    </w:p>
    <w:p w14:paraId="2535BA3C" w14:textId="1936636B" w:rsidR="006A3447" w:rsidRDefault="006A3447" w:rsidP="005B1B8A">
      <w:pPr>
        <w:rPr>
          <w:b/>
          <w:bCs/>
        </w:rPr>
      </w:pPr>
    </w:p>
    <w:p w14:paraId="100C981A" w14:textId="5A08D2C9" w:rsidR="006A3447" w:rsidRDefault="006A3447" w:rsidP="00F51D4E">
      <w:pPr>
        <w:pStyle w:val="Heading2"/>
        <w:rPr>
          <w:b/>
          <w:bCs/>
        </w:rPr>
      </w:pPr>
      <w:bookmarkStart w:id="14" w:name="_Toc62485654"/>
      <w:r w:rsidRPr="00C45633">
        <w:rPr>
          <w:b/>
          <w:bCs/>
        </w:rPr>
        <w:lastRenderedPageBreak/>
        <w:t xml:space="preserve">Appendix Exhibit </w:t>
      </w:r>
      <w:r>
        <w:rPr>
          <w:b/>
          <w:bCs/>
        </w:rPr>
        <w:t xml:space="preserve">H. </w:t>
      </w:r>
      <w:r w:rsidRPr="005B1B8A">
        <w:rPr>
          <w:b/>
          <w:bCs/>
        </w:rPr>
        <w:t xml:space="preserve">Effect of </w:t>
      </w:r>
      <w:r w:rsidRPr="006A3447">
        <w:rPr>
          <w:b/>
          <w:bCs/>
        </w:rPr>
        <w:t xml:space="preserve">Percentage Change of Inputs </w:t>
      </w:r>
      <w:r w:rsidRPr="005B1B8A">
        <w:rPr>
          <w:b/>
          <w:bCs/>
        </w:rPr>
        <w:t>on the ICER</w:t>
      </w:r>
      <w:bookmarkEnd w:id="14"/>
    </w:p>
    <w:p w14:paraId="60F1C3AC" w14:textId="4B9D7063" w:rsidR="006A3447" w:rsidRDefault="009F665A" w:rsidP="005B1B8A">
      <w:pPr>
        <w:rPr>
          <w:b/>
          <w:bCs/>
        </w:rPr>
      </w:pPr>
      <w:r>
        <w:rPr>
          <w:noProof/>
        </w:rPr>
        <w:drawing>
          <wp:inline distT="0" distB="0" distL="0" distR="0" wp14:anchorId="71ED6F29" wp14:editId="3CCE78FF">
            <wp:extent cx="5430341" cy="4038857"/>
            <wp:effectExtent l="0" t="0" r="18415" b="0"/>
            <wp:docPr id="16" name="Chart 16">
              <a:extLst xmlns:a="http://schemas.openxmlformats.org/drawingml/2006/main">
                <a:ext uri="{FF2B5EF4-FFF2-40B4-BE49-F238E27FC236}">
                  <a16:creationId xmlns:a16="http://schemas.microsoft.com/office/drawing/2014/main" id="{648A5D10-0368-4003-8A30-F6056EECAC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C9084E6" w14:textId="4661D9E2" w:rsidR="004642A7" w:rsidRDefault="00EE150D" w:rsidP="006A1DA4">
      <w:pPr>
        <w:pStyle w:val="Heading1"/>
        <w:rPr>
          <w:b/>
          <w:bCs/>
        </w:rPr>
      </w:pPr>
      <w:bookmarkStart w:id="15" w:name="_Toc62485655"/>
      <w:r w:rsidRPr="00A0738B">
        <w:rPr>
          <w:b/>
          <w:bCs/>
        </w:rPr>
        <w:lastRenderedPageBreak/>
        <w:t>CONSOLIDATED HEALTH ECONOMIC EVALUATION REPORTING STANDARDS – CHEERS CHECKLIST</w:t>
      </w:r>
      <w:bookmarkEnd w:id="15"/>
    </w:p>
    <w:p w14:paraId="5B3ADDFB" w14:textId="778AB4DB" w:rsidR="004642A7" w:rsidRPr="00C272EF" w:rsidRDefault="00403817" w:rsidP="005B1B8A">
      <w:pPr>
        <w:rPr>
          <w:b/>
          <w:bCs/>
        </w:rPr>
      </w:pPr>
      <w:r w:rsidRPr="00403817">
        <w:rPr>
          <w:noProof/>
        </w:rPr>
        <w:drawing>
          <wp:inline distT="0" distB="0" distL="0" distR="0" wp14:anchorId="3797ADC2" wp14:editId="1F493F34">
            <wp:extent cx="5330952" cy="7589520"/>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30952" cy="7589520"/>
                    </a:xfrm>
                    <a:prstGeom prst="rect">
                      <a:avLst/>
                    </a:prstGeom>
                    <a:noFill/>
                    <a:ln>
                      <a:noFill/>
                    </a:ln>
                  </pic:spPr>
                </pic:pic>
              </a:graphicData>
            </a:graphic>
          </wp:inline>
        </w:drawing>
      </w:r>
    </w:p>
    <w:sectPr w:rsidR="004642A7" w:rsidRPr="00C272E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E62677" w14:textId="77777777" w:rsidR="009A62DD" w:rsidRDefault="009A62DD" w:rsidP="00A57E6C">
      <w:pPr>
        <w:spacing w:after="0" w:line="240" w:lineRule="auto"/>
      </w:pPr>
      <w:r>
        <w:separator/>
      </w:r>
    </w:p>
  </w:endnote>
  <w:endnote w:type="continuationSeparator" w:id="0">
    <w:p w14:paraId="61B3E1E3" w14:textId="77777777" w:rsidR="009A62DD" w:rsidRDefault="009A62DD" w:rsidP="00A57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31839544"/>
      <w:docPartObj>
        <w:docPartGallery w:val="Page Numbers (Bottom of Page)"/>
        <w:docPartUnique/>
      </w:docPartObj>
    </w:sdtPr>
    <w:sdtEndPr>
      <w:rPr>
        <w:noProof/>
      </w:rPr>
    </w:sdtEndPr>
    <w:sdtContent>
      <w:p w14:paraId="7D93C73E" w14:textId="77777777" w:rsidR="00A57E6C" w:rsidRDefault="00A57E6C">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94FA191" w14:textId="77777777" w:rsidR="00A57E6C" w:rsidRDefault="00A57E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82AEFB" w14:textId="77777777" w:rsidR="009A62DD" w:rsidRDefault="009A62DD" w:rsidP="00A57E6C">
      <w:pPr>
        <w:spacing w:after="0" w:line="240" w:lineRule="auto"/>
      </w:pPr>
      <w:r>
        <w:separator/>
      </w:r>
    </w:p>
  </w:footnote>
  <w:footnote w:type="continuationSeparator" w:id="0">
    <w:p w14:paraId="7FCB90AE" w14:textId="77777777" w:rsidR="009A62DD" w:rsidRDefault="009A62DD" w:rsidP="00A57E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62F2"/>
    <w:rsid w:val="000124CF"/>
    <w:rsid w:val="00024AAF"/>
    <w:rsid w:val="000420E4"/>
    <w:rsid w:val="00053557"/>
    <w:rsid w:val="00054F02"/>
    <w:rsid w:val="00085074"/>
    <w:rsid w:val="000862F2"/>
    <w:rsid w:val="000B1D07"/>
    <w:rsid w:val="000D25E8"/>
    <w:rsid w:val="00110F1E"/>
    <w:rsid w:val="0012617C"/>
    <w:rsid w:val="0018130E"/>
    <w:rsid w:val="00186C68"/>
    <w:rsid w:val="00200624"/>
    <w:rsid w:val="00210A6F"/>
    <w:rsid w:val="00235FED"/>
    <w:rsid w:val="002C1873"/>
    <w:rsid w:val="002C5C30"/>
    <w:rsid w:val="002D4B59"/>
    <w:rsid w:val="002E7420"/>
    <w:rsid w:val="003553CB"/>
    <w:rsid w:val="00376BA7"/>
    <w:rsid w:val="003A421A"/>
    <w:rsid w:val="00403817"/>
    <w:rsid w:val="00445B2C"/>
    <w:rsid w:val="004608D5"/>
    <w:rsid w:val="004642A7"/>
    <w:rsid w:val="0047624F"/>
    <w:rsid w:val="004C685C"/>
    <w:rsid w:val="004E5392"/>
    <w:rsid w:val="004E54C1"/>
    <w:rsid w:val="00505F80"/>
    <w:rsid w:val="00542C09"/>
    <w:rsid w:val="00564E68"/>
    <w:rsid w:val="005B1B8A"/>
    <w:rsid w:val="005B7DE3"/>
    <w:rsid w:val="005D37EB"/>
    <w:rsid w:val="005D6493"/>
    <w:rsid w:val="005E30E1"/>
    <w:rsid w:val="005E7DB1"/>
    <w:rsid w:val="00601016"/>
    <w:rsid w:val="0062690C"/>
    <w:rsid w:val="00686AD9"/>
    <w:rsid w:val="006A1DA4"/>
    <w:rsid w:val="006A3447"/>
    <w:rsid w:val="006F2517"/>
    <w:rsid w:val="00715E09"/>
    <w:rsid w:val="007241E2"/>
    <w:rsid w:val="00737D0D"/>
    <w:rsid w:val="007659FC"/>
    <w:rsid w:val="0077274D"/>
    <w:rsid w:val="0079620F"/>
    <w:rsid w:val="007A4339"/>
    <w:rsid w:val="007A5A56"/>
    <w:rsid w:val="007E7FAB"/>
    <w:rsid w:val="00821027"/>
    <w:rsid w:val="008362B6"/>
    <w:rsid w:val="00871672"/>
    <w:rsid w:val="00896254"/>
    <w:rsid w:val="008A2E06"/>
    <w:rsid w:val="008C20E1"/>
    <w:rsid w:val="00926306"/>
    <w:rsid w:val="009628D3"/>
    <w:rsid w:val="00972F6D"/>
    <w:rsid w:val="009966AF"/>
    <w:rsid w:val="009A62DD"/>
    <w:rsid w:val="009C6D04"/>
    <w:rsid w:val="009E4999"/>
    <w:rsid w:val="009F665A"/>
    <w:rsid w:val="00A06922"/>
    <w:rsid w:val="00A0738B"/>
    <w:rsid w:val="00A11B50"/>
    <w:rsid w:val="00A434FC"/>
    <w:rsid w:val="00A57E6C"/>
    <w:rsid w:val="00AA5996"/>
    <w:rsid w:val="00AB3422"/>
    <w:rsid w:val="00AE5148"/>
    <w:rsid w:val="00AF1AD2"/>
    <w:rsid w:val="00B128DB"/>
    <w:rsid w:val="00B17018"/>
    <w:rsid w:val="00B360E6"/>
    <w:rsid w:val="00B51193"/>
    <w:rsid w:val="00B56CA3"/>
    <w:rsid w:val="00BF5351"/>
    <w:rsid w:val="00C20A74"/>
    <w:rsid w:val="00C26061"/>
    <w:rsid w:val="00C272EF"/>
    <w:rsid w:val="00C45633"/>
    <w:rsid w:val="00C6472C"/>
    <w:rsid w:val="00C820D9"/>
    <w:rsid w:val="00C83124"/>
    <w:rsid w:val="00C91283"/>
    <w:rsid w:val="00CA0DF6"/>
    <w:rsid w:val="00D07496"/>
    <w:rsid w:val="00D31133"/>
    <w:rsid w:val="00D7269F"/>
    <w:rsid w:val="00D80C96"/>
    <w:rsid w:val="00DA4A84"/>
    <w:rsid w:val="00DA5170"/>
    <w:rsid w:val="00DC12E7"/>
    <w:rsid w:val="00DD566B"/>
    <w:rsid w:val="00E158EE"/>
    <w:rsid w:val="00E653A9"/>
    <w:rsid w:val="00E84F82"/>
    <w:rsid w:val="00E872D3"/>
    <w:rsid w:val="00EA1CAE"/>
    <w:rsid w:val="00EB54AF"/>
    <w:rsid w:val="00EE150D"/>
    <w:rsid w:val="00F07016"/>
    <w:rsid w:val="00F172B5"/>
    <w:rsid w:val="00F40C73"/>
    <w:rsid w:val="00F51D4E"/>
    <w:rsid w:val="00F533FF"/>
    <w:rsid w:val="00FD05D9"/>
    <w:rsid w:val="00FD22A7"/>
    <w:rsid w:val="00FD6DAA"/>
    <w:rsid w:val="00FE6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9E20"/>
  <w15:docId w15:val="{03803A2B-6523-43AF-9A5D-9C69353A6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69F"/>
  </w:style>
  <w:style w:type="paragraph" w:styleId="Heading1">
    <w:name w:val="heading 1"/>
    <w:basedOn w:val="Normal"/>
    <w:next w:val="Normal"/>
    <w:link w:val="Heading1Char"/>
    <w:uiPriority w:val="9"/>
    <w:qFormat/>
    <w:rsid w:val="00F51D4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F51D4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7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2B5"/>
    <w:rPr>
      <w:rFonts w:ascii="Tahoma" w:hAnsi="Tahoma" w:cs="Tahoma"/>
      <w:sz w:val="16"/>
      <w:szCs w:val="16"/>
    </w:rPr>
  </w:style>
  <w:style w:type="paragraph" w:styleId="Header">
    <w:name w:val="header"/>
    <w:basedOn w:val="Normal"/>
    <w:link w:val="HeaderChar"/>
    <w:uiPriority w:val="99"/>
    <w:unhideWhenUsed/>
    <w:rsid w:val="00A57E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7E6C"/>
  </w:style>
  <w:style w:type="paragraph" w:styleId="Footer">
    <w:name w:val="footer"/>
    <w:basedOn w:val="Normal"/>
    <w:link w:val="FooterChar"/>
    <w:uiPriority w:val="99"/>
    <w:unhideWhenUsed/>
    <w:rsid w:val="00A57E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7E6C"/>
  </w:style>
  <w:style w:type="character" w:styleId="CommentReference">
    <w:name w:val="annotation reference"/>
    <w:basedOn w:val="DefaultParagraphFont"/>
    <w:uiPriority w:val="99"/>
    <w:semiHidden/>
    <w:unhideWhenUsed/>
    <w:rsid w:val="002C5C30"/>
    <w:rPr>
      <w:sz w:val="16"/>
      <w:szCs w:val="16"/>
    </w:rPr>
  </w:style>
  <w:style w:type="paragraph" w:styleId="CommentText">
    <w:name w:val="annotation text"/>
    <w:basedOn w:val="Normal"/>
    <w:link w:val="CommentTextChar"/>
    <w:uiPriority w:val="99"/>
    <w:semiHidden/>
    <w:unhideWhenUsed/>
    <w:rsid w:val="002C5C30"/>
    <w:pPr>
      <w:spacing w:after="0" w:line="240" w:lineRule="auto"/>
    </w:pPr>
    <w:rPr>
      <w:sz w:val="20"/>
      <w:szCs w:val="20"/>
    </w:rPr>
  </w:style>
  <w:style w:type="character" w:customStyle="1" w:styleId="CommentTextChar">
    <w:name w:val="Comment Text Char"/>
    <w:basedOn w:val="DefaultParagraphFont"/>
    <w:link w:val="CommentText"/>
    <w:uiPriority w:val="99"/>
    <w:semiHidden/>
    <w:rsid w:val="002C5C30"/>
    <w:rPr>
      <w:sz w:val="20"/>
      <w:szCs w:val="20"/>
    </w:rPr>
  </w:style>
  <w:style w:type="character" w:customStyle="1" w:styleId="Heading1Char">
    <w:name w:val="Heading 1 Char"/>
    <w:basedOn w:val="DefaultParagraphFont"/>
    <w:link w:val="Heading1"/>
    <w:uiPriority w:val="9"/>
    <w:rsid w:val="00F51D4E"/>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F51D4E"/>
    <w:rPr>
      <w:rFonts w:asciiTheme="majorHAnsi" w:eastAsiaTheme="majorEastAsia" w:hAnsiTheme="majorHAnsi" w:cstheme="majorBidi"/>
      <w:color w:val="365F91" w:themeColor="accent1" w:themeShade="BF"/>
      <w:sz w:val="26"/>
      <w:szCs w:val="26"/>
    </w:rPr>
  </w:style>
  <w:style w:type="paragraph" w:styleId="TOCHeading">
    <w:name w:val="TOC Heading"/>
    <w:basedOn w:val="Heading1"/>
    <w:next w:val="Normal"/>
    <w:uiPriority w:val="39"/>
    <w:unhideWhenUsed/>
    <w:qFormat/>
    <w:rsid w:val="00F51D4E"/>
    <w:pPr>
      <w:spacing w:line="259" w:lineRule="auto"/>
      <w:outlineLvl w:val="9"/>
    </w:pPr>
  </w:style>
  <w:style w:type="paragraph" w:styleId="TOC1">
    <w:name w:val="toc 1"/>
    <w:basedOn w:val="Normal"/>
    <w:next w:val="Normal"/>
    <w:autoRedefine/>
    <w:uiPriority w:val="39"/>
    <w:unhideWhenUsed/>
    <w:rsid w:val="00F51D4E"/>
    <w:pPr>
      <w:spacing w:after="100"/>
    </w:pPr>
  </w:style>
  <w:style w:type="paragraph" w:styleId="TOC2">
    <w:name w:val="toc 2"/>
    <w:basedOn w:val="Normal"/>
    <w:next w:val="Normal"/>
    <w:autoRedefine/>
    <w:uiPriority w:val="39"/>
    <w:unhideWhenUsed/>
    <w:rsid w:val="00F51D4E"/>
    <w:pPr>
      <w:spacing w:after="100"/>
      <w:ind w:left="220"/>
    </w:pPr>
  </w:style>
  <w:style w:type="character" w:styleId="Hyperlink">
    <w:name w:val="Hyperlink"/>
    <w:basedOn w:val="DefaultParagraphFont"/>
    <w:uiPriority w:val="99"/>
    <w:unhideWhenUsed/>
    <w:rsid w:val="00F51D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46734">
      <w:bodyDiv w:val="1"/>
      <w:marLeft w:val="0"/>
      <w:marRight w:val="0"/>
      <w:marTop w:val="0"/>
      <w:marBottom w:val="0"/>
      <w:divBdr>
        <w:top w:val="none" w:sz="0" w:space="0" w:color="auto"/>
        <w:left w:val="none" w:sz="0" w:space="0" w:color="auto"/>
        <w:bottom w:val="none" w:sz="0" w:space="0" w:color="auto"/>
        <w:right w:val="none" w:sz="0" w:space="0" w:color="auto"/>
      </w:divBdr>
    </w:div>
    <w:div w:id="57909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3.xml"/><Relationship Id="rId18" Type="http://schemas.openxmlformats.org/officeDocument/2006/relationships/chart" Target="charts/chart8.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chart" Target="charts/chart5.xml"/><Relationship Id="rId10" Type="http://schemas.openxmlformats.org/officeDocument/2006/relationships/chart" Target="charts/chart1.xml"/><Relationship Id="rId19"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oleObject" Target="file:///C:\YNA\WRK\SoLiD\CEA\CIPRB%20and%20CIPRB%20Anchal%20Prog%20Exp_Aug20_202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YNA\WRK\SoLiD\CEA\CIPRB%20and%20CIPRB%20Anchal%20Prog%20Exp_Aug20_2020.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YNA\WRK\SoLiD\CEA\ICDDRB%20Anchal%20Prog%20Exp_Updated_June20_2017_June152020.xls"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YNA\WRK\SoLiD\CEA\CIPRB%20and%20CIPRB%20Anchal%20Prog%20Exp_Jan08_2021.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YNA\WRK\SoLiD\CEA\CIPRB%20and%20CIPRB%20Anchal%20Prog%20Exp_Jan08_2021.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YNA\WRK\SoLiD\CEA\CIPRB%20and%20CIPRB%20Anchal%20Prog%20Exp_Jan08_2021.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YNA\WRK\SoLiD\CEA\CIPRB%20and%20CIPRB%20Anchal%20Prog%20Exp_Jan08_2021.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YNA\WRK\SoLiD\CEA\CIPRB%20%20and%20CIPRB%20Anchal%20Prog%20Exp_SENSITIVITYANALYSIS_Jan08_20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696318467442616"/>
          <c:y val="9.024314668999707E-2"/>
          <c:w val="0.8154436840514584"/>
          <c:h val="0.72826151939340911"/>
        </c:manualLayout>
      </c:layout>
      <c:lineChart>
        <c:grouping val="standard"/>
        <c:varyColors val="0"/>
        <c:ser>
          <c:idx val="0"/>
          <c:order val="0"/>
          <c:tx>
            <c:v>Area 1</c:v>
          </c:tx>
          <c:spPr>
            <a:ln w="28575" cap="rnd">
              <a:solidFill>
                <a:schemeClr val="accent1"/>
              </a:solidFill>
              <a:prstDash val="sysDash"/>
              <a:round/>
            </a:ln>
            <a:effectLst/>
          </c:spPr>
          <c:marker>
            <c:symbol val="none"/>
          </c:marker>
          <c:cat>
            <c:numRef>
              <c:f>'Tab1 '!$D$60:$AH$60</c:f>
              <c:numCache>
                <c:formatCode>General</c:formatCode>
                <c:ptCount val="3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numCache>
            </c:numRef>
          </c:cat>
          <c:val>
            <c:numRef>
              <c:f>'Tab1 '!$D$79:$AH$79</c:f>
              <c:numCache>
                <c:formatCode>General</c:formatCode>
                <c:ptCount val="31"/>
                <c:pt idx="0" formatCode="#,##0">
                  <c:v>166</c:v>
                </c:pt>
                <c:pt idx="1">
                  <c:v>986</c:v>
                </c:pt>
                <c:pt idx="2">
                  <c:v>2371</c:v>
                </c:pt>
                <c:pt idx="3">
                  <c:v>8876</c:v>
                </c:pt>
                <c:pt idx="4">
                  <c:v>14265</c:v>
                </c:pt>
                <c:pt idx="5">
                  <c:v>26271</c:v>
                </c:pt>
                <c:pt idx="6">
                  <c:v>28247</c:v>
                </c:pt>
                <c:pt idx="7">
                  <c:v>29990</c:v>
                </c:pt>
                <c:pt idx="8">
                  <c:v>30358</c:v>
                </c:pt>
                <c:pt idx="9">
                  <c:v>30662</c:v>
                </c:pt>
                <c:pt idx="10">
                  <c:v>32026</c:v>
                </c:pt>
                <c:pt idx="11">
                  <c:v>33353</c:v>
                </c:pt>
                <c:pt idx="12">
                  <c:v>33777</c:v>
                </c:pt>
                <c:pt idx="13">
                  <c:v>34438</c:v>
                </c:pt>
                <c:pt idx="14">
                  <c:v>34619</c:v>
                </c:pt>
                <c:pt idx="15">
                  <c:v>34907</c:v>
                </c:pt>
                <c:pt idx="16">
                  <c:v>34843</c:v>
                </c:pt>
                <c:pt idx="17">
                  <c:v>35044</c:v>
                </c:pt>
                <c:pt idx="18">
                  <c:v>35668</c:v>
                </c:pt>
                <c:pt idx="19">
                  <c:v>37481</c:v>
                </c:pt>
                <c:pt idx="20">
                  <c:v>38616</c:v>
                </c:pt>
                <c:pt idx="21">
                  <c:v>42512</c:v>
                </c:pt>
                <c:pt idx="22">
                  <c:v>46550</c:v>
                </c:pt>
                <c:pt idx="23">
                  <c:v>47507</c:v>
                </c:pt>
                <c:pt idx="24">
                  <c:v>47681</c:v>
                </c:pt>
                <c:pt idx="25">
                  <c:v>47737</c:v>
                </c:pt>
                <c:pt idx="26">
                  <c:v>47820</c:v>
                </c:pt>
                <c:pt idx="27">
                  <c:v>47845</c:v>
                </c:pt>
                <c:pt idx="28">
                  <c:v>47865</c:v>
                </c:pt>
                <c:pt idx="29">
                  <c:v>47866</c:v>
                </c:pt>
                <c:pt idx="30">
                  <c:v>47992</c:v>
                </c:pt>
              </c:numCache>
            </c:numRef>
          </c:val>
          <c:smooth val="0"/>
          <c:extLst>
            <c:ext xmlns:c16="http://schemas.microsoft.com/office/drawing/2014/chart" uri="{C3380CC4-5D6E-409C-BE32-E72D297353CC}">
              <c16:uniqueId val="{00000000-14F6-466C-82C1-CD3F43F3F8A9}"/>
            </c:ext>
          </c:extLst>
        </c:ser>
        <c:ser>
          <c:idx val="1"/>
          <c:order val="1"/>
          <c:tx>
            <c:v>Area 2</c:v>
          </c:tx>
          <c:spPr>
            <a:ln w="28575" cap="rnd">
              <a:solidFill>
                <a:schemeClr val="accent2"/>
              </a:solidFill>
              <a:round/>
            </a:ln>
            <a:effectLst/>
          </c:spPr>
          <c:marker>
            <c:symbol val="none"/>
          </c:marker>
          <c:cat>
            <c:numRef>
              <c:f>'Tab1 '!$D$60:$AH$60</c:f>
              <c:numCache>
                <c:formatCode>General</c:formatCode>
                <c:ptCount val="3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numCache>
            </c:numRef>
          </c:cat>
          <c:val>
            <c:numRef>
              <c:f>'Tab1 '!$D$104:$Z$104</c:f>
              <c:numCache>
                <c:formatCode>0</c:formatCode>
                <c:ptCount val="23"/>
                <c:pt idx="0">
                  <c:v>559.57913346054556</c:v>
                </c:pt>
                <c:pt idx="1">
                  <c:v>559.57913346054556</c:v>
                </c:pt>
                <c:pt idx="2">
                  <c:v>559.57913346054556</c:v>
                </c:pt>
                <c:pt idx="3">
                  <c:v>912.32242675945679</c:v>
                </c:pt>
                <c:pt idx="4">
                  <c:v>1172.0697609159276</c:v>
                </c:pt>
                <c:pt idx="5">
                  <c:v>3100.9342238186105</c:v>
                </c:pt>
                <c:pt idx="6">
                  <c:v>4221.6958693456054</c:v>
                </c:pt>
                <c:pt idx="7">
                  <c:v>7083.7266808844988</c:v>
                </c:pt>
                <c:pt idx="8">
                  <c:v>9968.20479290605</c:v>
                </c:pt>
                <c:pt idx="9">
                  <c:v>13869.224941070828</c:v>
                </c:pt>
                <c:pt idx="10">
                  <c:v>17645.181557975084</c:v>
                </c:pt>
                <c:pt idx="11">
                  <c:v>22274.135593220341</c:v>
                </c:pt>
                <c:pt idx="12">
                  <c:v>22699.030923784936</c:v>
                </c:pt>
                <c:pt idx="13">
                  <c:v>24151.69194073409</c:v>
                </c:pt>
                <c:pt idx="14">
                  <c:v>26956.001122460435</c:v>
                </c:pt>
                <c:pt idx="15">
                  <c:v>28086.383039622855</c:v>
                </c:pt>
                <c:pt idx="16">
                  <c:v>28298.029015602202</c:v>
                </c:pt>
                <c:pt idx="17">
                  <c:v>28298.029015602202</c:v>
                </c:pt>
                <c:pt idx="18">
                  <c:v>28567.396621394098</c:v>
                </c:pt>
                <c:pt idx="19">
                  <c:v>28569</c:v>
                </c:pt>
                <c:pt idx="20">
                  <c:v>28569</c:v>
                </c:pt>
                <c:pt idx="21">
                  <c:v>28569</c:v>
                </c:pt>
                <c:pt idx="22">
                  <c:v>28569</c:v>
                </c:pt>
              </c:numCache>
            </c:numRef>
          </c:val>
          <c:smooth val="0"/>
          <c:extLst>
            <c:ext xmlns:c16="http://schemas.microsoft.com/office/drawing/2014/chart" uri="{C3380CC4-5D6E-409C-BE32-E72D297353CC}">
              <c16:uniqueId val="{00000001-14F6-466C-82C1-CD3F43F3F8A9}"/>
            </c:ext>
          </c:extLst>
        </c:ser>
        <c:dLbls>
          <c:showLegendKey val="0"/>
          <c:showVal val="0"/>
          <c:showCatName val="0"/>
          <c:showSerName val="0"/>
          <c:showPercent val="0"/>
          <c:showBubbleSize val="0"/>
        </c:dLbls>
        <c:smooth val="0"/>
        <c:axId val="1076041520"/>
        <c:axId val="1043996336"/>
      </c:lineChart>
      <c:catAx>
        <c:axId val="1076041520"/>
        <c:scaling>
          <c:orientation val="minMax"/>
        </c:scaling>
        <c:delete val="0"/>
        <c:axPos val="b"/>
        <c:title>
          <c:tx>
            <c:rich>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a:t>Month</a:t>
                </a:r>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cross"/>
        <c:minorTickMark val="cross"/>
        <c:tickLblPos val="nextTo"/>
        <c:spPr>
          <a:noFill/>
          <a:ln w="9525" cap="flat" cmpd="sng" algn="ctr">
            <a:solidFill>
              <a:schemeClr val="tx1">
                <a:lumMod val="15000"/>
                <a:lumOff val="85000"/>
              </a:schemeClr>
            </a:solidFill>
            <a:round/>
          </a:ln>
          <a:effectLst/>
        </c:spPr>
        <c:txPr>
          <a:bodyPr rot="-2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43996336"/>
        <c:crosses val="autoZero"/>
        <c:auto val="1"/>
        <c:lblAlgn val="ctr"/>
        <c:lblOffset val="100"/>
        <c:noMultiLvlLbl val="0"/>
      </c:catAx>
      <c:valAx>
        <c:axId val="1043996336"/>
        <c:scaling>
          <c:orientation val="minMax"/>
          <c:max val="50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a:t>Children Enrolled / Exposed</a:t>
                </a:r>
              </a:p>
            </c:rich>
          </c:tx>
          <c:layout>
            <c:manualLayout>
              <c:xMode val="edge"/>
              <c:yMode val="edge"/>
              <c:x val="1.3888888888888888E-2"/>
              <c:y val="0.1902930883639545"/>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76041520"/>
        <c:crosses val="autoZero"/>
        <c:crossBetween val="between"/>
      </c:valAx>
      <c:spPr>
        <a:noFill/>
        <a:ln>
          <a:noFill/>
        </a:ln>
        <a:effectLst/>
      </c:spPr>
    </c:plotArea>
    <c:legend>
      <c:legendPos val="t"/>
      <c:layout>
        <c:manualLayout>
          <c:xMode val="edge"/>
          <c:yMode val="edge"/>
          <c:x val="0.31736686415826687"/>
          <c:y val="0.1075590080669256"/>
          <c:w val="0.35983739003308624"/>
          <c:h val="0.1008372758305122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9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Area 1 - Monthly Cost of Implementing the Crèches Intervention, in 2015 $US</a:t>
            </a:r>
          </a:p>
        </c:rich>
      </c:tx>
      <c:layout>
        <c:manualLayout>
          <c:xMode val="edge"/>
          <c:yMode val="edge"/>
          <c:x val="0.23144746299866042"/>
          <c:y val="5.4538873555037642E-2"/>
        </c:manualLayout>
      </c:layout>
      <c:overlay val="0"/>
    </c:title>
    <c:autoTitleDeleted val="0"/>
    <c:plotArea>
      <c:layout>
        <c:manualLayout>
          <c:layoutTarget val="inner"/>
          <c:xMode val="edge"/>
          <c:yMode val="edge"/>
          <c:x val="0.11390123174437222"/>
          <c:y val="0.21300115422695645"/>
          <c:w val="0.70801197438494468"/>
          <c:h val="0.64727539197503869"/>
        </c:manualLayout>
      </c:layout>
      <c:lineChart>
        <c:grouping val="standard"/>
        <c:varyColors val="0"/>
        <c:ser>
          <c:idx val="0"/>
          <c:order val="0"/>
          <c:tx>
            <c:strRef>
              <c:f>MonthlyPrgrmCostInfAdjst!$E$84</c:f>
              <c:strCache>
                <c:ptCount val="1"/>
                <c:pt idx="0">
                  <c:v>Variable Cost (VC)</c:v>
                </c:pt>
              </c:strCache>
            </c:strRef>
          </c:tx>
          <c:spPr>
            <a:ln>
              <a:solidFill>
                <a:srgbClr val="C00000"/>
              </a:solidFill>
            </a:ln>
          </c:spPr>
          <c:marker>
            <c:spPr>
              <a:solidFill>
                <a:srgbClr val="C00000"/>
              </a:solidFill>
              <a:ln>
                <a:solidFill>
                  <a:srgbClr val="C00000"/>
                </a:solidFill>
              </a:ln>
            </c:spPr>
          </c:marker>
          <c:dLbls>
            <c:dLbl>
              <c:idx val="0"/>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BA5-45A3-8EB7-FA06CCC5D07D}"/>
                </c:ext>
              </c:extLst>
            </c:dLbl>
            <c:numFmt formatCode="&quot;$&quot;#,##0" sourceLinked="0"/>
            <c:spPr>
              <a:noFill/>
              <a:ln>
                <a:noFill/>
              </a:ln>
              <a:effectLst/>
            </c:spPr>
            <c:txPr>
              <a:bodyPr rot="3000000"/>
              <a:lstStyle/>
              <a:p>
                <a:pPr>
                  <a:defRPr/>
                </a:pPr>
                <a:endParaRPr lang="en-US"/>
              </a:p>
            </c:txPr>
            <c:dLblPos val="t"/>
            <c:showLegendKey val="0"/>
            <c:showVal val="1"/>
            <c:showCatName val="0"/>
            <c:showSerName val="0"/>
            <c:showPercent val="0"/>
            <c:showBubbleSize val="0"/>
            <c:separator>
</c:separator>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strRef>
              <c:f>MonthlyPrgrmCostInfAdjst!$M$7:$AQ$7</c:f>
              <c:strCache>
                <c:ptCount val="31"/>
                <c:pt idx="0">
                  <c:v>June-13</c:v>
                </c:pt>
                <c:pt idx="1">
                  <c:v>July-13</c:v>
                </c:pt>
                <c:pt idx="2">
                  <c:v>August-13</c:v>
                </c:pt>
                <c:pt idx="3">
                  <c:v>Sep-13</c:v>
                </c:pt>
                <c:pt idx="4">
                  <c:v>Oct-13</c:v>
                </c:pt>
                <c:pt idx="5">
                  <c:v>Nov-13</c:v>
                </c:pt>
                <c:pt idx="6">
                  <c:v>Dec-13</c:v>
                </c:pt>
                <c:pt idx="7">
                  <c:v>Jan-14</c:v>
                </c:pt>
                <c:pt idx="8">
                  <c:v>Feb-14</c:v>
                </c:pt>
                <c:pt idx="9">
                  <c:v>Mar-14</c:v>
                </c:pt>
                <c:pt idx="10">
                  <c:v>April-14</c:v>
                </c:pt>
                <c:pt idx="11">
                  <c:v>May-14</c:v>
                </c:pt>
                <c:pt idx="12">
                  <c:v>June-14</c:v>
                </c:pt>
                <c:pt idx="13">
                  <c:v>July-14</c:v>
                </c:pt>
                <c:pt idx="14">
                  <c:v>Aug-14</c:v>
                </c:pt>
                <c:pt idx="15">
                  <c:v>Sep-14</c:v>
                </c:pt>
                <c:pt idx="16">
                  <c:v>Oct-14</c:v>
                </c:pt>
                <c:pt idx="17">
                  <c:v>Nov-14</c:v>
                </c:pt>
                <c:pt idx="18">
                  <c:v>Dec-14</c:v>
                </c:pt>
                <c:pt idx="19">
                  <c:v>Jan-15</c:v>
                </c:pt>
                <c:pt idx="20">
                  <c:v>Feb-15</c:v>
                </c:pt>
                <c:pt idx="21">
                  <c:v>Mar-15</c:v>
                </c:pt>
                <c:pt idx="22">
                  <c:v>April-15</c:v>
                </c:pt>
                <c:pt idx="23">
                  <c:v>May-15</c:v>
                </c:pt>
                <c:pt idx="24">
                  <c:v>June-15</c:v>
                </c:pt>
                <c:pt idx="25">
                  <c:v>July-15</c:v>
                </c:pt>
                <c:pt idx="26">
                  <c:v>Aug-15</c:v>
                </c:pt>
                <c:pt idx="27">
                  <c:v>Sep-15</c:v>
                </c:pt>
                <c:pt idx="28">
                  <c:v>Oct-15</c:v>
                </c:pt>
                <c:pt idx="29">
                  <c:v>Nov-15</c:v>
                </c:pt>
                <c:pt idx="30">
                  <c:v>Dec-15</c:v>
                </c:pt>
              </c:strCache>
            </c:strRef>
          </c:cat>
          <c:val>
            <c:numRef>
              <c:f>MonthlyPrgrmCostInfAdjst!$M$90:$AQ$90</c:f>
              <c:numCache>
                <c:formatCode>"$"#,##0</c:formatCode>
                <c:ptCount val="31"/>
                <c:pt idx="0">
                  <c:v>4178.0632117114201</c:v>
                </c:pt>
                <c:pt idx="1">
                  <c:v>10300.408649068784</c:v>
                </c:pt>
                <c:pt idx="2">
                  <c:v>15135.067266278753</c:v>
                </c:pt>
                <c:pt idx="3">
                  <c:v>20229.261724301185</c:v>
                </c:pt>
                <c:pt idx="4">
                  <c:v>30513.109857882973</c:v>
                </c:pt>
                <c:pt idx="5">
                  <c:v>39391.746447411373</c:v>
                </c:pt>
                <c:pt idx="6">
                  <c:v>51395.682210289779</c:v>
                </c:pt>
                <c:pt idx="7">
                  <c:v>53238.716089681868</c:v>
                </c:pt>
                <c:pt idx="8">
                  <c:v>55026.572791015446</c:v>
                </c:pt>
                <c:pt idx="9">
                  <c:v>53652.788818468289</c:v>
                </c:pt>
                <c:pt idx="10">
                  <c:v>54218.028802851164</c:v>
                </c:pt>
                <c:pt idx="11">
                  <c:v>53915.847241107447</c:v>
                </c:pt>
                <c:pt idx="12">
                  <c:v>54490.381232019514</c:v>
                </c:pt>
                <c:pt idx="13">
                  <c:v>54656.069375321429</c:v>
                </c:pt>
                <c:pt idx="14">
                  <c:v>54319.160308642997</c:v>
                </c:pt>
                <c:pt idx="15">
                  <c:v>55239.880082824951</c:v>
                </c:pt>
                <c:pt idx="16">
                  <c:v>54405.148488970961</c:v>
                </c:pt>
                <c:pt idx="17">
                  <c:v>54829.50141573498</c:v>
                </c:pt>
                <c:pt idx="18">
                  <c:v>55361.732913992397</c:v>
                </c:pt>
                <c:pt idx="19">
                  <c:v>51358.362605142502</c:v>
                </c:pt>
                <c:pt idx="20">
                  <c:v>52422.218571051591</c:v>
                </c:pt>
                <c:pt idx="21">
                  <c:v>52069.249215909091</c:v>
                </c:pt>
                <c:pt idx="22">
                  <c:v>51778.93045058909</c:v>
                </c:pt>
                <c:pt idx="23">
                  <c:v>51784.455457233511</c:v>
                </c:pt>
                <c:pt idx="24">
                  <c:v>52033.517370939131</c:v>
                </c:pt>
                <c:pt idx="25">
                  <c:v>52060.989870939135</c:v>
                </c:pt>
                <c:pt idx="26">
                  <c:v>53226.282370939123</c:v>
                </c:pt>
                <c:pt idx="27">
                  <c:v>51729.220495939117</c:v>
                </c:pt>
                <c:pt idx="28">
                  <c:v>52758.331745939126</c:v>
                </c:pt>
                <c:pt idx="29">
                  <c:v>51550.879870939127</c:v>
                </c:pt>
                <c:pt idx="30">
                  <c:v>51800.580079272462</c:v>
                </c:pt>
              </c:numCache>
            </c:numRef>
          </c:val>
          <c:smooth val="0"/>
          <c:extLst>
            <c:ext xmlns:c16="http://schemas.microsoft.com/office/drawing/2014/chart" uri="{C3380CC4-5D6E-409C-BE32-E72D297353CC}">
              <c16:uniqueId val="{00000001-8BA5-45A3-8EB7-FA06CCC5D07D}"/>
            </c:ext>
          </c:extLst>
        </c:ser>
        <c:ser>
          <c:idx val="3"/>
          <c:order val="1"/>
          <c:tx>
            <c:strRef>
              <c:f>MonthlyPrgrmCostInfAdjst!$E$78</c:f>
              <c:strCache>
                <c:ptCount val="1"/>
                <c:pt idx="0">
                  <c:v>Fixed Cost (FC)*</c:v>
                </c:pt>
              </c:strCache>
            </c:strRef>
          </c:tx>
          <c:spPr>
            <a:ln>
              <a:solidFill>
                <a:schemeClr val="accent4"/>
              </a:solidFill>
            </a:ln>
          </c:spPr>
          <c:marker>
            <c:spPr>
              <a:solidFill>
                <a:schemeClr val="bg1"/>
              </a:solidFill>
              <a:ln>
                <a:solidFill>
                  <a:schemeClr val="accent4"/>
                </a:solidFill>
              </a:ln>
            </c:spPr>
          </c:marker>
          <c:dLbls>
            <c:dLbl>
              <c:idx val="0"/>
              <c:layout>
                <c:manualLayout>
                  <c:x val="-2.4067819453066294E-2"/>
                  <c:y val="-3.943543901490177E-2"/>
                </c:manualLayout>
              </c:layout>
              <c:dLblPos val="r"/>
              <c:showLegendKey val="0"/>
              <c:showVal val="1"/>
              <c:showCatName val="0"/>
              <c:showSerName val="0"/>
              <c:showPercent val="0"/>
              <c:showBubbleSize val="0"/>
              <c:extLst>
                <c:ext xmlns:c15="http://schemas.microsoft.com/office/drawing/2012/chart" uri="{CE6537A1-D6FC-4f65-9D91-7224C49458BB}">
                  <c15:layout>
                    <c:manualLayout>
                      <c:w val="4.0874309798412119E-2"/>
                      <c:h val="8.1020099049289945E-2"/>
                    </c:manualLayout>
                  </c15:layout>
                </c:ext>
                <c:ext xmlns:c16="http://schemas.microsoft.com/office/drawing/2014/chart" uri="{C3380CC4-5D6E-409C-BE32-E72D297353CC}">
                  <c16:uniqueId val="{00000002-8BA5-45A3-8EB7-FA06CCC5D07D}"/>
                </c:ext>
              </c:extLst>
            </c:dLbl>
            <c:dLbl>
              <c:idx val="1"/>
              <c:layout>
                <c:manualLayout>
                  <c:x val="-1.8881097461365046E-2"/>
                  <c:y val="3.621203052736547E-2"/>
                </c:manualLayout>
              </c:layout>
              <c:dLblPos val="r"/>
              <c:showLegendKey val="0"/>
              <c:showVal val="1"/>
              <c:showCatName val="0"/>
              <c:showSerName val="0"/>
              <c:showPercent val="0"/>
              <c:showBubbleSize val="0"/>
              <c:extLst>
                <c:ext xmlns:c15="http://schemas.microsoft.com/office/drawing/2012/chart" uri="{CE6537A1-D6FC-4f65-9D91-7224C49458BB}">
                  <c15:layout>
                    <c:manualLayout>
                      <c:w val="4.7098376188453611E-2"/>
                      <c:h val="5.3082425612771662E-2"/>
                    </c:manualLayout>
                  </c15:layout>
                </c:ext>
                <c:ext xmlns:c16="http://schemas.microsoft.com/office/drawing/2014/chart" uri="{C3380CC4-5D6E-409C-BE32-E72D297353CC}">
                  <c16:uniqueId val="{00000003-8BA5-45A3-8EB7-FA06CCC5D07D}"/>
                </c:ext>
              </c:extLst>
            </c:dLbl>
            <c:spPr>
              <a:noFill/>
              <a:ln>
                <a:noFill/>
              </a:ln>
              <a:effectLst/>
            </c:spPr>
            <c:txPr>
              <a:bodyPr rot="3000000"/>
              <a:lstStyle/>
              <a:p>
                <a:pPr>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trendline>
            <c:spPr>
              <a:ln w="19050">
                <a:solidFill>
                  <a:schemeClr val="accent4"/>
                </a:solidFill>
                <a:prstDash val="lgDash"/>
              </a:ln>
            </c:spPr>
            <c:trendlineType val="linear"/>
            <c:dispRSqr val="0"/>
            <c:dispEq val="0"/>
          </c:trendline>
          <c:cat>
            <c:strRef>
              <c:f>MonthlyPrgrmCostInfAdjst!$M$7:$AQ$7</c:f>
              <c:strCache>
                <c:ptCount val="31"/>
                <c:pt idx="0">
                  <c:v>June-13</c:v>
                </c:pt>
                <c:pt idx="1">
                  <c:v>July-13</c:v>
                </c:pt>
                <c:pt idx="2">
                  <c:v>August-13</c:v>
                </c:pt>
                <c:pt idx="3">
                  <c:v>Sep-13</c:v>
                </c:pt>
                <c:pt idx="4">
                  <c:v>Oct-13</c:v>
                </c:pt>
                <c:pt idx="5">
                  <c:v>Nov-13</c:v>
                </c:pt>
                <c:pt idx="6">
                  <c:v>Dec-13</c:v>
                </c:pt>
                <c:pt idx="7">
                  <c:v>Jan-14</c:v>
                </c:pt>
                <c:pt idx="8">
                  <c:v>Feb-14</c:v>
                </c:pt>
                <c:pt idx="9">
                  <c:v>Mar-14</c:v>
                </c:pt>
                <c:pt idx="10">
                  <c:v>April-14</c:v>
                </c:pt>
                <c:pt idx="11">
                  <c:v>May-14</c:v>
                </c:pt>
                <c:pt idx="12">
                  <c:v>June-14</c:v>
                </c:pt>
                <c:pt idx="13">
                  <c:v>July-14</c:v>
                </c:pt>
                <c:pt idx="14">
                  <c:v>Aug-14</c:v>
                </c:pt>
                <c:pt idx="15">
                  <c:v>Sep-14</c:v>
                </c:pt>
                <c:pt idx="16">
                  <c:v>Oct-14</c:v>
                </c:pt>
                <c:pt idx="17">
                  <c:v>Nov-14</c:v>
                </c:pt>
                <c:pt idx="18">
                  <c:v>Dec-14</c:v>
                </c:pt>
                <c:pt idx="19">
                  <c:v>Jan-15</c:v>
                </c:pt>
                <c:pt idx="20">
                  <c:v>Feb-15</c:v>
                </c:pt>
                <c:pt idx="21">
                  <c:v>Mar-15</c:v>
                </c:pt>
                <c:pt idx="22">
                  <c:v>April-15</c:v>
                </c:pt>
                <c:pt idx="23">
                  <c:v>May-15</c:v>
                </c:pt>
                <c:pt idx="24">
                  <c:v>June-15</c:v>
                </c:pt>
                <c:pt idx="25">
                  <c:v>July-15</c:v>
                </c:pt>
                <c:pt idx="26">
                  <c:v>Aug-15</c:v>
                </c:pt>
                <c:pt idx="27">
                  <c:v>Sep-15</c:v>
                </c:pt>
                <c:pt idx="28">
                  <c:v>Oct-15</c:v>
                </c:pt>
                <c:pt idx="29">
                  <c:v>Nov-15</c:v>
                </c:pt>
                <c:pt idx="30">
                  <c:v>Dec-15</c:v>
                </c:pt>
              </c:strCache>
            </c:strRef>
          </c:cat>
          <c:val>
            <c:numRef>
              <c:f>MonthlyPrgrmCostInfAdjst!$M$83:$AQ$83</c:f>
              <c:numCache>
                <c:formatCode>"$"#,##0</c:formatCode>
                <c:ptCount val="31"/>
                <c:pt idx="0">
                  <c:v>2550.2592667173967</c:v>
                </c:pt>
                <c:pt idx="1">
                  <c:v>2243.3743424585741</c:v>
                </c:pt>
                <c:pt idx="2">
                  <c:v>11241.208250937611</c:v>
                </c:pt>
                <c:pt idx="3">
                  <c:v>12191.592764330704</c:v>
                </c:pt>
                <c:pt idx="4">
                  <c:v>3656.1469400653027</c:v>
                </c:pt>
                <c:pt idx="5">
                  <c:v>4487.8276500962629</c:v>
                </c:pt>
                <c:pt idx="6">
                  <c:v>25196.282623113111</c:v>
                </c:pt>
                <c:pt idx="7">
                  <c:v>684.84607639789385</c:v>
                </c:pt>
                <c:pt idx="8">
                  <c:v>883.12426418427344</c:v>
                </c:pt>
                <c:pt idx="9">
                  <c:v>840.0680495760339</c:v>
                </c:pt>
                <c:pt idx="10">
                  <c:v>15299.77299597329</c:v>
                </c:pt>
                <c:pt idx="11">
                  <c:v>1366.72552696719</c:v>
                </c:pt>
                <c:pt idx="12">
                  <c:v>4957.0669613062328</c:v>
                </c:pt>
                <c:pt idx="13">
                  <c:v>302.8906149488073</c:v>
                </c:pt>
                <c:pt idx="14">
                  <c:v>556.9251344999717</c:v>
                </c:pt>
                <c:pt idx="15">
                  <c:v>1320.5207034933255</c:v>
                </c:pt>
                <c:pt idx="16">
                  <c:v>1554.289068153081</c:v>
                </c:pt>
                <c:pt idx="17">
                  <c:v>1522.3683048102541</c:v>
                </c:pt>
                <c:pt idx="18">
                  <c:v>833.89615056633863</c:v>
                </c:pt>
                <c:pt idx="19">
                  <c:v>20422.503410714286</c:v>
                </c:pt>
                <c:pt idx="20">
                  <c:v>4720.7980800481901</c:v>
                </c:pt>
                <c:pt idx="21">
                  <c:v>18377.758065886697</c:v>
                </c:pt>
                <c:pt idx="22">
                  <c:v>450.43174815270936</c:v>
                </c:pt>
                <c:pt idx="23">
                  <c:v>487.93560837438423</c:v>
                </c:pt>
                <c:pt idx="24">
                  <c:v>492.58684482758622</c:v>
                </c:pt>
                <c:pt idx="25">
                  <c:v>25164.049363300492</c:v>
                </c:pt>
                <c:pt idx="26">
                  <c:v>419.62383928571427</c:v>
                </c:pt>
                <c:pt idx="27">
                  <c:v>168.20229802955666</c:v>
                </c:pt>
                <c:pt idx="28">
                  <c:v>452.43073460591137</c:v>
                </c:pt>
                <c:pt idx="29">
                  <c:v>293.78568226600981</c:v>
                </c:pt>
                <c:pt idx="30">
                  <c:v>473.89697475369456</c:v>
                </c:pt>
              </c:numCache>
            </c:numRef>
          </c:val>
          <c:smooth val="0"/>
          <c:extLst>
            <c:ext xmlns:c16="http://schemas.microsoft.com/office/drawing/2014/chart" uri="{C3380CC4-5D6E-409C-BE32-E72D297353CC}">
              <c16:uniqueId val="{00000005-8BA5-45A3-8EB7-FA06CCC5D07D}"/>
            </c:ext>
          </c:extLst>
        </c:ser>
        <c:ser>
          <c:idx val="4"/>
          <c:order val="2"/>
          <c:tx>
            <c:strRef>
              <c:f>MonthlyPrgrmCostInfAdjst!$E$98</c:f>
              <c:strCache>
                <c:ptCount val="1"/>
                <c:pt idx="0">
                  <c:v>Average Cost (FC+VC), per functional crèche</c:v>
                </c:pt>
              </c:strCache>
            </c:strRef>
          </c:tx>
          <c:spPr>
            <a:ln>
              <a:solidFill>
                <a:schemeClr val="accent1"/>
              </a:solidFill>
            </a:ln>
          </c:spPr>
          <c:dLbls>
            <c:dLbl>
              <c:idx val="0"/>
              <c:layout>
                <c:manualLayout>
                  <c:x val="-2.9193240108471918E-2"/>
                  <c:y val="3.2792838344092974E-2"/>
                </c:manualLayout>
              </c:layout>
              <c:dLblPos val="r"/>
              <c:showLegendKey val="0"/>
              <c:showVal val="1"/>
              <c:showCatName val="0"/>
              <c:showSerName val="0"/>
              <c:showPercent val="0"/>
              <c:showBubbleSize val="0"/>
              <c:extLst>
                <c:ext xmlns:c15="http://schemas.microsoft.com/office/drawing/2012/chart" uri="{CE6537A1-D6FC-4f65-9D91-7224C49458BB}">
                  <c15:layout>
                    <c:manualLayout>
                      <c:w val="4.9050625673865457E-2"/>
                      <c:h val="7.203283209661325E-2"/>
                    </c:manualLayout>
                  </c15:layout>
                </c:ext>
                <c:ext xmlns:c16="http://schemas.microsoft.com/office/drawing/2014/chart" uri="{C3380CC4-5D6E-409C-BE32-E72D297353CC}">
                  <c16:uniqueId val="{00000006-8BA5-45A3-8EB7-FA06CCC5D07D}"/>
                </c:ext>
              </c:extLst>
            </c:dLbl>
            <c:dLbl>
              <c:idx val="1"/>
              <c:layout>
                <c:manualLayout>
                  <c:x val="-2.9264629006436459E-2"/>
                  <c:y val="2.1193119717584134E-2"/>
                </c:manualLayout>
              </c:layout>
              <c:dLblPos val="r"/>
              <c:showLegendKey val="0"/>
              <c:showVal val="1"/>
              <c:showCatName val="0"/>
              <c:showSerName val="0"/>
              <c:showPercent val="0"/>
              <c:showBubbleSize val="0"/>
              <c:extLst>
                <c:ext xmlns:c15="http://schemas.microsoft.com/office/drawing/2012/chart" uri="{CE6537A1-D6FC-4f65-9D91-7224C49458BB}">
                  <c15:layout>
                    <c:manualLayout>
                      <c:w val="3.6744943967066346E-2"/>
                      <c:h val="5.7429771271509333E-2"/>
                    </c:manualLayout>
                  </c15:layout>
                </c:ext>
                <c:ext xmlns:c16="http://schemas.microsoft.com/office/drawing/2014/chart" uri="{C3380CC4-5D6E-409C-BE32-E72D297353CC}">
                  <c16:uniqueId val="{00000007-8BA5-45A3-8EB7-FA06CCC5D07D}"/>
                </c:ext>
              </c:extLst>
            </c:dLbl>
            <c:dLbl>
              <c:idx val="2"/>
              <c:dLblPos val="b"/>
              <c:showLegendKey val="0"/>
              <c:showVal val="1"/>
              <c:showCatName val="0"/>
              <c:showSerName val="0"/>
              <c:showPercent val="0"/>
              <c:showBubbleSize val="0"/>
              <c:extLst>
                <c:ext xmlns:c15="http://schemas.microsoft.com/office/drawing/2012/chart" uri="{CE6537A1-D6FC-4f65-9D91-7224C49458BB}">
                  <c15:layout>
                    <c:manualLayout>
                      <c:w val="3.8819632763746857E-2"/>
                      <c:h val="4.6684512257463853E-2"/>
                    </c:manualLayout>
                  </c15:layout>
                </c:ext>
                <c:ext xmlns:c16="http://schemas.microsoft.com/office/drawing/2014/chart" uri="{C3380CC4-5D6E-409C-BE32-E72D297353CC}">
                  <c16:uniqueId val="{00000008-8BA5-45A3-8EB7-FA06CCC5D07D}"/>
                </c:ext>
              </c:extLst>
            </c:dLbl>
            <c:spPr>
              <a:noFill/>
              <a:ln>
                <a:noFill/>
              </a:ln>
              <a:effectLst/>
            </c:spPr>
            <c:txPr>
              <a:bodyPr rot="3000000"/>
              <a:lstStyle/>
              <a:p>
                <a:pPr>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MonthlyPrgrmCostInfAdjst!$M$7:$AQ$7</c:f>
              <c:strCache>
                <c:ptCount val="31"/>
                <c:pt idx="0">
                  <c:v>June-13</c:v>
                </c:pt>
                <c:pt idx="1">
                  <c:v>July-13</c:v>
                </c:pt>
                <c:pt idx="2">
                  <c:v>August-13</c:v>
                </c:pt>
                <c:pt idx="3">
                  <c:v>Sep-13</c:v>
                </c:pt>
                <c:pt idx="4">
                  <c:v>Oct-13</c:v>
                </c:pt>
                <c:pt idx="5">
                  <c:v>Nov-13</c:v>
                </c:pt>
                <c:pt idx="6">
                  <c:v>Dec-13</c:v>
                </c:pt>
                <c:pt idx="7">
                  <c:v>Jan-14</c:v>
                </c:pt>
                <c:pt idx="8">
                  <c:v>Feb-14</c:v>
                </c:pt>
                <c:pt idx="9">
                  <c:v>Mar-14</c:v>
                </c:pt>
                <c:pt idx="10">
                  <c:v>April-14</c:v>
                </c:pt>
                <c:pt idx="11">
                  <c:v>May-14</c:v>
                </c:pt>
                <c:pt idx="12">
                  <c:v>June-14</c:v>
                </c:pt>
                <c:pt idx="13">
                  <c:v>July-14</c:v>
                </c:pt>
                <c:pt idx="14">
                  <c:v>Aug-14</c:v>
                </c:pt>
                <c:pt idx="15">
                  <c:v>Sep-14</c:v>
                </c:pt>
                <c:pt idx="16">
                  <c:v>Oct-14</c:v>
                </c:pt>
                <c:pt idx="17">
                  <c:v>Nov-14</c:v>
                </c:pt>
                <c:pt idx="18">
                  <c:v>Dec-14</c:v>
                </c:pt>
                <c:pt idx="19">
                  <c:v>Jan-15</c:v>
                </c:pt>
                <c:pt idx="20">
                  <c:v>Feb-15</c:v>
                </c:pt>
                <c:pt idx="21">
                  <c:v>Mar-15</c:v>
                </c:pt>
                <c:pt idx="22">
                  <c:v>April-15</c:v>
                </c:pt>
                <c:pt idx="23">
                  <c:v>May-15</c:v>
                </c:pt>
                <c:pt idx="24">
                  <c:v>June-15</c:v>
                </c:pt>
                <c:pt idx="25">
                  <c:v>July-15</c:v>
                </c:pt>
                <c:pt idx="26">
                  <c:v>Aug-15</c:v>
                </c:pt>
                <c:pt idx="27">
                  <c:v>Sep-15</c:v>
                </c:pt>
                <c:pt idx="28">
                  <c:v>Oct-15</c:v>
                </c:pt>
                <c:pt idx="29">
                  <c:v>Nov-15</c:v>
                </c:pt>
                <c:pt idx="30">
                  <c:v>Dec-15</c:v>
                </c:pt>
              </c:strCache>
            </c:strRef>
          </c:cat>
          <c:val>
            <c:numRef>
              <c:f>MonthlyPrgrmCostInfAdjst!$M$98:$AQ$98</c:f>
              <c:numCache>
                <c:formatCode>"$"#,##0</c:formatCode>
                <c:ptCount val="31"/>
                <c:pt idx="0">
                  <c:v>747.59138649209081</c:v>
                </c:pt>
                <c:pt idx="1">
                  <c:v>232.292277620877</c:v>
                </c:pt>
                <c:pt idx="2">
                  <c:v>187.06578381004513</c:v>
                </c:pt>
                <c:pt idx="3">
                  <c:v>68.688251035237059</c:v>
                </c:pt>
                <c:pt idx="4">
                  <c:v>46.871408501986664</c:v>
                </c:pt>
                <c:pt idx="5">
                  <c:v>37.697228606106215</c:v>
                </c:pt>
                <c:pt idx="6">
                  <c:v>51.232083500603942</c:v>
                </c:pt>
                <c:pt idx="7">
                  <c:v>34.45595026586566</c:v>
                </c:pt>
                <c:pt idx="8">
                  <c:v>35.29652591868669</c:v>
                </c:pt>
                <c:pt idx="9">
                  <c:v>34.250695705873234</c:v>
                </c:pt>
                <c:pt idx="10">
                  <c:v>43.66696092890983</c:v>
                </c:pt>
                <c:pt idx="11">
                  <c:v>34.703435510404667</c:v>
                </c:pt>
                <c:pt idx="12">
                  <c:v>37.341361930481</c:v>
                </c:pt>
                <c:pt idx="13">
                  <c:v>34.565383641679396</c:v>
                </c:pt>
                <c:pt idx="14">
                  <c:v>34.622135926273167</c:v>
                </c:pt>
                <c:pt idx="15">
                  <c:v>35.684795448781244</c:v>
                </c:pt>
                <c:pt idx="16">
                  <c:v>35.194614815801287</c:v>
                </c:pt>
                <c:pt idx="17">
                  <c:v>35.308189047960674</c:v>
                </c:pt>
                <c:pt idx="18">
                  <c:v>35.210293900099458</c:v>
                </c:pt>
                <c:pt idx="19">
                  <c:v>44.863041259910496</c:v>
                </c:pt>
                <c:pt idx="20">
                  <c:v>35.736720857473287</c:v>
                </c:pt>
                <c:pt idx="21">
                  <c:v>44.029379551122368</c:v>
                </c:pt>
                <c:pt idx="22">
                  <c:v>32.684206632504257</c:v>
                </c:pt>
                <c:pt idx="23">
                  <c:v>32.670244416004934</c:v>
                </c:pt>
                <c:pt idx="24">
                  <c:v>32.869902512995445</c:v>
                </c:pt>
                <c:pt idx="25">
                  <c:v>48.416952497955876</c:v>
                </c:pt>
                <c:pt idx="26">
                  <c:v>33.528691381390523</c:v>
                </c:pt>
                <c:pt idx="27">
                  <c:v>32.537569149823618</c:v>
                </c:pt>
                <c:pt idx="28">
                  <c:v>33.402864080693682</c:v>
                </c:pt>
                <c:pt idx="29">
                  <c:v>33.001060186635989</c:v>
                </c:pt>
                <c:pt idx="30">
                  <c:v>32.980742620836693</c:v>
                </c:pt>
              </c:numCache>
            </c:numRef>
          </c:val>
          <c:smooth val="0"/>
          <c:extLst>
            <c:ext xmlns:c16="http://schemas.microsoft.com/office/drawing/2014/chart" uri="{C3380CC4-5D6E-409C-BE32-E72D297353CC}">
              <c16:uniqueId val="{00000009-8BA5-45A3-8EB7-FA06CCC5D07D}"/>
            </c:ext>
          </c:extLst>
        </c:ser>
        <c:ser>
          <c:idx val="2"/>
          <c:order val="3"/>
          <c:tx>
            <c:strRef>
              <c:f>MonthlyPrgrmCostInfAdjst!$E$97</c:f>
              <c:strCache>
                <c:ptCount val="1"/>
                <c:pt idx="0">
                  <c:v>Average Cost (FC+VC), per child</c:v>
                </c:pt>
              </c:strCache>
            </c:strRef>
          </c:tx>
          <c:dLbls>
            <c:dLbl>
              <c:idx val="0"/>
              <c:dLblPos val="b"/>
              <c:showLegendKey val="0"/>
              <c:showVal val="1"/>
              <c:showCatName val="0"/>
              <c:showSerName val="0"/>
              <c:showPercent val="0"/>
              <c:showBubbleSize val="0"/>
              <c:extLst>
                <c:ext xmlns:c15="http://schemas.microsoft.com/office/drawing/2012/chart" uri="{CE6537A1-D6FC-4f65-9D91-7224C49458BB}">
                  <c15:layout>
                    <c:manualLayout>
                      <c:w val="3.9547387975147501E-2"/>
                      <c:h val="6.6634457885857909E-2"/>
                    </c:manualLayout>
                  </c15:layout>
                </c:ext>
                <c:ext xmlns:c16="http://schemas.microsoft.com/office/drawing/2014/chart" uri="{C3380CC4-5D6E-409C-BE32-E72D297353CC}">
                  <c16:uniqueId val="{0000000A-8BA5-45A3-8EB7-FA06CCC5D07D}"/>
                </c:ext>
              </c:extLst>
            </c:dLbl>
            <c:dLbl>
              <c:idx val="1"/>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8BA5-45A3-8EB7-FA06CCC5D07D}"/>
                </c:ext>
              </c:extLst>
            </c:dLbl>
            <c:dLbl>
              <c:idx val="2"/>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8BA5-45A3-8EB7-FA06CCC5D07D}"/>
                </c:ext>
              </c:extLst>
            </c:dLbl>
            <c:dLbl>
              <c:idx val="3"/>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8BA5-45A3-8EB7-FA06CCC5D07D}"/>
                </c:ext>
              </c:extLst>
            </c:dLbl>
            <c:spPr>
              <a:noFill/>
              <a:ln>
                <a:noFill/>
              </a:ln>
              <a:effectLst/>
            </c:spPr>
            <c:txPr>
              <a:bodyPr rot="3000000"/>
              <a:lstStyle/>
              <a:p>
                <a:pPr>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MonthlyPrgrmCostInfAdjst!$M$7:$AQ$7</c:f>
              <c:strCache>
                <c:ptCount val="31"/>
                <c:pt idx="0">
                  <c:v>June-13</c:v>
                </c:pt>
                <c:pt idx="1">
                  <c:v>July-13</c:v>
                </c:pt>
                <c:pt idx="2">
                  <c:v>August-13</c:v>
                </c:pt>
                <c:pt idx="3">
                  <c:v>Sep-13</c:v>
                </c:pt>
                <c:pt idx="4">
                  <c:v>Oct-13</c:v>
                </c:pt>
                <c:pt idx="5">
                  <c:v>Nov-13</c:v>
                </c:pt>
                <c:pt idx="6">
                  <c:v>Dec-13</c:v>
                </c:pt>
                <c:pt idx="7">
                  <c:v>Jan-14</c:v>
                </c:pt>
                <c:pt idx="8">
                  <c:v>Feb-14</c:v>
                </c:pt>
                <c:pt idx="9">
                  <c:v>Mar-14</c:v>
                </c:pt>
                <c:pt idx="10">
                  <c:v>April-14</c:v>
                </c:pt>
                <c:pt idx="11">
                  <c:v>May-14</c:v>
                </c:pt>
                <c:pt idx="12">
                  <c:v>June-14</c:v>
                </c:pt>
                <c:pt idx="13">
                  <c:v>July-14</c:v>
                </c:pt>
                <c:pt idx="14">
                  <c:v>Aug-14</c:v>
                </c:pt>
                <c:pt idx="15">
                  <c:v>Sep-14</c:v>
                </c:pt>
                <c:pt idx="16">
                  <c:v>Oct-14</c:v>
                </c:pt>
                <c:pt idx="17">
                  <c:v>Nov-14</c:v>
                </c:pt>
                <c:pt idx="18">
                  <c:v>Dec-14</c:v>
                </c:pt>
                <c:pt idx="19">
                  <c:v>Jan-15</c:v>
                </c:pt>
                <c:pt idx="20">
                  <c:v>Feb-15</c:v>
                </c:pt>
                <c:pt idx="21">
                  <c:v>Mar-15</c:v>
                </c:pt>
                <c:pt idx="22">
                  <c:v>April-15</c:v>
                </c:pt>
                <c:pt idx="23">
                  <c:v>May-15</c:v>
                </c:pt>
                <c:pt idx="24">
                  <c:v>June-15</c:v>
                </c:pt>
                <c:pt idx="25">
                  <c:v>July-15</c:v>
                </c:pt>
                <c:pt idx="26">
                  <c:v>Aug-15</c:v>
                </c:pt>
                <c:pt idx="27">
                  <c:v>Sep-15</c:v>
                </c:pt>
                <c:pt idx="28">
                  <c:v>Oct-15</c:v>
                </c:pt>
                <c:pt idx="29">
                  <c:v>Nov-15</c:v>
                </c:pt>
                <c:pt idx="30">
                  <c:v>Dec-15</c:v>
                </c:pt>
              </c:strCache>
            </c:strRef>
          </c:cat>
          <c:val>
            <c:numRef>
              <c:f>MonthlyPrgrmCostInfAdjst!$M$97:$AQ$97</c:f>
              <c:numCache>
                <c:formatCode>"$"#,##0.00</c:formatCode>
                <c:ptCount val="31"/>
                <c:pt idx="0">
                  <c:v>40.532063123065164</c:v>
                </c:pt>
                <c:pt idx="1">
                  <c:v>12.721889443739714</c:v>
                </c:pt>
                <c:pt idx="2">
                  <c:v>11.124536278876576</c:v>
                </c:pt>
                <c:pt idx="3">
                  <c:v>3.6526424615403208</c:v>
                </c:pt>
                <c:pt idx="4">
                  <c:v>2.3953211915841766</c:v>
                </c:pt>
                <c:pt idx="5">
                  <c:v>1.6702666094746159</c:v>
                </c:pt>
                <c:pt idx="6">
                  <c:v>2.7115079418487942</c:v>
                </c:pt>
                <c:pt idx="7">
                  <c:v>1.7980514226768844</c:v>
                </c:pt>
                <c:pt idx="8">
                  <c:v>1.8416791967586705</c:v>
                </c:pt>
                <c:pt idx="9">
                  <c:v>1.7772114300451478</c:v>
                </c:pt>
                <c:pt idx="10">
                  <c:v>2.1706676387567745</c:v>
                </c:pt>
                <c:pt idx="11">
                  <c:v>1.6574992584797361</c:v>
                </c:pt>
                <c:pt idx="12">
                  <c:v>1.7599978740955606</c:v>
                </c:pt>
                <c:pt idx="13">
                  <c:v>1.5958812936369777</c:v>
                </c:pt>
                <c:pt idx="14">
                  <c:v>1.5851435755840138</c:v>
                </c:pt>
                <c:pt idx="15">
                  <c:v>1.6203168644202675</c:v>
                </c:pt>
                <c:pt idx="16">
                  <c:v>1.606045333556928</c:v>
                </c:pt>
                <c:pt idx="17">
                  <c:v>1.6080318947764305</c:v>
                </c:pt>
                <c:pt idx="18">
                  <c:v>1.5755194870628781</c:v>
                </c:pt>
                <c:pt idx="19">
                  <c:v>1.9151267579802245</c:v>
                </c:pt>
                <c:pt idx="20">
                  <c:v>1.4797756539025217</c:v>
                </c:pt>
                <c:pt idx="21">
                  <c:v>1.6571087523945189</c:v>
                </c:pt>
                <c:pt idx="22">
                  <c:v>1.1220056326260321</c:v>
                </c:pt>
                <c:pt idx="23">
                  <c:v>1.1003092400195318</c:v>
                </c:pt>
                <c:pt idx="24">
                  <c:v>1.1016149874324515</c:v>
                </c:pt>
                <c:pt idx="25">
                  <c:v>1.6177187346133948</c:v>
                </c:pt>
                <c:pt idx="26">
                  <c:v>1.1218299082021086</c:v>
                </c:pt>
                <c:pt idx="27">
                  <c:v>1.0846989820037345</c:v>
                </c:pt>
                <c:pt idx="28">
                  <c:v>1.1116841633875492</c:v>
                </c:pt>
                <c:pt idx="29">
                  <c:v>1.0831209115699063</c:v>
                </c:pt>
                <c:pt idx="30">
                  <c:v>1.08923314414957</c:v>
                </c:pt>
              </c:numCache>
            </c:numRef>
          </c:val>
          <c:smooth val="0"/>
          <c:extLst>
            <c:ext xmlns:c16="http://schemas.microsoft.com/office/drawing/2014/chart" uri="{C3380CC4-5D6E-409C-BE32-E72D297353CC}">
              <c16:uniqueId val="{0000000E-8BA5-45A3-8EB7-FA06CCC5D07D}"/>
            </c:ext>
          </c:extLst>
        </c:ser>
        <c:dLbls>
          <c:showLegendKey val="0"/>
          <c:showVal val="0"/>
          <c:showCatName val="0"/>
          <c:showSerName val="0"/>
          <c:showPercent val="0"/>
          <c:showBubbleSize val="0"/>
        </c:dLbls>
        <c:marker val="1"/>
        <c:smooth val="0"/>
        <c:axId val="466874752"/>
        <c:axId val="466875312"/>
      </c:lineChart>
      <c:catAx>
        <c:axId val="466874752"/>
        <c:scaling>
          <c:orientation val="minMax"/>
        </c:scaling>
        <c:delete val="0"/>
        <c:axPos val="b"/>
        <c:numFmt formatCode="General" sourceLinked="0"/>
        <c:majorTickMark val="none"/>
        <c:minorTickMark val="none"/>
        <c:tickLblPos val="nextTo"/>
        <c:crossAx val="466875312"/>
        <c:crosses val="autoZero"/>
        <c:auto val="1"/>
        <c:lblAlgn val="ctr"/>
        <c:lblOffset val="100"/>
        <c:noMultiLvlLbl val="0"/>
      </c:catAx>
      <c:valAx>
        <c:axId val="466875312"/>
        <c:scaling>
          <c:logBase val="10"/>
          <c:orientation val="minMax"/>
          <c:max val="100000"/>
          <c:min val="1"/>
        </c:scaling>
        <c:delete val="0"/>
        <c:axPos val="l"/>
        <c:majorGridlines/>
        <c:title>
          <c:tx>
            <c:rich>
              <a:bodyPr/>
              <a:lstStyle/>
              <a:p>
                <a:pPr>
                  <a:defRPr/>
                </a:pPr>
                <a:r>
                  <a:rPr lang="en-US"/>
                  <a:t> Cost per month (Log Scale)</a:t>
                </a:r>
              </a:p>
            </c:rich>
          </c:tx>
          <c:layout>
            <c:manualLayout>
              <c:xMode val="edge"/>
              <c:yMode val="edge"/>
              <c:x val="1.7038504263730516E-2"/>
              <c:y val="0.30643685011277444"/>
            </c:manualLayout>
          </c:layout>
          <c:overlay val="0"/>
        </c:title>
        <c:numFmt formatCode="&quot;$&quot;#,##0" sourceLinked="1"/>
        <c:majorTickMark val="out"/>
        <c:minorTickMark val="none"/>
        <c:tickLblPos val="nextTo"/>
        <c:crossAx val="466874752"/>
        <c:crosses val="autoZero"/>
        <c:crossBetween val="between"/>
      </c:valAx>
      <c:spPr>
        <a:noFill/>
        <a:ln>
          <a:solidFill>
            <a:schemeClr val="bg1"/>
          </a:solidFill>
        </a:ln>
        <a:effectLst>
          <a:softEdge rad="635000"/>
        </a:effectLst>
      </c:spPr>
    </c:plotArea>
    <c:legend>
      <c:legendPos val="r"/>
      <c:legendEntry>
        <c:idx val="4"/>
        <c:delete val="1"/>
      </c:legendEntry>
      <c:layout>
        <c:manualLayout>
          <c:xMode val="edge"/>
          <c:yMode val="edge"/>
          <c:x val="0.83089130944962797"/>
          <c:y val="0.2318502983226165"/>
          <c:w val="0.15310884764923058"/>
          <c:h val="0.70926869961947336"/>
        </c:manualLayout>
      </c:layout>
      <c:overlay val="0"/>
    </c:legend>
    <c:plotVisOnly val="1"/>
    <c:dispBlanksAs val="gap"/>
    <c:showDLblsOverMax val="0"/>
  </c:chart>
  <c:spPr>
    <a:solidFill>
      <a:schemeClr val="bg1"/>
    </a:solidFill>
    <a:ln>
      <a:noFill/>
    </a:ln>
  </c:spPr>
  <c:txPr>
    <a:bodyPr/>
    <a:lstStyle/>
    <a:p>
      <a:pPr>
        <a:defRPr sz="500">
          <a:latin typeface="+mn-lt"/>
        </a:defRPr>
      </a:pPr>
      <a:endParaRPr lang="en-US"/>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Area 2 - Monthly Cost of Implementing the Crèches Intervention, in 2015 $US</a:t>
            </a:r>
          </a:p>
        </c:rich>
      </c:tx>
      <c:layout>
        <c:manualLayout>
          <c:xMode val="edge"/>
          <c:yMode val="edge"/>
          <c:x val="0.23144745005980671"/>
          <c:y val="5.4538872296135396E-2"/>
        </c:manualLayout>
      </c:layout>
      <c:overlay val="0"/>
    </c:title>
    <c:autoTitleDeleted val="0"/>
    <c:plotArea>
      <c:layout>
        <c:manualLayout>
          <c:layoutTarget val="inner"/>
          <c:xMode val="edge"/>
          <c:yMode val="edge"/>
          <c:x val="0.11390123174437222"/>
          <c:y val="0.21300115422695645"/>
          <c:w val="0.70801197438494468"/>
          <c:h val="0.66669642190574285"/>
        </c:manualLayout>
      </c:layout>
      <c:lineChart>
        <c:grouping val="standard"/>
        <c:varyColors val="0"/>
        <c:ser>
          <c:idx val="0"/>
          <c:order val="0"/>
          <c:tx>
            <c:strRef>
              <c:f>'MonthlyPrgrmCosts_InflatAdj(2)'!$E$112</c:f>
              <c:strCache>
                <c:ptCount val="1"/>
                <c:pt idx="0">
                  <c:v>Variable Cost (VC)</c:v>
                </c:pt>
              </c:strCache>
            </c:strRef>
          </c:tx>
          <c:spPr>
            <a:ln>
              <a:solidFill>
                <a:srgbClr val="C00000"/>
              </a:solidFill>
            </a:ln>
          </c:spPr>
          <c:marker>
            <c:spPr>
              <a:solidFill>
                <a:srgbClr val="C00000"/>
              </a:solidFill>
              <a:ln>
                <a:solidFill>
                  <a:srgbClr val="C00000"/>
                </a:solidFill>
              </a:ln>
            </c:spPr>
          </c:marker>
          <c:dLbls>
            <c:dLbl>
              <c:idx val="6"/>
              <c:layout>
                <c:manualLayout>
                  <c:x val="-3.7423464887662974E-2"/>
                  <c:y val="-5.8901003401592655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1A5-4635-8301-F8A306A8CCCC}"/>
                </c:ext>
              </c:extLst>
            </c:dLbl>
            <c:numFmt formatCode="\$#,##0" sourceLinked="0"/>
            <c:spPr>
              <a:noFill/>
              <a:ln w="25400">
                <a:noFill/>
              </a:ln>
            </c:spPr>
            <c:txPr>
              <a:bodyPr rot="3000000"/>
              <a:lstStyle/>
              <a:p>
                <a:pPr>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'MonthlyPrgrmCosts_InflatAdj(2)'!$Y$6:$AU$6</c:f>
              <c:strCache>
                <c:ptCount val="23"/>
                <c:pt idx="0">
                  <c:v>Feb-14</c:v>
                </c:pt>
                <c:pt idx="1">
                  <c:v>Mar-14</c:v>
                </c:pt>
                <c:pt idx="2">
                  <c:v>April-14</c:v>
                </c:pt>
                <c:pt idx="3">
                  <c:v>May-14</c:v>
                </c:pt>
                <c:pt idx="4">
                  <c:v>June-14</c:v>
                </c:pt>
                <c:pt idx="5">
                  <c:v>July-14</c:v>
                </c:pt>
                <c:pt idx="6">
                  <c:v>Aug-14</c:v>
                </c:pt>
                <c:pt idx="7">
                  <c:v>Sep-14</c:v>
                </c:pt>
                <c:pt idx="8">
                  <c:v>Oct-14</c:v>
                </c:pt>
                <c:pt idx="9">
                  <c:v>Nov-14</c:v>
                </c:pt>
                <c:pt idx="10">
                  <c:v>Dec-14</c:v>
                </c:pt>
                <c:pt idx="11">
                  <c:v>Jan-15</c:v>
                </c:pt>
                <c:pt idx="12">
                  <c:v>Feb-15</c:v>
                </c:pt>
                <c:pt idx="13">
                  <c:v>Mar-15</c:v>
                </c:pt>
                <c:pt idx="14">
                  <c:v>April-15</c:v>
                </c:pt>
                <c:pt idx="15">
                  <c:v>May-15</c:v>
                </c:pt>
                <c:pt idx="16">
                  <c:v>June-15</c:v>
                </c:pt>
                <c:pt idx="17">
                  <c:v>July-15</c:v>
                </c:pt>
                <c:pt idx="18">
                  <c:v>Aug-15</c:v>
                </c:pt>
                <c:pt idx="19">
                  <c:v>Sep-15</c:v>
                </c:pt>
                <c:pt idx="20">
                  <c:v>Oct-15</c:v>
                </c:pt>
                <c:pt idx="21">
                  <c:v>Nov-15</c:v>
                </c:pt>
                <c:pt idx="22">
                  <c:v>Dec-15</c:v>
                </c:pt>
              </c:strCache>
            </c:strRef>
          </c:cat>
          <c:val>
            <c:numRef>
              <c:f>'MonthlyPrgrmCosts_InflatAdj(2)'!$Y$118:$AU$118</c:f>
              <c:numCache>
                <c:formatCode>#,##0</c:formatCode>
                <c:ptCount val="23"/>
                <c:pt idx="0">
                  <c:v>10068.677407925406</c:v>
                </c:pt>
                <c:pt idx="1">
                  <c:v>10238.259813053613</c:v>
                </c:pt>
                <c:pt idx="2">
                  <c:v>10274.518340326342</c:v>
                </c:pt>
                <c:pt idx="3">
                  <c:v>10567.620840326341</c:v>
                </c:pt>
                <c:pt idx="4">
                  <c:v>12156.11884102564</c:v>
                </c:pt>
                <c:pt idx="5">
                  <c:v>14398.600981585081</c:v>
                </c:pt>
                <c:pt idx="6">
                  <c:v>16813.418595571093</c:v>
                </c:pt>
                <c:pt idx="7">
                  <c:v>24166.149027913751</c:v>
                </c:pt>
                <c:pt idx="8">
                  <c:v>35622.438383508161</c:v>
                </c:pt>
                <c:pt idx="9">
                  <c:v>43743.015256060607</c:v>
                </c:pt>
                <c:pt idx="10">
                  <c:v>52738.197530536134</c:v>
                </c:pt>
                <c:pt idx="11">
                  <c:v>48293.202040850811</c:v>
                </c:pt>
                <c:pt idx="12">
                  <c:v>49482.363028263404</c:v>
                </c:pt>
                <c:pt idx="13">
                  <c:v>50524.638509207456</c:v>
                </c:pt>
                <c:pt idx="14">
                  <c:v>50597.976771724941</c:v>
                </c:pt>
                <c:pt idx="15">
                  <c:v>52940.722288857811</c:v>
                </c:pt>
                <c:pt idx="16">
                  <c:v>52207.592832913753</c:v>
                </c:pt>
                <c:pt idx="17">
                  <c:v>51862.29175092074</c:v>
                </c:pt>
                <c:pt idx="18">
                  <c:v>53408.679590256412</c:v>
                </c:pt>
                <c:pt idx="19">
                  <c:v>51121.902374172496</c:v>
                </c:pt>
                <c:pt idx="20">
                  <c:v>49857.474383263412</c:v>
                </c:pt>
                <c:pt idx="21">
                  <c:v>49783.973503543129</c:v>
                </c:pt>
                <c:pt idx="22">
                  <c:v>50740.031620326336</c:v>
                </c:pt>
              </c:numCache>
            </c:numRef>
          </c:val>
          <c:smooth val="0"/>
          <c:extLst>
            <c:ext xmlns:c16="http://schemas.microsoft.com/office/drawing/2014/chart" uri="{C3380CC4-5D6E-409C-BE32-E72D297353CC}">
              <c16:uniqueId val="{00000002-51A5-4635-8301-F8A306A8CCCC}"/>
            </c:ext>
          </c:extLst>
        </c:ser>
        <c:ser>
          <c:idx val="3"/>
          <c:order val="1"/>
          <c:tx>
            <c:strRef>
              <c:f>'MonthlyPrgrmCosts_InflatAdj(2)'!$E$106</c:f>
              <c:strCache>
                <c:ptCount val="1"/>
                <c:pt idx="0">
                  <c:v>Fixed Cost (FC)*</c:v>
                </c:pt>
              </c:strCache>
            </c:strRef>
          </c:tx>
          <c:spPr>
            <a:ln>
              <a:solidFill>
                <a:schemeClr val="accent4"/>
              </a:solidFill>
            </a:ln>
          </c:spPr>
          <c:marker>
            <c:spPr>
              <a:solidFill>
                <a:schemeClr val="bg1"/>
              </a:solidFill>
              <a:ln>
                <a:solidFill>
                  <a:schemeClr val="accent4"/>
                </a:solidFill>
              </a:ln>
            </c:spPr>
          </c:marker>
          <c:dLbls>
            <c:dLbl>
              <c:idx val="0"/>
              <c:numFmt formatCode="\$#,##0" sourceLinked="0"/>
              <c:spPr>
                <a:noFill/>
                <a:ln w="25400">
                  <a:noFill/>
                </a:ln>
              </c:spPr>
              <c:txPr>
                <a:bodyPr rot="3000000"/>
                <a:lstStyle/>
                <a:p>
                  <a:pPr>
                    <a:defRPr/>
                  </a:pPr>
                  <a:endParaRPr lang="en-US"/>
                </a:p>
              </c:txPr>
              <c:dLblPos val="t"/>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3-51A5-4635-8301-F8A306A8CCCC}"/>
                </c:ext>
              </c:extLst>
            </c:dLbl>
            <c:dLbl>
              <c:idx val="1"/>
              <c:numFmt formatCode="\$#,##0" sourceLinked="0"/>
              <c:spPr>
                <a:noFill/>
                <a:ln w="25400">
                  <a:noFill/>
                </a:ln>
              </c:spPr>
              <c:txPr>
                <a:bodyPr rot="3000000"/>
                <a:lstStyle/>
                <a:p>
                  <a:pPr>
                    <a:defRPr/>
                  </a:pPr>
                  <a:endParaRPr lang="en-US"/>
                </a:p>
              </c:txPr>
              <c:dLblPos val="t"/>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4-51A5-4635-8301-F8A306A8CCCC}"/>
                </c:ext>
              </c:extLst>
            </c:dLbl>
            <c:dLbl>
              <c:idx val="4"/>
              <c:layout>
                <c:manualLayout>
                  <c:x val="-2.6681687701460944E-2"/>
                  <c:y val="-4.242034992393956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1A5-4635-8301-F8A306A8CCCC}"/>
                </c:ext>
              </c:extLst>
            </c:dLbl>
            <c:dLbl>
              <c:idx val="6"/>
              <c:layout>
                <c:manualLayout>
                  <c:x val="-1.5356956727253667E-2"/>
                  <c:y val="0.15930297651246006"/>
                </c:manualLayout>
              </c:layout>
              <c:numFmt formatCode="\$#,##0" sourceLinked="0"/>
              <c:spPr>
                <a:noFill/>
                <a:ln w="25400">
                  <a:noFill/>
                </a:ln>
              </c:spPr>
              <c:txPr>
                <a:bodyPr rot="3000000"/>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6-51A5-4635-8301-F8A306A8CCCC}"/>
                </c:ext>
              </c:extLst>
            </c:dLbl>
            <c:dLbl>
              <c:idx val="7"/>
              <c:layout>
                <c:manualLayout>
                  <c:x val="-5.967734175794292E-3"/>
                  <c:y val="2.312916617152427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1A5-4635-8301-F8A306A8CCCC}"/>
                </c:ext>
              </c:extLst>
            </c:dLbl>
            <c:dLbl>
              <c:idx val="9"/>
              <c:layout>
                <c:manualLayout>
                  <c:x val="-2.9632439020478855E-2"/>
                  <c:y val="-3.974461159283081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1A5-4635-8301-F8A306A8CCCC}"/>
                </c:ext>
              </c:extLst>
            </c:dLbl>
            <c:dLbl>
              <c:idx val="10"/>
              <c:layout>
                <c:manualLayout>
                  <c:x val="-2.9736677518161628E-2"/>
                  <c:y val="-4.0335827975400709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1A5-4635-8301-F8A306A8CCCC}"/>
                </c:ext>
              </c:extLst>
            </c:dLbl>
            <c:dLbl>
              <c:idx val="11"/>
              <c:layout>
                <c:manualLayout>
                  <c:x val="-2.6457824121394781E-2"/>
                  <c:y val="0.10868135850139841"/>
                </c:manualLayout>
              </c:layout>
              <c:numFmt formatCode="\$#,##0" sourceLinked="0"/>
              <c:spPr>
                <a:noFill/>
                <a:ln w="25400">
                  <a:noFill/>
                </a:ln>
              </c:spPr>
              <c:txPr>
                <a:bodyPr rot="3000000"/>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A-51A5-4635-8301-F8A306A8CCCC}"/>
                </c:ext>
              </c:extLst>
            </c:dLbl>
            <c:dLbl>
              <c:idx val="12"/>
              <c:layout>
                <c:manualLayout>
                  <c:x val="-1.7139374889747743E-2"/>
                  <c:y val="-2.67901210664819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51A5-4635-8301-F8A306A8CCCC}"/>
                </c:ext>
              </c:extLst>
            </c:dLbl>
            <c:numFmt formatCode="\$#,##0" sourceLinked="0"/>
            <c:spPr>
              <a:noFill/>
              <a:ln w="25400">
                <a:noFill/>
              </a:ln>
            </c:spPr>
            <c:txPr>
              <a:bodyPr rot="3000000"/>
              <a:lstStyle/>
              <a:p>
                <a:pPr>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trendline>
            <c:spPr>
              <a:ln w="19050">
                <a:solidFill>
                  <a:schemeClr val="accent4"/>
                </a:solidFill>
                <a:prstDash val="lgDash"/>
              </a:ln>
            </c:spPr>
            <c:trendlineType val="linear"/>
            <c:dispRSqr val="0"/>
            <c:dispEq val="0"/>
          </c:trendline>
          <c:cat>
            <c:strRef>
              <c:f>'MonthlyPrgrmCosts_InflatAdj(2)'!$Y$6:$AU$6</c:f>
              <c:strCache>
                <c:ptCount val="23"/>
                <c:pt idx="0">
                  <c:v>Feb-14</c:v>
                </c:pt>
                <c:pt idx="1">
                  <c:v>Mar-14</c:v>
                </c:pt>
                <c:pt idx="2">
                  <c:v>April-14</c:v>
                </c:pt>
                <c:pt idx="3">
                  <c:v>May-14</c:v>
                </c:pt>
                <c:pt idx="4">
                  <c:v>June-14</c:v>
                </c:pt>
                <c:pt idx="5">
                  <c:v>July-14</c:v>
                </c:pt>
                <c:pt idx="6">
                  <c:v>Aug-14</c:v>
                </c:pt>
                <c:pt idx="7">
                  <c:v>Sep-14</c:v>
                </c:pt>
                <c:pt idx="8">
                  <c:v>Oct-14</c:v>
                </c:pt>
                <c:pt idx="9">
                  <c:v>Nov-14</c:v>
                </c:pt>
                <c:pt idx="10">
                  <c:v>Dec-14</c:v>
                </c:pt>
                <c:pt idx="11">
                  <c:v>Jan-15</c:v>
                </c:pt>
                <c:pt idx="12">
                  <c:v>Feb-15</c:v>
                </c:pt>
                <c:pt idx="13">
                  <c:v>Mar-15</c:v>
                </c:pt>
                <c:pt idx="14">
                  <c:v>April-15</c:v>
                </c:pt>
                <c:pt idx="15">
                  <c:v>May-15</c:v>
                </c:pt>
                <c:pt idx="16">
                  <c:v>June-15</c:v>
                </c:pt>
                <c:pt idx="17">
                  <c:v>July-15</c:v>
                </c:pt>
                <c:pt idx="18">
                  <c:v>Aug-15</c:v>
                </c:pt>
                <c:pt idx="19">
                  <c:v>Sep-15</c:v>
                </c:pt>
                <c:pt idx="20">
                  <c:v>Oct-15</c:v>
                </c:pt>
                <c:pt idx="21">
                  <c:v>Nov-15</c:v>
                </c:pt>
                <c:pt idx="22">
                  <c:v>Dec-15</c:v>
                </c:pt>
              </c:strCache>
            </c:strRef>
          </c:cat>
          <c:val>
            <c:numRef>
              <c:f>'MonthlyPrgrmCosts_InflatAdj(2)'!$Y$111:$AU$111</c:f>
              <c:numCache>
                <c:formatCode>#,##0</c:formatCode>
                <c:ptCount val="23"/>
                <c:pt idx="0">
                  <c:v>6031.2885440986902</c:v>
                </c:pt>
                <c:pt idx="1">
                  <c:v>1328.4266644450279</c:v>
                </c:pt>
                <c:pt idx="2">
                  <c:v>1770.3779265023668</c:v>
                </c:pt>
                <c:pt idx="3">
                  <c:v>1354.3888954593501</c:v>
                </c:pt>
                <c:pt idx="4">
                  <c:v>2988.9421642214838</c:v>
                </c:pt>
                <c:pt idx="5">
                  <c:v>1010.9784111751994</c:v>
                </c:pt>
                <c:pt idx="6">
                  <c:v>75191.0019127212</c:v>
                </c:pt>
                <c:pt idx="7">
                  <c:v>27160.646752279896</c:v>
                </c:pt>
                <c:pt idx="8">
                  <c:v>810.33850975682299</c:v>
                </c:pt>
                <c:pt idx="9">
                  <c:v>2155.3647798943975</c:v>
                </c:pt>
                <c:pt idx="10">
                  <c:v>1904.2092952020794</c:v>
                </c:pt>
                <c:pt idx="11">
                  <c:v>21217.199475526151</c:v>
                </c:pt>
                <c:pt idx="12">
                  <c:v>10821.362231533574</c:v>
                </c:pt>
                <c:pt idx="13">
                  <c:v>686.15260872177771</c:v>
                </c:pt>
                <c:pt idx="14">
                  <c:v>480.78661413671568</c:v>
                </c:pt>
                <c:pt idx="15">
                  <c:v>1220.8145208207125</c:v>
                </c:pt>
                <c:pt idx="16">
                  <c:v>2124.0344453680987</c:v>
                </c:pt>
                <c:pt idx="17">
                  <c:v>851.28613010215827</c:v>
                </c:pt>
                <c:pt idx="18">
                  <c:v>740.04488107351972</c:v>
                </c:pt>
                <c:pt idx="19">
                  <c:v>236.3489771880742</c:v>
                </c:pt>
                <c:pt idx="20">
                  <c:v>535.33219999999994</c:v>
                </c:pt>
                <c:pt idx="21">
                  <c:v>600.79512621671279</c:v>
                </c:pt>
                <c:pt idx="22">
                  <c:v>236.69399999999999</c:v>
                </c:pt>
              </c:numCache>
            </c:numRef>
          </c:val>
          <c:smooth val="0"/>
          <c:extLst>
            <c:ext xmlns:c16="http://schemas.microsoft.com/office/drawing/2014/chart" uri="{C3380CC4-5D6E-409C-BE32-E72D297353CC}">
              <c16:uniqueId val="{0000000D-51A5-4635-8301-F8A306A8CCCC}"/>
            </c:ext>
          </c:extLst>
        </c:ser>
        <c:ser>
          <c:idx val="4"/>
          <c:order val="2"/>
          <c:tx>
            <c:strRef>
              <c:f>'MonthlyPrgrmCosts_InflatAdj(2)'!$E$126</c:f>
              <c:strCache>
                <c:ptCount val="1"/>
                <c:pt idx="0">
                  <c:v>Average Cost (FC+VC), per functional crèche</c:v>
                </c:pt>
              </c:strCache>
            </c:strRef>
          </c:tx>
          <c:spPr>
            <a:ln>
              <a:solidFill>
                <a:schemeClr val="accent1"/>
              </a:solidFill>
            </a:ln>
          </c:spPr>
          <c:dLbls>
            <c:dLbl>
              <c:idx val="0"/>
              <c:layout>
                <c:manualLayout>
                  <c:x val="-2.9193240108471918E-2"/>
                  <c:y val="3.2792838344092974E-2"/>
                </c:manualLayout>
              </c:layout>
              <c:numFmt formatCode="\$#,##0" sourceLinked="0"/>
              <c:spPr>
                <a:noFill/>
                <a:ln w="25400">
                  <a:noFill/>
                </a:ln>
              </c:spPr>
              <c:txPr>
                <a:bodyPr rot="3000000"/>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E-51A5-4635-8301-F8A306A8CCCC}"/>
                </c:ext>
              </c:extLst>
            </c:dLbl>
            <c:dLbl>
              <c:idx val="1"/>
              <c:layout>
                <c:manualLayout>
                  <c:x val="-2.5191277643247769E-2"/>
                  <c:y val="3.7869362517078307E-2"/>
                </c:manualLayout>
              </c:layout>
              <c:numFmt formatCode="\$#,##0" sourceLinked="0"/>
              <c:spPr>
                <a:noFill/>
                <a:ln w="25400">
                  <a:noFill/>
                </a:ln>
              </c:spPr>
              <c:txPr>
                <a:bodyPr rot="3000000"/>
                <a:lstStyle/>
                <a:p>
                  <a:pPr>
                    <a:defRPr/>
                  </a:pPr>
                  <a:endParaRPr lang="en-US"/>
                </a:p>
              </c:txPr>
              <c:dLblPos val="r"/>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F-51A5-4635-8301-F8A306A8CCCC}"/>
                </c:ext>
              </c:extLst>
            </c:dLbl>
            <c:dLbl>
              <c:idx val="2"/>
              <c:numFmt formatCode="\$#,##0" sourceLinked="0"/>
              <c:spPr>
                <a:noFill/>
                <a:ln w="25400">
                  <a:noFill/>
                </a:ln>
              </c:spPr>
              <c:txPr>
                <a:bodyPr rot="3000000"/>
                <a:lstStyle/>
                <a:p>
                  <a:pPr>
                    <a:defRPr/>
                  </a:pPr>
                  <a:endParaRPr lang="en-US"/>
                </a:p>
              </c:txPr>
              <c:dLblPos val="b"/>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10-51A5-4635-8301-F8A306A8CCCC}"/>
                </c:ext>
              </c:extLst>
            </c:dLbl>
            <c:numFmt formatCode="\$#,##0" sourceLinked="0"/>
            <c:spPr>
              <a:noFill/>
              <a:ln w="25400">
                <a:noFill/>
              </a:ln>
            </c:spPr>
            <c:txPr>
              <a:bodyPr rot="3000000"/>
              <a:lstStyle/>
              <a:p>
                <a:pPr>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'MonthlyPrgrmCosts_InflatAdj(2)'!$Y$6:$AU$6</c:f>
              <c:strCache>
                <c:ptCount val="23"/>
                <c:pt idx="0">
                  <c:v>Feb-14</c:v>
                </c:pt>
                <c:pt idx="1">
                  <c:v>Mar-14</c:v>
                </c:pt>
                <c:pt idx="2">
                  <c:v>April-14</c:v>
                </c:pt>
                <c:pt idx="3">
                  <c:v>May-14</c:v>
                </c:pt>
                <c:pt idx="4">
                  <c:v>June-14</c:v>
                </c:pt>
                <c:pt idx="5">
                  <c:v>July-14</c:v>
                </c:pt>
                <c:pt idx="6">
                  <c:v>Aug-14</c:v>
                </c:pt>
                <c:pt idx="7">
                  <c:v>Sep-14</c:v>
                </c:pt>
                <c:pt idx="8">
                  <c:v>Oct-14</c:v>
                </c:pt>
                <c:pt idx="9">
                  <c:v>Nov-14</c:v>
                </c:pt>
                <c:pt idx="10">
                  <c:v>Dec-14</c:v>
                </c:pt>
                <c:pt idx="11">
                  <c:v>Jan-15</c:v>
                </c:pt>
                <c:pt idx="12">
                  <c:v>Feb-15</c:v>
                </c:pt>
                <c:pt idx="13">
                  <c:v>Mar-15</c:v>
                </c:pt>
                <c:pt idx="14">
                  <c:v>April-15</c:v>
                </c:pt>
                <c:pt idx="15">
                  <c:v>May-15</c:v>
                </c:pt>
                <c:pt idx="16">
                  <c:v>June-15</c:v>
                </c:pt>
                <c:pt idx="17">
                  <c:v>July-15</c:v>
                </c:pt>
                <c:pt idx="18">
                  <c:v>Aug-15</c:v>
                </c:pt>
                <c:pt idx="19">
                  <c:v>Sep-15</c:v>
                </c:pt>
                <c:pt idx="20">
                  <c:v>Oct-15</c:v>
                </c:pt>
                <c:pt idx="21">
                  <c:v>Nov-15</c:v>
                </c:pt>
                <c:pt idx="22">
                  <c:v>Dec-15</c:v>
                </c:pt>
              </c:strCache>
            </c:strRef>
          </c:cat>
          <c:val>
            <c:numRef>
              <c:f>'MonthlyPrgrmCosts_InflatAdj(2)'!$Y$126:$AU$126</c:f>
              <c:numCache>
                <c:formatCode>0</c:formatCode>
                <c:ptCount val="23"/>
                <c:pt idx="0">
                  <c:v>847.36662905389983</c:v>
                </c:pt>
                <c:pt idx="1">
                  <c:v>608.77297249992841</c:v>
                </c:pt>
                <c:pt idx="2">
                  <c:v>286.78324444830258</c:v>
                </c:pt>
                <c:pt idx="3">
                  <c:v>283.85737466156405</c:v>
                </c:pt>
                <c:pt idx="4">
                  <c:v>137.68237277497386</c:v>
                </c:pt>
                <c:pt idx="5">
                  <c:v>75.537153886079807</c:v>
                </c:pt>
                <c:pt idx="6">
                  <c:v>345.88128010636206</c:v>
                </c:pt>
                <c:pt idx="7">
                  <c:v>103.48144310522912</c:v>
                </c:pt>
                <c:pt idx="8">
                  <c:v>37.405315085487665</c:v>
                </c:pt>
                <c:pt idx="9">
                  <c:v>35.998729439964713</c:v>
                </c:pt>
                <c:pt idx="10">
                  <c:v>39.97249950675802</c:v>
                </c:pt>
                <c:pt idx="11">
                  <c:v>49.971532362600264</c:v>
                </c:pt>
                <c:pt idx="12">
                  <c:v>42.111539985891746</c:v>
                </c:pt>
                <c:pt idx="13">
                  <c:v>34.813590154948493</c:v>
                </c:pt>
                <c:pt idx="14">
                  <c:v>34.606208256003832</c:v>
                </c:pt>
                <c:pt idx="15">
                  <c:v>36.301298129811343</c:v>
                </c:pt>
                <c:pt idx="16">
                  <c:v>36.293672196581063</c:v>
                </c:pt>
                <c:pt idx="17">
                  <c:v>35.689626188911916</c:v>
                </c:pt>
                <c:pt idx="18">
                  <c:v>37.577185615079756</c:v>
                </c:pt>
                <c:pt idx="19">
                  <c:v>36.244355223260811</c:v>
                </c:pt>
                <c:pt idx="20">
                  <c:v>36.306056616184016</c:v>
                </c:pt>
                <c:pt idx="21">
                  <c:v>37.102186030750985</c:v>
                </c:pt>
                <c:pt idx="22">
                  <c:v>38.677333551082199</c:v>
                </c:pt>
              </c:numCache>
            </c:numRef>
          </c:val>
          <c:smooth val="0"/>
          <c:extLst>
            <c:ext xmlns:c16="http://schemas.microsoft.com/office/drawing/2014/chart" uri="{C3380CC4-5D6E-409C-BE32-E72D297353CC}">
              <c16:uniqueId val="{00000011-51A5-4635-8301-F8A306A8CCCC}"/>
            </c:ext>
          </c:extLst>
        </c:ser>
        <c:ser>
          <c:idx val="2"/>
          <c:order val="3"/>
          <c:tx>
            <c:strRef>
              <c:f>'MonthlyPrgrmCosts_InflatAdj(2)'!$E$125</c:f>
              <c:strCache>
                <c:ptCount val="1"/>
                <c:pt idx="0">
                  <c:v>Average Cost (FC+VC), per child</c:v>
                </c:pt>
              </c:strCache>
            </c:strRef>
          </c:tx>
          <c:spPr>
            <a:ln w="25400">
              <a:solidFill>
                <a:srgbClr val="99CC00"/>
              </a:solidFill>
              <a:prstDash val="solid"/>
            </a:ln>
          </c:spPr>
          <c:dLbls>
            <c:dLbl>
              <c:idx val="0"/>
              <c:numFmt formatCode="\$#,##0.0" sourceLinked="0"/>
              <c:spPr>
                <a:noFill/>
                <a:ln w="25400">
                  <a:noFill/>
                </a:ln>
              </c:spPr>
              <c:txPr>
                <a:bodyPr rot="3000000"/>
                <a:lstStyle/>
                <a:p>
                  <a:pPr>
                    <a:defRPr/>
                  </a:pPr>
                  <a:endParaRPr lang="en-US"/>
                </a:p>
              </c:txPr>
              <c:dLblPos val="b"/>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12-51A5-4635-8301-F8A306A8CCCC}"/>
                </c:ext>
              </c:extLst>
            </c:dLbl>
            <c:dLbl>
              <c:idx val="1"/>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51A5-4635-8301-F8A306A8CCCC}"/>
                </c:ext>
              </c:extLst>
            </c:dLbl>
            <c:dLbl>
              <c:idx val="2"/>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51A5-4635-8301-F8A306A8CCCC}"/>
                </c:ext>
              </c:extLst>
            </c:dLbl>
            <c:dLbl>
              <c:idx val="3"/>
              <c:dLblPos val="b"/>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51A5-4635-8301-F8A306A8CCCC}"/>
                </c:ext>
              </c:extLst>
            </c:dLbl>
            <c:dLbl>
              <c:idx val="4"/>
              <c:layout>
                <c:manualLayout>
                  <c:x val="-2.2995573873021511E-2"/>
                  <c:y val="4.289995410768993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6-51A5-4635-8301-F8A306A8CCCC}"/>
                </c:ext>
              </c:extLst>
            </c:dLbl>
            <c:dLbl>
              <c:idx val="5"/>
              <c:layout>
                <c:manualLayout>
                  <c:x val="-1.9299517295572308E-2"/>
                  <c:y val="3.4440898386284648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51A5-4635-8301-F8A306A8CCCC}"/>
                </c:ext>
              </c:extLst>
            </c:dLbl>
            <c:dLbl>
              <c:idx val="6"/>
              <c:layout>
                <c:manualLayout>
                  <c:x val="-1.9940584056320938E-2"/>
                  <c:y val="4.7068998004767736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8-51A5-4635-8301-F8A306A8CCCC}"/>
                </c:ext>
              </c:extLst>
            </c:dLbl>
            <c:dLbl>
              <c:idx val="7"/>
              <c:layout>
                <c:manualLayout>
                  <c:x val="-2.2354507112272881E-2"/>
                  <c:y val="-3.643284786403803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51A5-4635-8301-F8A306A8CCCC}"/>
                </c:ext>
              </c:extLst>
            </c:dLbl>
            <c:dLbl>
              <c:idx val="8"/>
              <c:layout>
                <c:manualLayout>
                  <c:x val="-2.1336177173372751E-2"/>
                  <c:y val="-3.434832591549921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A-51A5-4635-8301-F8A306A8CCCC}"/>
                </c:ext>
              </c:extLst>
            </c:dLbl>
            <c:dLbl>
              <c:idx val="9"/>
              <c:layout>
                <c:manualLayout>
                  <c:x val="-2.2354507112272954E-2"/>
                  <c:y val="-3.6432847864037957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B-51A5-4635-8301-F8A306A8CCCC}"/>
                </c:ext>
              </c:extLst>
            </c:dLbl>
            <c:dLbl>
              <c:idx val="10"/>
              <c:layout>
                <c:manualLayout>
                  <c:x val="-2.0317847234472473E-2"/>
                  <c:y val="-3.2263803966960242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C-51A5-4635-8301-F8A306A8CCCC}"/>
                </c:ext>
              </c:extLst>
            </c:dLbl>
            <c:numFmt formatCode="\$#,##0.0" sourceLinked="0"/>
            <c:spPr>
              <a:noFill/>
              <a:ln w="25400">
                <a:noFill/>
              </a:ln>
            </c:spPr>
            <c:txPr>
              <a:bodyPr rot="3000000"/>
              <a:lstStyle/>
              <a:p>
                <a:pPr>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'MonthlyPrgrmCosts_InflatAdj(2)'!$Y$6:$AU$6</c:f>
              <c:strCache>
                <c:ptCount val="23"/>
                <c:pt idx="0">
                  <c:v>Feb-14</c:v>
                </c:pt>
                <c:pt idx="1">
                  <c:v>Mar-14</c:v>
                </c:pt>
                <c:pt idx="2">
                  <c:v>April-14</c:v>
                </c:pt>
                <c:pt idx="3">
                  <c:v>May-14</c:v>
                </c:pt>
                <c:pt idx="4">
                  <c:v>June-14</c:v>
                </c:pt>
                <c:pt idx="5">
                  <c:v>July-14</c:v>
                </c:pt>
                <c:pt idx="6">
                  <c:v>Aug-14</c:v>
                </c:pt>
                <c:pt idx="7">
                  <c:v>Sep-14</c:v>
                </c:pt>
                <c:pt idx="8">
                  <c:v>Oct-14</c:v>
                </c:pt>
                <c:pt idx="9">
                  <c:v>Nov-14</c:v>
                </c:pt>
                <c:pt idx="10">
                  <c:v>Dec-14</c:v>
                </c:pt>
                <c:pt idx="11">
                  <c:v>Jan-15</c:v>
                </c:pt>
                <c:pt idx="12">
                  <c:v>Feb-15</c:v>
                </c:pt>
                <c:pt idx="13">
                  <c:v>Mar-15</c:v>
                </c:pt>
                <c:pt idx="14">
                  <c:v>April-15</c:v>
                </c:pt>
                <c:pt idx="15">
                  <c:v>May-15</c:v>
                </c:pt>
                <c:pt idx="16">
                  <c:v>June-15</c:v>
                </c:pt>
                <c:pt idx="17">
                  <c:v>July-15</c:v>
                </c:pt>
                <c:pt idx="18">
                  <c:v>Aug-15</c:v>
                </c:pt>
                <c:pt idx="19">
                  <c:v>Sep-15</c:v>
                </c:pt>
                <c:pt idx="20">
                  <c:v>Oct-15</c:v>
                </c:pt>
                <c:pt idx="21">
                  <c:v>Nov-15</c:v>
                </c:pt>
                <c:pt idx="22">
                  <c:v>Dec-15</c:v>
                </c:pt>
              </c:strCache>
            </c:strRef>
          </c:cat>
          <c:val>
            <c:numRef>
              <c:f>'MonthlyPrgrmCosts_InflatAdj(2)'!$Y$125:$AU$125</c:f>
              <c:numCache>
                <c:formatCode>0.0</c:formatCode>
                <c:ptCount val="23"/>
                <c:pt idx="0">
                  <c:v>28.771562392719677</c:v>
                </c:pt>
                <c:pt idx="1">
                  <c:v>20.670332015363073</c:v>
                </c:pt>
                <c:pt idx="2">
                  <c:v>21.524920331358217</c:v>
                </c:pt>
                <c:pt idx="3">
                  <c:v>13.067759145341114</c:v>
                </c:pt>
                <c:pt idx="4">
                  <c:v>12.921637866855159</c:v>
                </c:pt>
                <c:pt idx="5">
                  <c:v>4.9693344910052071</c:v>
                </c:pt>
                <c:pt idx="6">
                  <c:v>21.793237446674166</c:v>
                </c:pt>
                <c:pt idx="7">
                  <c:v>7.2457335089875041</c:v>
                </c:pt>
                <c:pt idx="8">
                  <c:v>3.6548985148451858</c:v>
                </c:pt>
                <c:pt idx="9">
                  <c:v>3.3093687809501517</c:v>
                </c:pt>
                <c:pt idx="10">
                  <c:v>3.0967324788472643</c:v>
                </c:pt>
                <c:pt idx="11">
                  <c:v>3.1206778474283015</c:v>
                </c:pt>
                <c:pt idx="12">
                  <c:v>2.6566651881428278</c:v>
                </c:pt>
                <c:pt idx="13">
                  <c:v>2.120381099742227</c:v>
                </c:pt>
                <c:pt idx="14">
                  <c:v>1.8948939478749878</c:v>
                </c:pt>
                <c:pt idx="15">
                  <c:v>1.9283913038311182</c:v>
                </c:pt>
                <c:pt idx="16">
                  <c:v>1.9199792059131024</c:v>
                </c:pt>
                <c:pt idx="17">
                  <c:v>1.862800333265582</c:v>
                </c:pt>
                <c:pt idx="18">
                  <c:v>1.8954728423092637</c:v>
                </c:pt>
                <c:pt idx="19">
                  <c:v>1.7976916010837123</c:v>
                </c:pt>
                <c:pt idx="20">
                  <c:v>1.7638981617579688</c:v>
                </c:pt>
                <c:pt idx="21">
                  <c:v>1.7636168094703994</c:v>
                </c:pt>
                <c:pt idx="22">
                  <c:v>1.7843370653619777</c:v>
                </c:pt>
              </c:numCache>
            </c:numRef>
          </c:val>
          <c:smooth val="0"/>
          <c:extLst>
            <c:ext xmlns:c16="http://schemas.microsoft.com/office/drawing/2014/chart" uri="{C3380CC4-5D6E-409C-BE32-E72D297353CC}">
              <c16:uniqueId val="{0000001D-51A5-4635-8301-F8A306A8CCCC}"/>
            </c:ext>
          </c:extLst>
        </c:ser>
        <c:dLbls>
          <c:showLegendKey val="0"/>
          <c:showVal val="0"/>
          <c:showCatName val="0"/>
          <c:showSerName val="0"/>
          <c:showPercent val="0"/>
          <c:showBubbleSize val="0"/>
        </c:dLbls>
        <c:marker val="1"/>
        <c:smooth val="0"/>
        <c:axId val="1888046287"/>
        <c:axId val="1"/>
      </c:lineChart>
      <c:catAx>
        <c:axId val="1888046287"/>
        <c:scaling>
          <c:orientation val="minMax"/>
        </c:scaling>
        <c:delete val="0"/>
        <c:axPos val="b"/>
        <c:numFmt formatCode="General" sourceLinked="0"/>
        <c:majorTickMark val="none"/>
        <c:minorTickMark val="none"/>
        <c:tickLblPos val="nextTo"/>
        <c:crossAx val="1"/>
        <c:crosses val="autoZero"/>
        <c:auto val="1"/>
        <c:lblAlgn val="ctr"/>
        <c:lblOffset val="100"/>
        <c:noMultiLvlLbl val="0"/>
      </c:catAx>
      <c:valAx>
        <c:axId val="1"/>
        <c:scaling>
          <c:logBase val="10"/>
          <c:orientation val="minMax"/>
          <c:max val="100000"/>
          <c:min val="1"/>
        </c:scaling>
        <c:delete val="0"/>
        <c:axPos val="l"/>
        <c:majorGridlines/>
        <c:title>
          <c:tx>
            <c:rich>
              <a:bodyPr/>
              <a:lstStyle/>
              <a:p>
                <a:pPr>
                  <a:defRPr/>
                </a:pPr>
                <a:r>
                  <a:rPr lang="en-US"/>
                  <a:t> Cost per month (Log Scale)</a:t>
                </a:r>
              </a:p>
            </c:rich>
          </c:tx>
          <c:layout>
            <c:manualLayout>
              <c:xMode val="edge"/>
              <c:yMode val="edge"/>
              <c:x val="1.6002012745969713E-2"/>
              <c:y val="0.36314944174297964"/>
            </c:manualLayout>
          </c:layout>
          <c:overlay val="0"/>
        </c:title>
        <c:numFmt formatCode="\$#,##0" sourceLinked="0"/>
        <c:majorTickMark val="out"/>
        <c:minorTickMark val="none"/>
        <c:tickLblPos val="nextTo"/>
        <c:crossAx val="1888046287"/>
        <c:crosses val="autoZero"/>
        <c:crossBetween val="between"/>
      </c:valAx>
      <c:spPr>
        <a:noFill/>
        <a:ln>
          <a:solidFill>
            <a:schemeClr val="bg1"/>
          </a:solidFill>
        </a:ln>
        <a:effectLst>
          <a:softEdge rad="635000"/>
        </a:effectLst>
      </c:spPr>
    </c:plotArea>
    <c:legend>
      <c:legendPos val="r"/>
      <c:legendEntry>
        <c:idx val="4"/>
        <c:delete val="1"/>
      </c:legendEntry>
      <c:layout>
        <c:manualLayout>
          <c:xMode val="edge"/>
          <c:yMode val="edge"/>
          <c:x val="0.8456390066626287"/>
          <c:y val="0.18237987241886025"/>
          <c:w val="0.14154048051685844"/>
          <c:h val="0.70337401999507332"/>
        </c:manualLayout>
      </c:layout>
      <c:overlay val="0"/>
    </c:legend>
    <c:plotVisOnly val="1"/>
    <c:dispBlanksAs val="gap"/>
    <c:showDLblsOverMax val="0"/>
  </c:chart>
  <c:spPr>
    <a:solidFill>
      <a:schemeClr val="bg1"/>
    </a:solidFill>
    <a:ln>
      <a:noFill/>
    </a:ln>
  </c:spPr>
  <c:txPr>
    <a:bodyPr/>
    <a:lstStyle/>
    <a:p>
      <a:pPr>
        <a:defRPr sz="500">
          <a:latin typeface="+mn-lt"/>
        </a:defRPr>
      </a:pPr>
      <a:endParaRPr lang="en-US"/>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rtl="0">
              <a:defRPr/>
            </a:pPr>
            <a:r>
              <a:rPr lang="en-US"/>
              <a:t>a) ICER per DALY Averted (YLL component only) from the program perspective</a:t>
            </a:r>
          </a:p>
        </c:rich>
      </c:tx>
      <c:layout>
        <c:manualLayout>
          <c:xMode val="edge"/>
          <c:yMode val="edge"/>
          <c:x val="8.2098470510495611E-2"/>
          <c:y val="5.2403791696198271E-2"/>
        </c:manualLayout>
      </c:layout>
      <c:overlay val="0"/>
    </c:title>
    <c:autoTitleDeleted val="0"/>
    <c:plotArea>
      <c:layout>
        <c:manualLayout>
          <c:layoutTarget val="inner"/>
          <c:xMode val="edge"/>
          <c:yMode val="edge"/>
          <c:x val="0.15379005815260827"/>
          <c:y val="0.20520056798450162"/>
          <c:w val="0.65385007422291197"/>
          <c:h val="0.49177098837735667"/>
        </c:manualLayout>
      </c:layout>
      <c:lineChart>
        <c:grouping val="standard"/>
        <c:varyColors val="0"/>
        <c:ser>
          <c:idx val="0"/>
          <c:order val="0"/>
          <c:tx>
            <c:strRef>
              <c:f>MonthlyPrgrmCostInfAdjst!$CY$7</c:f>
              <c:strCache>
                <c:ptCount val="1"/>
                <c:pt idx="0">
                  <c:v> CE threshold</c:v>
                </c:pt>
              </c:strCache>
            </c:strRef>
          </c:tx>
          <c:marker>
            <c:symbol val="star"/>
            <c:size val="7"/>
          </c:marker>
          <c:cat>
            <c:strRef>
              <c:f>MonthlyPrgrmCostInfAdjst!$CU$8:$CU$33</c:f>
              <c:strCache>
                <c:ptCount val="26"/>
                <c:pt idx="0">
                  <c:v>$8 (-50%)</c:v>
                </c:pt>
                <c:pt idx="1">
                  <c:v>$12 (-25%)</c:v>
                </c:pt>
                <c:pt idx="2">
                  <c:v>$16 (00%)</c:v>
                </c:pt>
                <c:pt idx="3">
                  <c:v>$20 (25%)</c:v>
                </c:pt>
                <c:pt idx="4">
                  <c:v>$24 (50%)</c:v>
                </c:pt>
                <c:pt idx="5">
                  <c:v>$28 (75%)</c:v>
                </c:pt>
                <c:pt idx="6">
                  <c:v>$32 (100%)</c:v>
                </c:pt>
                <c:pt idx="7">
                  <c:v>$36 (125%)</c:v>
                </c:pt>
                <c:pt idx="8">
                  <c:v>$40 (150%)</c:v>
                </c:pt>
                <c:pt idx="9">
                  <c:v>$44 (175%)</c:v>
                </c:pt>
                <c:pt idx="10">
                  <c:v>$48 (200%)</c:v>
                </c:pt>
                <c:pt idx="11">
                  <c:v>$52 (225%)</c:v>
                </c:pt>
                <c:pt idx="12">
                  <c:v>$56 (250%)</c:v>
                </c:pt>
                <c:pt idx="13">
                  <c:v>$60 (275%)</c:v>
                </c:pt>
                <c:pt idx="14">
                  <c:v>$64 (300%)</c:v>
                </c:pt>
                <c:pt idx="15">
                  <c:v>$68 (325%)</c:v>
                </c:pt>
                <c:pt idx="16">
                  <c:v>$72 (350%)</c:v>
                </c:pt>
                <c:pt idx="17">
                  <c:v>$76 (375%)</c:v>
                </c:pt>
                <c:pt idx="18">
                  <c:v>$80 (400%)</c:v>
                </c:pt>
                <c:pt idx="19">
                  <c:v>$84 (425%)</c:v>
                </c:pt>
                <c:pt idx="20">
                  <c:v>$88 (450%)</c:v>
                </c:pt>
                <c:pt idx="21">
                  <c:v>$92 (475%)</c:v>
                </c:pt>
                <c:pt idx="22">
                  <c:v>$96 (500%)</c:v>
                </c:pt>
                <c:pt idx="23">
                  <c:v>$100 (525%)</c:v>
                </c:pt>
                <c:pt idx="24">
                  <c:v>$104 (550%)</c:v>
                </c:pt>
                <c:pt idx="25">
                  <c:v>$108 (575%)</c:v>
                </c:pt>
              </c:strCache>
            </c:strRef>
          </c:cat>
          <c:val>
            <c:numRef>
              <c:f>MonthlyPrgrmCostInfAdjst!$CY$8:$CY$33</c:f>
              <c:numCache>
                <c:formatCode>#,##0</c:formatCode>
                <c:ptCount val="26"/>
                <c:pt idx="0">
                  <c:v>3745.44</c:v>
                </c:pt>
                <c:pt idx="1">
                  <c:v>3745.44</c:v>
                </c:pt>
                <c:pt idx="2">
                  <c:v>3745.44</c:v>
                </c:pt>
                <c:pt idx="3">
                  <c:v>3745.44</c:v>
                </c:pt>
                <c:pt idx="4">
                  <c:v>3745.44</c:v>
                </c:pt>
                <c:pt idx="5">
                  <c:v>3745.44</c:v>
                </c:pt>
                <c:pt idx="6">
                  <c:v>3745.44</c:v>
                </c:pt>
                <c:pt idx="7">
                  <c:v>3745.44</c:v>
                </c:pt>
                <c:pt idx="8">
                  <c:v>3745.44</c:v>
                </c:pt>
                <c:pt idx="9">
                  <c:v>3745.44</c:v>
                </c:pt>
                <c:pt idx="10">
                  <c:v>3745.44</c:v>
                </c:pt>
                <c:pt idx="11">
                  <c:v>3745.44</c:v>
                </c:pt>
                <c:pt idx="12">
                  <c:v>3745.44</c:v>
                </c:pt>
                <c:pt idx="13">
                  <c:v>3745.44</c:v>
                </c:pt>
                <c:pt idx="14">
                  <c:v>3745.44</c:v>
                </c:pt>
                <c:pt idx="15">
                  <c:v>3745.44</c:v>
                </c:pt>
                <c:pt idx="16">
                  <c:v>3745.44</c:v>
                </c:pt>
                <c:pt idx="17">
                  <c:v>3745.44</c:v>
                </c:pt>
                <c:pt idx="18">
                  <c:v>3745.44</c:v>
                </c:pt>
                <c:pt idx="19">
                  <c:v>3745.44</c:v>
                </c:pt>
                <c:pt idx="20">
                  <c:v>3745.44</c:v>
                </c:pt>
                <c:pt idx="21">
                  <c:v>3745.44</c:v>
                </c:pt>
                <c:pt idx="22">
                  <c:v>3745.44</c:v>
                </c:pt>
                <c:pt idx="23">
                  <c:v>3745.44</c:v>
                </c:pt>
                <c:pt idx="24">
                  <c:v>3745.44</c:v>
                </c:pt>
                <c:pt idx="25">
                  <c:v>3745.44</c:v>
                </c:pt>
              </c:numCache>
            </c:numRef>
          </c:val>
          <c:smooth val="0"/>
          <c:extLst>
            <c:ext xmlns:c16="http://schemas.microsoft.com/office/drawing/2014/chart" uri="{C3380CC4-5D6E-409C-BE32-E72D297353CC}">
              <c16:uniqueId val="{00000000-C7FA-4141-B9E0-F39425179FD7}"/>
            </c:ext>
          </c:extLst>
        </c:ser>
        <c:ser>
          <c:idx val="1"/>
          <c:order val="1"/>
          <c:tx>
            <c:strRef>
              <c:f>MonthlyPrgrmCostInfAdjst!$CZ$7</c:f>
              <c:strCache>
                <c:ptCount val="1"/>
                <c:pt idx="0">
                  <c:v>Very CE threshold </c:v>
                </c:pt>
              </c:strCache>
            </c:strRef>
          </c:tx>
          <c:spPr>
            <a:ln>
              <a:solidFill>
                <a:schemeClr val="accent3">
                  <a:lumMod val="50000"/>
                </a:schemeClr>
              </a:solidFill>
            </a:ln>
          </c:spPr>
          <c:marker>
            <c:spPr>
              <a:solidFill>
                <a:schemeClr val="accent3">
                  <a:lumMod val="75000"/>
                </a:schemeClr>
              </a:solidFill>
              <a:ln>
                <a:solidFill>
                  <a:schemeClr val="accent3">
                    <a:lumMod val="75000"/>
                  </a:schemeClr>
                </a:solidFill>
              </a:ln>
            </c:spPr>
          </c:marker>
          <c:cat>
            <c:strRef>
              <c:f>MonthlyPrgrmCostInfAdjst!$CU$8:$CU$33</c:f>
              <c:strCache>
                <c:ptCount val="26"/>
                <c:pt idx="0">
                  <c:v>$8 (-50%)</c:v>
                </c:pt>
                <c:pt idx="1">
                  <c:v>$12 (-25%)</c:v>
                </c:pt>
                <c:pt idx="2">
                  <c:v>$16 (00%)</c:v>
                </c:pt>
                <c:pt idx="3">
                  <c:v>$20 (25%)</c:v>
                </c:pt>
                <c:pt idx="4">
                  <c:v>$24 (50%)</c:v>
                </c:pt>
                <c:pt idx="5">
                  <c:v>$28 (75%)</c:v>
                </c:pt>
                <c:pt idx="6">
                  <c:v>$32 (100%)</c:v>
                </c:pt>
                <c:pt idx="7">
                  <c:v>$36 (125%)</c:v>
                </c:pt>
                <c:pt idx="8">
                  <c:v>$40 (150%)</c:v>
                </c:pt>
                <c:pt idx="9">
                  <c:v>$44 (175%)</c:v>
                </c:pt>
                <c:pt idx="10">
                  <c:v>$48 (200%)</c:v>
                </c:pt>
                <c:pt idx="11">
                  <c:v>$52 (225%)</c:v>
                </c:pt>
                <c:pt idx="12">
                  <c:v>$56 (250%)</c:v>
                </c:pt>
                <c:pt idx="13">
                  <c:v>$60 (275%)</c:v>
                </c:pt>
                <c:pt idx="14">
                  <c:v>$64 (300%)</c:v>
                </c:pt>
                <c:pt idx="15">
                  <c:v>$68 (325%)</c:v>
                </c:pt>
                <c:pt idx="16">
                  <c:v>$72 (350%)</c:v>
                </c:pt>
                <c:pt idx="17">
                  <c:v>$76 (375%)</c:v>
                </c:pt>
                <c:pt idx="18">
                  <c:v>$80 (400%)</c:v>
                </c:pt>
                <c:pt idx="19">
                  <c:v>$84 (425%)</c:v>
                </c:pt>
                <c:pt idx="20">
                  <c:v>$88 (450%)</c:v>
                </c:pt>
                <c:pt idx="21">
                  <c:v>$92 (475%)</c:v>
                </c:pt>
                <c:pt idx="22">
                  <c:v>$96 (500%)</c:v>
                </c:pt>
                <c:pt idx="23">
                  <c:v>$100 (525%)</c:v>
                </c:pt>
                <c:pt idx="24">
                  <c:v>$104 (550%)</c:v>
                </c:pt>
                <c:pt idx="25">
                  <c:v>$108 (575%)</c:v>
                </c:pt>
              </c:strCache>
            </c:strRef>
          </c:cat>
          <c:val>
            <c:numRef>
              <c:f>MonthlyPrgrmCostInfAdjst!$CZ$8:$CZ$33</c:f>
              <c:numCache>
                <c:formatCode>#,##0</c:formatCode>
                <c:ptCount val="26"/>
                <c:pt idx="0">
                  <c:v>1248.48</c:v>
                </c:pt>
                <c:pt idx="1">
                  <c:v>1248.48</c:v>
                </c:pt>
                <c:pt idx="2">
                  <c:v>1248.48</c:v>
                </c:pt>
                <c:pt idx="3">
                  <c:v>1248.48</c:v>
                </c:pt>
                <c:pt idx="4">
                  <c:v>1248.48</c:v>
                </c:pt>
                <c:pt idx="5">
                  <c:v>1248.48</c:v>
                </c:pt>
                <c:pt idx="6">
                  <c:v>1248.48</c:v>
                </c:pt>
                <c:pt idx="7">
                  <c:v>1248.48</c:v>
                </c:pt>
                <c:pt idx="8">
                  <c:v>1248.48</c:v>
                </c:pt>
                <c:pt idx="9">
                  <c:v>1248.48</c:v>
                </c:pt>
                <c:pt idx="10">
                  <c:v>1248.48</c:v>
                </c:pt>
                <c:pt idx="11">
                  <c:v>1248.48</c:v>
                </c:pt>
                <c:pt idx="12">
                  <c:v>1248.48</c:v>
                </c:pt>
                <c:pt idx="13">
                  <c:v>1248.48</c:v>
                </c:pt>
                <c:pt idx="14">
                  <c:v>1248.48</c:v>
                </c:pt>
                <c:pt idx="15">
                  <c:v>1248.48</c:v>
                </c:pt>
                <c:pt idx="16">
                  <c:v>1248.48</c:v>
                </c:pt>
                <c:pt idx="17">
                  <c:v>1248.48</c:v>
                </c:pt>
                <c:pt idx="18">
                  <c:v>1248.48</c:v>
                </c:pt>
                <c:pt idx="19">
                  <c:v>1248.48</c:v>
                </c:pt>
                <c:pt idx="20">
                  <c:v>1248.48</c:v>
                </c:pt>
                <c:pt idx="21">
                  <c:v>1248.48</c:v>
                </c:pt>
                <c:pt idx="22">
                  <c:v>1248.48</c:v>
                </c:pt>
                <c:pt idx="23">
                  <c:v>1248.48</c:v>
                </c:pt>
                <c:pt idx="24">
                  <c:v>1248.48</c:v>
                </c:pt>
                <c:pt idx="25">
                  <c:v>1248.48</c:v>
                </c:pt>
              </c:numCache>
            </c:numRef>
          </c:val>
          <c:smooth val="0"/>
          <c:extLst>
            <c:ext xmlns:c16="http://schemas.microsoft.com/office/drawing/2014/chart" uri="{C3380CC4-5D6E-409C-BE32-E72D297353CC}">
              <c16:uniqueId val="{00000001-C7FA-4141-B9E0-F39425179FD7}"/>
            </c:ext>
          </c:extLst>
        </c:ser>
        <c:ser>
          <c:idx val="2"/>
          <c:order val="2"/>
          <c:tx>
            <c:strRef>
              <c:f>MonthlyPrgrmCostInfAdjst!$CX$7</c:f>
              <c:strCache>
                <c:ptCount val="1"/>
                <c:pt idx="0">
                  <c:v>ICER
(per DALYs averted)</c:v>
                </c:pt>
              </c:strCache>
            </c:strRef>
          </c:tx>
          <c:spPr>
            <a:ln>
              <a:solidFill>
                <a:srgbClr val="C00000"/>
              </a:solidFill>
            </a:ln>
          </c:spPr>
          <c:marker>
            <c:spPr>
              <a:solidFill>
                <a:srgbClr val="C00000"/>
              </a:solidFill>
              <a:ln>
                <a:solidFill>
                  <a:srgbClr val="C00000"/>
                </a:solidFill>
              </a:ln>
            </c:spPr>
          </c:marker>
          <c:cat>
            <c:strRef>
              <c:f>MonthlyPrgrmCostInfAdjst!$CU$8:$CU$33</c:f>
              <c:strCache>
                <c:ptCount val="26"/>
                <c:pt idx="0">
                  <c:v>$8 (-50%)</c:v>
                </c:pt>
                <c:pt idx="1">
                  <c:v>$12 (-25%)</c:v>
                </c:pt>
                <c:pt idx="2">
                  <c:v>$16 (00%)</c:v>
                </c:pt>
                <c:pt idx="3">
                  <c:v>$20 (25%)</c:v>
                </c:pt>
                <c:pt idx="4">
                  <c:v>$24 (50%)</c:v>
                </c:pt>
                <c:pt idx="5">
                  <c:v>$28 (75%)</c:v>
                </c:pt>
                <c:pt idx="6">
                  <c:v>$32 (100%)</c:v>
                </c:pt>
                <c:pt idx="7">
                  <c:v>$36 (125%)</c:v>
                </c:pt>
                <c:pt idx="8">
                  <c:v>$40 (150%)</c:v>
                </c:pt>
                <c:pt idx="9">
                  <c:v>$44 (175%)</c:v>
                </c:pt>
                <c:pt idx="10">
                  <c:v>$48 (200%)</c:v>
                </c:pt>
                <c:pt idx="11">
                  <c:v>$52 (225%)</c:v>
                </c:pt>
                <c:pt idx="12">
                  <c:v>$56 (250%)</c:v>
                </c:pt>
                <c:pt idx="13">
                  <c:v>$60 (275%)</c:v>
                </c:pt>
                <c:pt idx="14">
                  <c:v>$64 (300%)</c:v>
                </c:pt>
                <c:pt idx="15">
                  <c:v>$68 (325%)</c:v>
                </c:pt>
                <c:pt idx="16">
                  <c:v>$72 (350%)</c:v>
                </c:pt>
                <c:pt idx="17">
                  <c:v>$76 (375%)</c:v>
                </c:pt>
                <c:pt idx="18">
                  <c:v>$80 (400%)</c:v>
                </c:pt>
                <c:pt idx="19">
                  <c:v>$84 (425%)</c:v>
                </c:pt>
                <c:pt idx="20">
                  <c:v>$88 (450%)</c:v>
                </c:pt>
                <c:pt idx="21">
                  <c:v>$92 (475%)</c:v>
                </c:pt>
                <c:pt idx="22">
                  <c:v>$96 (500%)</c:v>
                </c:pt>
                <c:pt idx="23">
                  <c:v>$100 (525%)</c:v>
                </c:pt>
                <c:pt idx="24">
                  <c:v>$104 (550%)</c:v>
                </c:pt>
                <c:pt idx="25">
                  <c:v>$108 (575%)</c:v>
                </c:pt>
              </c:strCache>
            </c:strRef>
          </c:cat>
          <c:val>
            <c:numRef>
              <c:f>MonthlyPrgrmCostInfAdjst!$CX$8:$CX$33</c:f>
              <c:numCache>
                <c:formatCode>"$"#,##0</c:formatCode>
                <c:ptCount val="26"/>
                <c:pt idx="0">
                  <c:v>292.12284829807083</c:v>
                </c:pt>
                <c:pt idx="1">
                  <c:v>438.18427244710625</c:v>
                </c:pt>
                <c:pt idx="2">
                  <c:v>584.24569659614167</c:v>
                </c:pt>
                <c:pt idx="3">
                  <c:v>730.30712074517692</c:v>
                </c:pt>
                <c:pt idx="4">
                  <c:v>876.3685448942125</c:v>
                </c:pt>
                <c:pt idx="5">
                  <c:v>1022.429969043248</c:v>
                </c:pt>
                <c:pt idx="6">
                  <c:v>1168.4913931922833</c:v>
                </c:pt>
                <c:pt idx="7">
                  <c:v>1314.5528173413186</c:v>
                </c:pt>
                <c:pt idx="8">
                  <c:v>1460.6142414903538</c:v>
                </c:pt>
                <c:pt idx="9">
                  <c:v>1606.6756656393895</c:v>
                </c:pt>
                <c:pt idx="10">
                  <c:v>1752.737089788425</c:v>
                </c:pt>
                <c:pt idx="11">
                  <c:v>1898.7985139374603</c:v>
                </c:pt>
                <c:pt idx="12">
                  <c:v>2044.8599380864957</c:v>
                </c:pt>
                <c:pt idx="13">
                  <c:v>2190.921362235531</c:v>
                </c:pt>
                <c:pt idx="14">
                  <c:v>2336.9827863845667</c:v>
                </c:pt>
                <c:pt idx="15">
                  <c:v>2483.0442105336019</c:v>
                </c:pt>
                <c:pt idx="16">
                  <c:v>2629.1056346826372</c:v>
                </c:pt>
                <c:pt idx="17">
                  <c:v>2775.1670588316729</c:v>
                </c:pt>
                <c:pt idx="18">
                  <c:v>2921.2284829807077</c:v>
                </c:pt>
                <c:pt idx="19">
                  <c:v>3067.2899071297438</c:v>
                </c:pt>
                <c:pt idx="20">
                  <c:v>3213.3513312787786</c:v>
                </c:pt>
                <c:pt idx="21">
                  <c:v>3359.4127554278143</c:v>
                </c:pt>
                <c:pt idx="22">
                  <c:v>3505.4741795768496</c:v>
                </c:pt>
                <c:pt idx="23">
                  <c:v>3651.5356037258853</c:v>
                </c:pt>
                <c:pt idx="24">
                  <c:v>3797.597027874921</c:v>
                </c:pt>
                <c:pt idx="25">
                  <c:v>3943.6584520239562</c:v>
                </c:pt>
              </c:numCache>
            </c:numRef>
          </c:val>
          <c:smooth val="0"/>
          <c:extLst>
            <c:ext xmlns:c16="http://schemas.microsoft.com/office/drawing/2014/chart" uri="{C3380CC4-5D6E-409C-BE32-E72D297353CC}">
              <c16:uniqueId val="{00000002-C7FA-4141-B9E0-F39425179FD7}"/>
            </c:ext>
          </c:extLst>
        </c:ser>
        <c:dLbls>
          <c:showLegendKey val="0"/>
          <c:showVal val="0"/>
          <c:showCatName val="0"/>
          <c:showSerName val="0"/>
          <c:showPercent val="0"/>
          <c:showBubbleSize val="0"/>
        </c:dLbls>
        <c:marker val="1"/>
        <c:smooth val="0"/>
        <c:axId val="175614656"/>
        <c:axId val="175615216"/>
      </c:lineChart>
      <c:catAx>
        <c:axId val="175614656"/>
        <c:scaling>
          <c:orientation val="minMax"/>
        </c:scaling>
        <c:delete val="0"/>
        <c:axPos val="b"/>
        <c:title>
          <c:tx>
            <c:rich>
              <a:bodyPr/>
              <a:lstStyle/>
              <a:p>
                <a:pPr algn="ctr" rtl="0">
                  <a:defRPr/>
                </a:pPr>
                <a:r>
                  <a:rPr lang="en-US"/>
                  <a:t> Change in the Program Cost per Child Enrolled</a:t>
                </a:r>
              </a:p>
              <a:p>
                <a:pPr algn="ctr" rtl="0">
                  <a:defRPr/>
                </a:pPr>
                <a:r>
                  <a:rPr lang="en-US"/>
                  <a:t>(% change in parenthesis)</a:t>
                </a:r>
              </a:p>
            </c:rich>
          </c:tx>
          <c:layout>
            <c:manualLayout>
              <c:xMode val="edge"/>
              <c:yMode val="edge"/>
              <c:x val="0.24363742262211949"/>
              <c:y val="0.92171404063423124"/>
            </c:manualLayout>
          </c:layout>
          <c:overlay val="0"/>
        </c:title>
        <c:numFmt formatCode="General" sourceLinked="1"/>
        <c:majorTickMark val="cross"/>
        <c:minorTickMark val="none"/>
        <c:tickLblPos val="nextTo"/>
        <c:spPr>
          <a:ln/>
        </c:spPr>
        <c:txPr>
          <a:bodyPr rot="-3300000"/>
          <a:lstStyle/>
          <a:p>
            <a:pPr algn="ctr">
              <a:defRPr/>
            </a:pPr>
            <a:endParaRPr lang="en-US"/>
          </a:p>
        </c:txPr>
        <c:crossAx val="175615216"/>
        <c:crosses val="autoZero"/>
        <c:auto val="1"/>
        <c:lblAlgn val="ctr"/>
        <c:lblOffset val="100"/>
        <c:noMultiLvlLbl val="0"/>
      </c:catAx>
      <c:valAx>
        <c:axId val="175615216"/>
        <c:scaling>
          <c:orientation val="minMax"/>
          <c:min val="0"/>
        </c:scaling>
        <c:delete val="0"/>
        <c:axPos val="l"/>
        <c:majorGridlines>
          <c:spPr>
            <a:ln>
              <a:noFill/>
            </a:ln>
          </c:spPr>
        </c:majorGridlines>
        <c:title>
          <c:tx>
            <c:rich>
              <a:bodyPr/>
              <a:lstStyle/>
              <a:p>
                <a:pPr>
                  <a:defRPr/>
                </a:pPr>
                <a:r>
                  <a:rPr lang="en-US"/>
                  <a:t>ICER </a:t>
                </a:r>
              </a:p>
            </c:rich>
          </c:tx>
          <c:layout>
            <c:manualLayout>
              <c:xMode val="edge"/>
              <c:yMode val="edge"/>
              <c:x val="1.6503429287685775E-2"/>
              <c:y val="0.44956133047063335"/>
            </c:manualLayout>
          </c:layout>
          <c:overlay val="0"/>
        </c:title>
        <c:numFmt formatCode="&quot;$&quot;#,##0" sourceLinked="0"/>
        <c:majorTickMark val="none"/>
        <c:minorTickMark val="none"/>
        <c:tickLblPos val="nextTo"/>
        <c:txPr>
          <a:bodyPr/>
          <a:lstStyle/>
          <a:p>
            <a:pPr algn="ctr">
              <a:defRPr/>
            </a:pPr>
            <a:endParaRPr lang="en-US"/>
          </a:p>
        </c:txPr>
        <c:crossAx val="175614656"/>
        <c:crosses val="autoZero"/>
        <c:crossBetween val="between"/>
      </c:valAx>
    </c:plotArea>
    <c:legend>
      <c:legendPos val="r"/>
      <c:layout>
        <c:manualLayout>
          <c:xMode val="edge"/>
          <c:yMode val="edge"/>
          <c:x val="0.82422798034838596"/>
          <c:y val="0.22749388189345371"/>
          <c:w val="0.14862856812725039"/>
          <c:h val="0.58376118251964193"/>
        </c:manualLayout>
      </c:layout>
      <c:overlay val="0"/>
    </c:legend>
    <c:plotVisOnly val="1"/>
    <c:dispBlanksAs val="gap"/>
    <c:showDLblsOverMax val="0"/>
  </c:chart>
  <c:txPr>
    <a:bodyPr/>
    <a:lstStyle/>
    <a:p>
      <a:pPr>
        <a:defRPr sz="900"/>
      </a:pPr>
      <a:endParaRPr lang="en-US"/>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l" rtl="0">
              <a:defRPr/>
            </a:pPr>
            <a:r>
              <a:rPr lang="en-US"/>
              <a:t>b) ICER per DALY Averted (YLL component only) from the societal perspective (parents time not value)</a:t>
            </a:r>
          </a:p>
        </c:rich>
      </c:tx>
      <c:layout>
        <c:manualLayout>
          <c:xMode val="edge"/>
          <c:yMode val="edge"/>
          <c:x val="8.1013676262119555E-2"/>
          <c:y val="6.0624313417864159E-2"/>
        </c:manualLayout>
      </c:layout>
      <c:overlay val="0"/>
    </c:title>
    <c:autoTitleDeleted val="0"/>
    <c:plotArea>
      <c:layout>
        <c:manualLayout>
          <c:layoutTarget val="inner"/>
          <c:xMode val="edge"/>
          <c:yMode val="edge"/>
          <c:x val="0.15379005815260827"/>
          <c:y val="0.20520056798450162"/>
          <c:w val="0.65385007422291197"/>
          <c:h val="0.49177098837735667"/>
        </c:manualLayout>
      </c:layout>
      <c:lineChart>
        <c:grouping val="standard"/>
        <c:varyColors val="0"/>
        <c:ser>
          <c:idx val="0"/>
          <c:order val="0"/>
          <c:tx>
            <c:strRef>
              <c:f>MonthlyPrgrmCostInfAdjst!$CY$7</c:f>
              <c:strCache>
                <c:ptCount val="1"/>
                <c:pt idx="0">
                  <c:v> CE threshold</c:v>
                </c:pt>
              </c:strCache>
            </c:strRef>
          </c:tx>
          <c:marker>
            <c:symbol val="star"/>
            <c:size val="7"/>
          </c:marker>
          <c:cat>
            <c:strRef>
              <c:f>MonthlyPrgrmCostInfAdjst!$DD$15:$DD$29</c:f>
              <c:strCache>
                <c:ptCount val="15"/>
                <c:pt idx="0">
                  <c:v>$131 (140%)</c:v>
                </c:pt>
                <c:pt idx="1">
                  <c:v>$120 (120%)</c:v>
                </c:pt>
                <c:pt idx="2">
                  <c:v>$109 (100%)</c:v>
                </c:pt>
                <c:pt idx="3">
                  <c:v>$98 (80%)</c:v>
                </c:pt>
                <c:pt idx="4">
                  <c:v>$87 (60%)</c:v>
                </c:pt>
                <c:pt idx="5">
                  <c:v>$76 (40%)</c:v>
                </c:pt>
                <c:pt idx="6">
                  <c:v>$65 (20%)</c:v>
                </c:pt>
                <c:pt idx="7">
                  <c:v>$54 (00%)</c:v>
                </c:pt>
                <c:pt idx="8">
                  <c:v>$44 (-20%)</c:v>
                </c:pt>
                <c:pt idx="9">
                  <c:v>$33 (-40%)</c:v>
                </c:pt>
                <c:pt idx="10">
                  <c:v>$22 (-60%)</c:v>
                </c:pt>
                <c:pt idx="11">
                  <c:v>$11 (-80%)</c:v>
                </c:pt>
                <c:pt idx="12">
                  <c:v>$0 (-100%)</c:v>
                </c:pt>
                <c:pt idx="13">
                  <c:v>-$11 (-120%)</c:v>
                </c:pt>
                <c:pt idx="14">
                  <c:v>-$22 (-140%)</c:v>
                </c:pt>
              </c:strCache>
            </c:strRef>
          </c:cat>
          <c:val>
            <c:numRef>
              <c:f>MonthlyPrgrmCostInfAdjst!$CY$15:$CY$29</c:f>
              <c:numCache>
                <c:formatCode>#,##0</c:formatCode>
                <c:ptCount val="15"/>
                <c:pt idx="0">
                  <c:v>3745.44</c:v>
                </c:pt>
                <c:pt idx="1">
                  <c:v>3745.44</c:v>
                </c:pt>
                <c:pt idx="2">
                  <c:v>3745.44</c:v>
                </c:pt>
                <c:pt idx="3">
                  <c:v>3745.44</c:v>
                </c:pt>
                <c:pt idx="4">
                  <c:v>3745.44</c:v>
                </c:pt>
                <c:pt idx="5">
                  <c:v>3745.44</c:v>
                </c:pt>
                <c:pt idx="6">
                  <c:v>3745.44</c:v>
                </c:pt>
                <c:pt idx="7">
                  <c:v>3745.44</c:v>
                </c:pt>
                <c:pt idx="8">
                  <c:v>3745.44</c:v>
                </c:pt>
                <c:pt idx="9">
                  <c:v>3745.44</c:v>
                </c:pt>
                <c:pt idx="10">
                  <c:v>3745.44</c:v>
                </c:pt>
                <c:pt idx="11">
                  <c:v>3745.44</c:v>
                </c:pt>
                <c:pt idx="12">
                  <c:v>3745.44</c:v>
                </c:pt>
                <c:pt idx="13">
                  <c:v>3745.44</c:v>
                </c:pt>
                <c:pt idx="14">
                  <c:v>3745.44</c:v>
                </c:pt>
              </c:numCache>
            </c:numRef>
          </c:val>
          <c:smooth val="0"/>
          <c:extLst>
            <c:ext xmlns:c16="http://schemas.microsoft.com/office/drawing/2014/chart" uri="{C3380CC4-5D6E-409C-BE32-E72D297353CC}">
              <c16:uniqueId val="{00000000-C11C-40CE-9676-A57D2055F22D}"/>
            </c:ext>
          </c:extLst>
        </c:ser>
        <c:ser>
          <c:idx val="1"/>
          <c:order val="1"/>
          <c:tx>
            <c:strRef>
              <c:f>MonthlyPrgrmCostInfAdjst!$CZ$7</c:f>
              <c:strCache>
                <c:ptCount val="1"/>
                <c:pt idx="0">
                  <c:v>Very CE threshold </c:v>
                </c:pt>
              </c:strCache>
            </c:strRef>
          </c:tx>
          <c:spPr>
            <a:ln>
              <a:solidFill>
                <a:schemeClr val="accent3">
                  <a:lumMod val="50000"/>
                </a:schemeClr>
              </a:solidFill>
            </a:ln>
          </c:spPr>
          <c:marker>
            <c:spPr>
              <a:solidFill>
                <a:schemeClr val="accent3">
                  <a:lumMod val="75000"/>
                </a:schemeClr>
              </a:solidFill>
              <a:ln>
                <a:solidFill>
                  <a:schemeClr val="accent3">
                    <a:lumMod val="75000"/>
                  </a:schemeClr>
                </a:solidFill>
              </a:ln>
            </c:spPr>
          </c:marker>
          <c:cat>
            <c:strRef>
              <c:f>MonthlyPrgrmCostInfAdjst!$DD$15:$DD$29</c:f>
              <c:strCache>
                <c:ptCount val="15"/>
                <c:pt idx="0">
                  <c:v>$131 (140%)</c:v>
                </c:pt>
                <c:pt idx="1">
                  <c:v>$120 (120%)</c:v>
                </c:pt>
                <c:pt idx="2">
                  <c:v>$109 (100%)</c:v>
                </c:pt>
                <c:pt idx="3">
                  <c:v>$98 (80%)</c:v>
                </c:pt>
                <c:pt idx="4">
                  <c:v>$87 (60%)</c:v>
                </c:pt>
                <c:pt idx="5">
                  <c:v>$76 (40%)</c:v>
                </c:pt>
                <c:pt idx="6">
                  <c:v>$65 (20%)</c:v>
                </c:pt>
                <c:pt idx="7">
                  <c:v>$54 (00%)</c:v>
                </c:pt>
                <c:pt idx="8">
                  <c:v>$44 (-20%)</c:v>
                </c:pt>
                <c:pt idx="9">
                  <c:v>$33 (-40%)</c:v>
                </c:pt>
                <c:pt idx="10">
                  <c:v>$22 (-60%)</c:v>
                </c:pt>
                <c:pt idx="11">
                  <c:v>$11 (-80%)</c:v>
                </c:pt>
                <c:pt idx="12">
                  <c:v>$0 (-100%)</c:v>
                </c:pt>
                <c:pt idx="13">
                  <c:v>-$11 (-120%)</c:v>
                </c:pt>
                <c:pt idx="14">
                  <c:v>-$22 (-140%)</c:v>
                </c:pt>
              </c:strCache>
            </c:strRef>
          </c:cat>
          <c:val>
            <c:numRef>
              <c:f>MonthlyPrgrmCostInfAdjst!$CZ$15:$CZ$29</c:f>
              <c:numCache>
                <c:formatCode>#,##0</c:formatCode>
                <c:ptCount val="15"/>
                <c:pt idx="0">
                  <c:v>1248.48</c:v>
                </c:pt>
                <c:pt idx="1">
                  <c:v>1248.48</c:v>
                </c:pt>
                <c:pt idx="2">
                  <c:v>1248.48</c:v>
                </c:pt>
                <c:pt idx="3">
                  <c:v>1248.48</c:v>
                </c:pt>
                <c:pt idx="4">
                  <c:v>1248.48</c:v>
                </c:pt>
                <c:pt idx="5">
                  <c:v>1248.48</c:v>
                </c:pt>
                <c:pt idx="6">
                  <c:v>1248.48</c:v>
                </c:pt>
                <c:pt idx="7">
                  <c:v>1248.48</c:v>
                </c:pt>
                <c:pt idx="8">
                  <c:v>1248.48</c:v>
                </c:pt>
                <c:pt idx="9">
                  <c:v>1248.48</c:v>
                </c:pt>
                <c:pt idx="10">
                  <c:v>1248.48</c:v>
                </c:pt>
                <c:pt idx="11">
                  <c:v>1248.48</c:v>
                </c:pt>
                <c:pt idx="12">
                  <c:v>1248.48</c:v>
                </c:pt>
                <c:pt idx="13">
                  <c:v>1248.48</c:v>
                </c:pt>
                <c:pt idx="14">
                  <c:v>1248.48</c:v>
                </c:pt>
              </c:numCache>
            </c:numRef>
          </c:val>
          <c:smooth val="0"/>
          <c:extLst>
            <c:ext xmlns:c16="http://schemas.microsoft.com/office/drawing/2014/chart" uri="{C3380CC4-5D6E-409C-BE32-E72D297353CC}">
              <c16:uniqueId val="{00000001-C11C-40CE-9676-A57D2055F22D}"/>
            </c:ext>
          </c:extLst>
        </c:ser>
        <c:ser>
          <c:idx val="2"/>
          <c:order val="2"/>
          <c:tx>
            <c:strRef>
              <c:f>MonthlyPrgrmCostInfAdjst!$CX$7</c:f>
              <c:strCache>
                <c:ptCount val="1"/>
                <c:pt idx="0">
                  <c:v>ICER
(per DALYs averted)</c:v>
                </c:pt>
              </c:strCache>
            </c:strRef>
          </c:tx>
          <c:spPr>
            <a:ln>
              <a:solidFill>
                <a:srgbClr val="C00000"/>
              </a:solidFill>
            </a:ln>
          </c:spPr>
          <c:marker>
            <c:spPr>
              <a:solidFill>
                <a:srgbClr val="C00000"/>
              </a:solidFill>
              <a:ln>
                <a:solidFill>
                  <a:srgbClr val="C00000"/>
                </a:solidFill>
              </a:ln>
            </c:spPr>
          </c:marker>
          <c:cat>
            <c:strRef>
              <c:f>MonthlyPrgrmCostInfAdjst!$DD$15:$DD$29</c:f>
              <c:strCache>
                <c:ptCount val="15"/>
                <c:pt idx="0">
                  <c:v>$131 (140%)</c:v>
                </c:pt>
                <c:pt idx="1">
                  <c:v>$120 (120%)</c:v>
                </c:pt>
                <c:pt idx="2">
                  <c:v>$109 (100%)</c:v>
                </c:pt>
                <c:pt idx="3">
                  <c:v>$98 (80%)</c:v>
                </c:pt>
                <c:pt idx="4">
                  <c:v>$87 (60%)</c:v>
                </c:pt>
                <c:pt idx="5">
                  <c:v>$76 (40%)</c:v>
                </c:pt>
                <c:pt idx="6">
                  <c:v>$65 (20%)</c:v>
                </c:pt>
                <c:pt idx="7">
                  <c:v>$54 (00%)</c:v>
                </c:pt>
                <c:pt idx="8">
                  <c:v>$44 (-20%)</c:v>
                </c:pt>
                <c:pt idx="9">
                  <c:v>$33 (-40%)</c:v>
                </c:pt>
                <c:pt idx="10">
                  <c:v>$22 (-60%)</c:v>
                </c:pt>
                <c:pt idx="11">
                  <c:v>$11 (-80%)</c:v>
                </c:pt>
                <c:pt idx="12">
                  <c:v>$0 (-100%)</c:v>
                </c:pt>
                <c:pt idx="13">
                  <c:v>-$11 (-120%)</c:v>
                </c:pt>
                <c:pt idx="14">
                  <c:v>-$22 (-140%)</c:v>
                </c:pt>
              </c:strCache>
            </c:strRef>
          </c:cat>
          <c:val>
            <c:numRef>
              <c:f>MonthlyPrgrmCostInfAdjst!$DF$15:$DF$29</c:f>
              <c:numCache>
                <c:formatCode>"$"#,##0</c:formatCode>
                <c:ptCount val="15"/>
                <c:pt idx="0">
                  <c:v>4765.6585309586189</c:v>
                </c:pt>
                <c:pt idx="1">
                  <c:v>4368.5203200454007</c:v>
                </c:pt>
                <c:pt idx="2">
                  <c:v>3971.3821091321824</c:v>
                </c:pt>
                <c:pt idx="3">
                  <c:v>3574.2438982189642</c:v>
                </c:pt>
                <c:pt idx="4">
                  <c:v>3177.105687305746</c:v>
                </c:pt>
                <c:pt idx="5">
                  <c:v>2779.9674763925277</c:v>
                </c:pt>
                <c:pt idx="6">
                  <c:v>2382.8292654793095</c:v>
                </c:pt>
                <c:pt idx="7">
                  <c:v>1985.6910545660912</c:v>
                </c:pt>
                <c:pt idx="8">
                  <c:v>1588.552843652873</c:v>
                </c:pt>
                <c:pt idx="9">
                  <c:v>1191.4146327396547</c:v>
                </c:pt>
                <c:pt idx="10">
                  <c:v>794.27642182643615</c:v>
                </c:pt>
                <c:pt idx="11">
                  <c:v>397.13821091321807</c:v>
                </c:pt>
                <c:pt idx="12">
                  <c:v>0</c:v>
                </c:pt>
                <c:pt idx="13">
                  <c:v>-397.13821091321807</c:v>
                </c:pt>
                <c:pt idx="14">
                  <c:v>-794.27642182643649</c:v>
                </c:pt>
              </c:numCache>
            </c:numRef>
          </c:val>
          <c:smooth val="0"/>
          <c:extLst>
            <c:ext xmlns:c16="http://schemas.microsoft.com/office/drawing/2014/chart" uri="{C3380CC4-5D6E-409C-BE32-E72D297353CC}">
              <c16:uniqueId val="{00000002-C11C-40CE-9676-A57D2055F22D}"/>
            </c:ext>
          </c:extLst>
        </c:ser>
        <c:dLbls>
          <c:showLegendKey val="0"/>
          <c:showVal val="0"/>
          <c:showCatName val="0"/>
          <c:showSerName val="0"/>
          <c:showPercent val="0"/>
          <c:showBubbleSize val="0"/>
        </c:dLbls>
        <c:marker val="1"/>
        <c:smooth val="0"/>
        <c:axId val="175614656"/>
        <c:axId val="175615216"/>
      </c:lineChart>
      <c:catAx>
        <c:axId val="175614656"/>
        <c:scaling>
          <c:orientation val="minMax"/>
        </c:scaling>
        <c:delete val="0"/>
        <c:axPos val="b"/>
        <c:title>
          <c:tx>
            <c:rich>
              <a:bodyPr/>
              <a:lstStyle/>
              <a:p>
                <a:pPr algn="ctr" rtl="0">
                  <a:defRPr/>
                </a:pPr>
                <a:r>
                  <a:rPr lang="en-US"/>
                  <a:t> Change in the Societal Cost (Parents Time Not Valued) per Child Enrolled</a:t>
                </a:r>
              </a:p>
              <a:p>
                <a:pPr algn="ctr" rtl="0">
                  <a:defRPr/>
                </a:pPr>
                <a:r>
                  <a:rPr lang="en-US"/>
                  <a:t>(% change in parenthesis)</a:t>
                </a:r>
              </a:p>
            </c:rich>
          </c:tx>
          <c:layout>
            <c:manualLayout>
              <c:xMode val="edge"/>
              <c:yMode val="edge"/>
              <c:x val="0.16051301953419397"/>
              <c:y val="0.88663457819698588"/>
            </c:manualLayout>
          </c:layout>
          <c:overlay val="0"/>
        </c:title>
        <c:numFmt formatCode="General" sourceLinked="1"/>
        <c:majorTickMark val="cross"/>
        <c:minorTickMark val="none"/>
        <c:tickLblPos val="nextTo"/>
        <c:spPr>
          <a:ln/>
        </c:spPr>
        <c:txPr>
          <a:bodyPr rot="-3300000"/>
          <a:lstStyle/>
          <a:p>
            <a:pPr algn="ctr">
              <a:defRPr/>
            </a:pPr>
            <a:endParaRPr lang="en-US"/>
          </a:p>
        </c:txPr>
        <c:crossAx val="175615216"/>
        <c:crossesAt val="-15000"/>
        <c:auto val="1"/>
        <c:lblAlgn val="ctr"/>
        <c:lblOffset val="100"/>
        <c:noMultiLvlLbl val="0"/>
      </c:catAx>
      <c:valAx>
        <c:axId val="175615216"/>
        <c:scaling>
          <c:orientation val="minMax"/>
          <c:max val="5000"/>
          <c:min val="-1000"/>
        </c:scaling>
        <c:delete val="0"/>
        <c:axPos val="l"/>
        <c:majorGridlines>
          <c:spPr>
            <a:ln>
              <a:noFill/>
            </a:ln>
          </c:spPr>
        </c:majorGridlines>
        <c:title>
          <c:tx>
            <c:rich>
              <a:bodyPr/>
              <a:lstStyle/>
              <a:p>
                <a:pPr>
                  <a:defRPr/>
                </a:pPr>
                <a:r>
                  <a:rPr lang="en-US"/>
                  <a:t>ICER </a:t>
                </a:r>
              </a:p>
            </c:rich>
          </c:tx>
          <c:layout>
            <c:manualLayout>
              <c:xMode val="edge"/>
              <c:yMode val="edge"/>
              <c:x val="1.6503429287685775E-2"/>
              <c:y val="0.44956133047063335"/>
            </c:manualLayout>
          </c:layout>
          <c:overlay val="0"/>
        </c:title>
        <c:numFmt formatCode="&quot;$&quot;#,##0" sourceLinked="0"/>
        <c:majorTickMark val="none"/>
        <c:minorTickMark val="none"/>
        <c:tickLblPos val="low"/>
        <c:txPr>
          <a:bodyPr/>
          <a:lstStyle/>
          <a:p>
            <a:pPr algn="ctr">
              <a:defRPr/>
            </a:pPr>
            <a:endParaRPr lang="en-US"/>
          </a:p>
        </c:txPr>
        <c:crossAx val="175614656"/>
        <c:crosses val="autoZero"/>
        <c:crossBetween val="between"/>
      </c:valAx>
    </c:plotArea>
    <c:legend>
      <c:legendPos val="r"/>
      <c:layout>
        <c:manualLayout>
          <c:xMode val="edge"/>
          <c:yMode val="edge"/>
          <c:x val="0.82422798034838596"/>
          <c:y val="0.22749388189345371"/>
          <c:w val="0.14862856812725039"/>
          <c:h val="0.58376118251964193"/>
        </c:manualLayout>
      </c:layout>
      <c:overlay val="0"/>
    </c:legend>
    <c:plotVisOnly val="1"/>
    <c:dispBlanksAs val="gap"/>
    <c:showDLblsOverMax val="0"/>
  </c:chart>
  <c:txPr>
    <a:bodyPr/>
    <a:lstStyle/>
    <a:p>
      <a:pPr>
        <a:defRPr sz="900"/>
      </a:pPr>
      <a:endParaRPr lang="en-US"/>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rtl="0">
              <a:defRPr/>
            </a:pPr>
            <a:r>
              <a:rPr lang="en-US"/>
              <a:t>a) ICER per DALY Averted (YLL component only)</a:t>
            </a:r>
          </a:p>
        </c:rich>
      </c:tx>
      <c:layout>
        <c:manualLayout>
          <c:xMode val="edge"/>
          <c:yMode val="edge"/>
          <c:x val="6.9831134744520573E-2"/>
          <c:y val="4.7309861968854394E-2"/>
        </c:manualLayout>
      </c:layout>
      <c:overlay val="0"/>
    </c:title>
    <c:autoTitleDeleted val="0"/>
    <c:plotArea>
      <c:layout>
        <c:manualLayout>
          <c:layoutTarget val="inner"/>
          <c:xMode val="edge"/>
          <c:yMode val="edge"/>
          <c:x val="0.14818379520741726"/>
          <c:y val="0.17948286870438682"/>
          <c:w val="0.65591601049868764"/>
          <c:h val="0.52645476649641942"/>
        </c:manualLayout>
      </c:layout>
      <c:lineChart>
        <c:grouping val="standard"/>
        <c:varyColors val="0"/>
        <c:ser>
          <c:idx val="0"/>
          <c:order val="0"/>
          <c:tx>
            <c:strRef>
              <c:f>MonthlyPrgrmCostInfAdjst!$DO$7</c:f>
              <c:strCache>
                <c:ptCount val="1"/>
                <c:pt idx="0">
                  <c:v> CE threshold</c:v>
                </c:pt>
              </c:strCache>
            </c:strRef>
          </c:tx>
          <c:cat>
            <c:strRef>
              <c:f>MonthlyPrgrmCostInfAdjst!$DU$12:$DU$23</c:f>
              <c:strCache>
                <c:ptCount val="12"/>
                <c:pt idx="0">
                  <c:v>365 (-87%)</c:v>
                </c:pt>
                <c:pt idx="1">
                  <c:v>662 (-76%)</c:v>
                </c:pt>
                <c:pt idx="2">
                  <c:v>959 (-65%)</c:v>
                </c:pt>
                <c:pt idx="3">
                  <c:v>1256 (-54%)</c:v>
                </c:pt>
                <c:pt idx="4">
                  <c:v>1554 (-43%)</c:v>
                </c:pt>
                <c:pt idx="5">
                  <c:v>1851 (-33%)</c:v>
                </c:pt>
                <c:pt idx="6">
                  <c:v>2148 (-22%)</c:v>
                </c:pt>
                <c:pt idx="7">
                  <c:v>2446 (-11%)</c:v>
                </c:pt>
                <c:pt idx="8">
                  <c:v>2743 (00%)</c:v>
                </c:pt>
                <c:pt idx="9">
                  <c:v>3040 (11%)</c:v>
                </c:pt>
                <c:pt idx="10">
                  <c:v>3338 (22%)</c:v>
                </c:pt>
                <c:pt idx="11">
                  <c:v>3635 (33%)</c:v>
                </c:pt>
              </c:strCache>
            </c:strRef>
          </c:cat>
          <c:val>
            <c:numRef>
              <c:f>MonthlyPrgrmCostInfAdjst!$DO$12:$DO$23</c:f>
              <c:numCache>
                <c:formatCode>#,##0</c:formatCode>
                <c:ptCount val="12"/>
                <c:pt idx="0">
                  <c:v>3745.44</c:v>
                </c:pt>
                <c:pt idx="1">
                  <c:v>3745.44</c:v>
                </c:pt>
                <c:pt idx="2">
                  <c:v>3745.44</c:v>
                </c:pt>
                <c:pt idx="3">
                  <c:v>3745.44</c:v>
                </c:pt>
                <c:pt idx="4">
                  <c:v>3745.44</c:v>
                </c:pt>
                <c:pt idx="5">
                  <c:v>3745.44</c:v>
                </c:pt>
                <c:pt idx="6">
                  <c:v>3745.44</c:v>
                </c:pt>
                <c:pt idx="7">
                  <c:v>3745.44</c:v>
                </c:pt>
                <c:pt idx="8">
                  <c:v>3745.44</c:v>
                </c:pt>
                <c:pt idx="9">
                  <c:v>3745.44</c:v>
                </c:pt>
                <c:pt idx="10">
                  <c:v>3745.44</c:v>
                </c:pt>
                <c:pt idx="11">
                  <c:v>3745.44</c:v>
                </c:pt>
              </c:numCache>
            </c:numRef>
          </c:val>
          <c:smooth val="0"/>
          <c:extLst>
            <c:ext xmlns:c16="http://schemas.microsoft.com/office/drawing/2014/chart" uri="{C3380CC4-5D6E-409C-BE32-E72D297353CC}">
              <c16:uniqueId val="{00000000-AA7A-4F92-92CB-BF8264EEA39C}"/>
            </c:ext>
          </c:extLst>
        </c:ser>
        <c:ser>
          <c:idx val="1"/>
          <c:order val="1"/>
          <c:tx>
            <c:strRef>
              <c:f>MonthlyPrgrmCostInfAdjst!$DP$7</c:f>
              <c:strCache>
                <c:ptCount val="1"/>
                <c:pt idx="0">
                  <c:v>Very CE threshold </c:v>
                </c:pt>
              </c:strCache>
            </c:strRef>
          </c:tx>
          <c:spPr>
            <a:ln>
              <a:solidFill>
                <a:schemeClr val="accent3">
                  <a:lumMod val="75000"/>
                </a:schemeClr>
              </a:solidFill>
            </a:ln>
          </c:spPr>
          <c:marker>
            <c:spPr>
              <a:solidFill>
                <a:schemeClr val="accent3">
                  <a:lumMod val="75000"/>
                </a:schemeClr>
              </a:solidFill>
              <a:ln>
                <a:solidFill>
                  <a:schemeClr val="accent3">
                    <a:lumMod val="75000"/>
                  </a:schemeClr>
                </a:solidFill>
              </a:ln>
            </c:spPr>
          </c:marker>
          <c:cat>
            <c:strRef>
              <c:f>MonthlyPrgrmCostInfAdjst!$DU$12:$DU$23</c:f>
              <c:strCache>
                <c:ptCount val="12"/>
                <c:pt idx="0">
                  <c:v>365 (-87%)</c:v>
                </c:pt>
                <c:pt idx="1">
                  <c:v>662 (-76%)</c:v>
                </c:pt>
                <c:pt idx="2">
                  <c:v>959 (-65%)</c:v>
                </c:pt>
                <c:pt idx="3">
                  <c:v>1256 (-54%)</c:v>
                </c:pt>
                <c:pt idx="4">
                  <c:v>1554 (-43%)</c:v>
                </c:pt>
                <c:pt idx="5">
                  <c:v>1851 (-33%)</c:v>
                </c:pt>
                <c:pt idx="6">
                  <c:v>2148 (-22%)</c:v>
                </c:pt>
                <c:pt idx="7">
                  <c:v>2446 (-11%)</c:v>
                </c:pt>
                <c:pt idx="8">
                  <c:v>2743 (00%)</c:v>
                </c:pt>
                <c:pt idx="9">
                  <c:v>3040 (11%)</c:v>
                </c:pt>
                <c:pt idx="10">
                  <c:v>3338 (22%)</c:v>
                </c:pt>
                <c:pt idx="11">
                  <c:v>3635 (33%)</c:v>
                </c:pt>
              </c:strCache>
            </c:strRef>
          </c:cat>
          <c:val>
            <c:numRef>
              <c:f>MonthlyPrgrmCostInfAdjst!$DP$12:$DP$23</c:f>
              <c:numCache>
                <c:formatCode>#,##0</c:formatCode>
                <c:ptCount val="12"/>
                <c:pt idx="0">
                  <c:v>1248.48</c:v>
                </c:pt>
                <c:pt idx="1">
                  <c:v>1248.48</c:v>
                </c:pt>
                <c:pt idx="2">
                  <c:v>1248.48</c:v>
                </c:pt>
                <c:pt idx="3">
                  <c:v>1248.48</c:v>
                </c:pt>
                <c:pt idx="4">
                  <c:v>1248.48</c:v>
                </c:pt>
                <c:pt idx="5">
                  <c:v>1248.48</c:v>
                </c:pt>
                <c:pt idx="6">
                  <c:v>1248.48</c:v>
                </c:pt>
                <c:pt idx="7">
                  <c:v>1248.48</c:v>
                </c:pt>
                <c:pt idx="8">
                  <c:v>1248.48</c:v>
                </c:pt>
                <c:pt idx="9">
                  <c:v>1248.48</c:v>
                </c:pt>
                <c:pt idx="10">
                  <c:v>1248.48</c:v>
                </c:pt>
                <c:pt idx="11">
                  <c:v>1248.48</c:v>
                </c:pt>
              </c:numCache>
            </c:numRef>
          </c:val>
          <c:smooth val="0"/>
          <c:extLst>
            <c:ext xmlns:c16="http://schemas.microsoft.com/office/drawing/2014/chart" uri="{C3380CC4-5D6E-409C-BE32-E72D297353CC}">
              <c16:uniqueId val="{00000001-AA7A-4F92-92CB-BF8264EEA39C}"/>
            </c:ext>
          </c:extLst>
        </c:ser>
        <c:ser>
          <c:idx val="2"/>
          <c:order val="2"/>
          <c:tx>
            <c:strRef>
              <c:f>MonthlyPrgrmCostInfAdjst!$DN$7</c:f>
              <c:strCache>
                <c:ptCount val="1"/>
                <c:pt idx="0">
                  <c:v>ICER
(per DALYs averted)</c:v>
                </c:pt>
              </c:strCache>
            </c:strRef>
          </c:tx>
          <c:spPr>
            <a:ln>
              <a:solidFill>
                <a:srgbClr val="C00000"/>
              </a:solidFill>
            </a:ln>
          </c:spPr>
          <c:marker>
            <c:spPr>
              <a:solidFill>
                <a:srgbClr val="C00000"/>
              </a:solidFill>
              <a:ln>
                <a:solidFill>
                  <a:srgbClr val="C00000"/>
                </a:solidFill>
              </a:ln>
            </c:spPr>
          </c:marker>
          <c:cat>
            <c:strRef>
              <c:f>MonthlyPrgrmCostInfAdjst!$DU$12:$DU$23</c:f>
              <c:strCache>
                <c:ptCount val="12"/>
                <c:pt idx="0">
                  <c:v>365 (-87%)</c:v>
                </c:pt>
                <c:pt idx="1">
                  <c:v>662 (-76%)</c:v>
                </c:pt>
                <c:pt idx="2">
                  <c:v>959 (-65%)</c:v>
                </c:pt>
                <c:pt idx="3">
                  <c:v>1256 (-54%)</c:v>
                </c:pt>
                <c:pt idx="4">
                  <c:v>1554 (-43%)</c:v>
                </c:pt>
                <c:pt idx="5">
                  <c:v>1851 (-33%)</c:v>
                </c:pt>
                <c:pt idx="6">
                  <c:v>2148 (-22%)</c:v>
                </c:pt>
                <c:pt idx="7">
                  <c:v>2446 (-11%)</c:v>
                </c:pt>
                <c:pt idx="8">
                  <c:v>2743 (00%)</c:v>
                </c:pt>
                <c:pt idx="9">
                  <c:v>3040 (11%)</c:v>
                </c:pt>
                <c:pt idx="10">
                  <c:v>3338 (22%)</c:v>
                </c:pt>
                <c:pt idx="11">
                  <c:v>3635 (33%)</c:v>
                </c:pt>
              </c:strCache>
            </c:strRef>
          </c:cat>
          <c:val>
            <c:numRef>
              <c:f>MonthlyPrgrmCostInfAdjst!$DN$12:$DN$23</c:f>
              <c:numCache>
                <c:formatCode>"$"#,##0</c:formatCode>
                <c:ptCount val="12"/>
                <c:pt idx="0">
                  <c:v>4395.993839451412</c:v>
                </c:pt>
                <c:pt idx="1">
                  <c:v>2421.3312577195766</c:v>
                </c:pt>
                <c:pt idx="2">
                  <c:v>1670.8101314039184</c:v>
                </c:pt>
                <c:pt idx="3">
                  <c:v>1275.4643996818234</c:v>
                </c:pt>
                <c:pt idx="4">
                  <c:v>1031.4124308169075</c:v>
                </c:pt>
                <c:pt idx="5">
                  <c:v>865.7556207534808</c:v>
                </c:pt>
                <c:pt idx="6">
                  <c:v>745.94775205991004</c:v>
                </c:pt>
                <c:pt idx="7">
                  <c:v>655.26824608389313</c:v>
                </c:pt>
                <c:pt idx="8">
                  <c:v>584.24569659614167</c:v>
                </c:pt>
                <c:pt idx="9">
                  <c:v>527.11345816973278</c:v>
                </c:pt>
                <c:pt idx="10">
                  <c:v>480.15959504866487</c:v>
                </c:pt>
                <c:pt idx="11">
                  <c:v>440.88659157672231</c:v>
                </c:pt>
              </c:numCache>
            </c:numRef>
          </c:val>
          <c:smooth val="0"/>
          <c:extLst>
            <c:ext xmlns:c16="http://schemas.microsoft.com/office/drawing/2014/chart" uri="{C3380CC4-5D6E-409C-BE32-E72D297353CC}">
              <c16:uniqueId val="{00000002-AA7A-4F92-92CB-BF8264EEA39C}"/>
            </c:ext>
          </c:extLst>
        </c:ser>
        <c:dLbls>
          <c:showLegendKey val="0"/>
          <c:showVal val="0"/>
          <c:showCatName val="0"/>
          <c:showSerName val="0"/>
          <c:showPercent val="0"/>
          <c:showBubbleSize val="0"/>
        </c:dLbls>
        <c:marker val="1"/>
        <c:smooth val="0"/>
        <c:axId val="175619136"/>
        <c:axId val="175619696"/>
      </c:lineChart>
      <c:catAx>
        <c:axId val="175619136"/>
        <c:scaling>
          <c:orientation val="minMax"/>
        </c:scaling>
        <c:delete val="0"/>
        <c:axPos val="b"/>
        <c:title>
          <c:tx>
            <c:rich>
              <a:bodyPr/>
              <a:lstStyle/>
              <a:p>
                <a:pPr algn="ctr" rtl="0">
                  <a:defRPr/>
                </a:pPr>
                <a:r>
                  <a:rPr lang="en-US"/>
                  <a:t>Change in DALYs averted </a:t>
                </a:r>
              </a:p>
              <a:p>
                <a:pPr algn="ctr" rtl="0">
                  <a:defRPr/>
                </a:pPr>
                <a:r>
                  <a:rPr lang="en-US"/>
                  <a:t> (% change in parenthesis)</a:t>
                </a:r>
              </a:p>
            </c:rich>
          </c:tx>
          <c:layout>
            <c:manualLayout>
              <c:xMode val="edge"/>
              <c:yMode val="edge"/>
              <c:x val="0.34579950263839987"/>
              <c:y val="0.8826404884928265"/>
            </c:manualLayout>
          </c:layout>
          <c:overlay val="0"/>
        </c:title>
        <c:numFmt formatCode="General" sourceLinked="1"/>
        <c:majorTickMark val="cross"/>
        <c:minorTickMark val="none"/>
        <c:tickLblPos val="nextTo"/>
        <c:spPr>
          <a:ln/>
        </c:spPr>
        <c:txPr>
          <a:bodyPr rot="-2400000"/>
          <a:lstStyle/>
          <a:p>
            <a:pPr algn="ctr">
              <a:defRPr/>
            </a:pPr>
            <a:endParaRPr lang="en-US"/>
          </a:p>
        </c:txPr>
        <c:crossAx val="175619696"/>
        <c:crosses val="autoZero"/>
        <c:auto val="1"/>
        <c:lblAlgn val="ctr"/>
        <c:lblOffset val="100"/>
        <c:noMultiLvlLbl val="0"/>
      </c:catAx>
      <c:valAx>
        <c:axId val="175619696"/>
        <c:scaling>
          <c:orientation val="minMax"/>
        </c:scaling>
        <c:delete val="0"/>
        <c:axPos val="l"/>
        <c:majorGridlines/>
        <c:title>
          <c:tx>
            <c:rich>
              <a:bodyPr/>
              <a:lstStyle/>
              <a:p>
                <a:pPr>
                  <a:defRPr/>
                </a:pPr>
                <a:r>
                  <a:rPr lang="en-US"/>
                  <a:t>ICER </a:t>
                </a:r>
              </a:p>
            </c:rich>
          </c:tx>
          <c:layout>
            <c:manualLayout>
              <c:xMode val="edge"/>
              <c:yMode val="edge"/>
              <c:x val="6.119225820024274E-3"/>
              <c:y val="0.4446543222251344"/>
            </c:manualLayout>
          </c:layout>
          <c:overlay val="0"/>
        </c:title>
        <c:numFmt formatCode="&quot;$&quot;#,##0" sourceLinked="0"/>
        <c:majorTickMark val="none"/>
        <c:minorTickMark val="none"/>
        <c:tickLblPos val="nextTo"/>
        <c:txPr>
          <a:bodyPr/>
          <a:lstStyle/>
          <a:p>
            <a:pPr algn="ctr">
              <a:defRPr/>
            </a:pPr>
            <a:endParaRPr lang="en-US"/>
          </a:p>
        </c:txPr>
        <c:crossAx val="175619136"/>
        <c:crosses val="autoZero"/>
        <c:crossBetween val="between"/>
      </c:valAx>
    </c:plotArea>
    <c:legend>
      <c:legendPos val="r"/>
      <c:layout>
        <c:manualLayout>
          <c:xMode val="edge"/>
          <c:yMode val="edge"/>
          <c:x val="0.81912140790093535"/>
          <c:y val="0.24793609929636198"/>
          <c:w val="0.15002927518675549"/>
          <c:h val="0.48758642175152939"/>
        </c:manualLayout>
      </c:layout>
      <c:overlay val="0"/>
    </c:legend>
    <c:plotVisOnly val="1"/>
    <c:dispBlanksAs val="gap"/>
    <c:showDLblsOverMax val="0"/>
  </c:chart>
  <c:txPr>
    <a:bodyPr/>
    <a:lstStyle/>
    <a:p>
      <a:pPr>
        <a:defRPr sz="900"/>
      </a:pPr>
      <a:endParaRPr lang="en-US"/>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rtl="0">
              <a:defRPr/>
            </a:pPr>
            <a:r>
              <a:rPr lang="en-US"/>
              <a:t>b) ICER per Deaths Averted</a:t>
            </a:r>
          </a:p>
        </c:rich>
      </c:tx>
      <c:layout>
        <c:manualLayout>
          <c:xMode val="edge"/>
          <c:yMode val="edge"/>
          <c:x val="7.0988458800027146E-2"/>
          <c:y val="6.8768668642205238E-2"/>
        </c:manualLayout>
      </c:layout>
      <c:overlay val="0"/>
    </c:title>
    <c:autoTitleDeleted val="0"/>
    <c:plotArea>
      <c:layout>
        <c:manualLayout>
          <c:layoutTarget val="inner"/>
          <c:xMode val="edge"/>
          <c:yMode val="edge"/>
          <c:x val="0.16916999088977014"/>
          <c:y val="0.24996319033538811"/>
          <c:w val="0.70816292891925847"/>
          <c:h val="0.47447471709077604"/>
        </c:manualLayout>
      </c:layout>
      <c:lineChart>
        <c:grouping val="standard"/>
        <c:varyColors val="0"/>
        <c:ser>
          <c:idx val="2"/>
          <c:order val="0"/>
          <c:tx>
            <c:strRef>
              <c:f>MonthlyPrgrmCostInfAdjst!$DM$7</c:f>
              <c:strCache>
                <c:ptCount val="1"/>
                <c:pt idx="0">
                  <c:v>ICER (per death averted)</c:v>
                </c:pt>
              </c:strCache>
            </c:strRef>
          </c:tx>
          <c:spPr>
            <a:ln>
              <a:solidFill>
                <a:srgbClr val="C00000"/>
              </a:solidFill>
            </a:ln>
          </c:spPr>
          <c:marker>
            <c:spPr>
              <a:solidFill>
                <a:srgbClr val="C00000"/>
              </a:solidFill>
              <a:ln>
                <a:solidFill>
                  <a:srgbClr val="C00000"/>
                </a:solidFill>
              </a:ln>
            </c:spPr>
          </c:marker>
          <c:cat>
            <c:strRef>
              <c:f>MonthlyPrgrmCostInfAdjst!$DS$12:$DS$23</c:f>
              <c:strCache>
                <c:ptCount val="12"/>
                <c:pt idx="0">
                  <c:v>12 (-87%)</c:v>
                </c:pt>
                <c:pt idx="1">
                  <c:v>22 (-76%)</c:v>
                </c:pt>
                <c:pt idx="2">
                  <c:v>32 (-65%)</c:v>
                </c:pt>
                <c:pt idx="3">
                  <c:v>42 (-54%)</c:v>
                </c:pt>
                <c:pt idx="4">
                  <c:v>52 (-43%)</c:v>
                </c:pt>
                <c:pt idx="5">
                  <c:v>62 (-33%)</c:v>
                </c:pt>
                <c:pt idx="6">
                  <c:v>72 (-22%)</c:v>
                </c:pt>
                <c:pt idx="7">
                  <c:v>82 (-11%)</c:v>
                </c:pt>
                <c:pt idx="8">
                  <c:v>92 (00%)</c:v>
                </c:pt>
                <c:pt idx="9">
                  <c:v>102 (11%)</c:v>
                </c:pt>
                <c:pt idx="10">
                  <c:v>112 (22%)</c:v>
                </c:pt>
                <c:pt idx="11">
                  <c:v>122 (33%)</c:v>
                </c:pt>
              </c:strCache>
            </c:strRef>
          </c:cat>
          <c:val>
            <c:numRef>
              <c:f>MonthlyPrgrmCostInfAdjst!$DM$12:$DM$23</c:f>
              <c:numCache>
                <c:formatCode>"$"#,##0</c:formatCode>
                <c:ptCount val="12"/>
                <c:pt idx="0">
                  <c:v>130692.89684689049</c:v>
                </c:pt>
                <c:pt idx="1">
                  <c:v>71986.178292003024</c:v>
                </c:pt>
                <c:pt idx="2">
                  <c:v>49673.185206638496</c:v>
                </c:pt>
                <c:pt idx="3">
                  <c:v>37919.556602540608</c:v>
                </c:pt>
                <c:pt idx="4">
                  <c:v>30663.89156818666</c:v>
                </c:pt>
                <c:pt idx="5">
                  <c:v>25738.914605000984</c:v>
                </c:pt>
                <c:pt idx="6">
                  <c:v>22177.026668741124</c:v>
                </c:pt>
                <c:pt idx="7">
                  <c:v>19481.124956074145</c:v>
                </c:pt>
                <c:pt idx="8">
                  <c:v>17369.624559803291</c:v>
                </c:pt>
                <c:pt idx="9">
                  <c:v>15671.083111386157</c:v>
                </c:pt>
                <c:pt idx="10">
                  <c:v>14275.144760796808</c:v>
                </c:pt>
                <c:pt idx="11">
                  <c:v>13107.558367575954</c:v>
                </c:pt>
              </c:numCache>
            </c:numRef>
          </c:val>
          <c:smooth val="0"/>
          <c:extLst>
            <c:ext xmlns:c16="http://schemas.microsoft.com/office/drawing/2014/chart" uri="{C3380CC4-5D6E-409C-BE32-E72D297353CC}">
              <c16:uniqueId val="{00000000-996E-4070-8DD6-A13AFDDF4545}"/>
            </c:ext>
          </c:extLst>
        </c:ser>
        <c:dLbls>
          <c:showLegendKey val="0"/>
          <c:showVal val="0"/>
          <c:showCatName val="0"/>
          <c:showSerName val="0"/>
          <c:showPercent val="0"/>
          <c:showBubbleSize val="0"/>
        </c:dLbls>
        <c:marker val="1"/>
        <c:smooth val="0"/>
        <c:axId val="175619136"/>
        <c:axId val="175619696"/>
      </c:lineChart>
      <c:catAx>
        <c:axId val="175619136"/>
        <c:scaling>
          <c:orientation val="minMax"/>
        </c:scaling>
        <c:delete val="0"/>
        <c:axPos val="b"/>
        <c:title>
          <c:tx>
            <c:rich>
              <a:bodyPr/>
              <a:lstStyle/>
              <a:p>
                <a:pPr algn="ctr" rtl="0">
                  <a:defRPr/>
                </a:pPr>
                <a:r>
                  <a:rPr lang="en-US"/>
                  <a:t>Change in drowning deaths averted</a:t>
                </a:r>
              </a:p>
              <a:p>
                <a:pPr algn="ctr" rtl="0">
                  <a:defRPr/>
                </a:pPr>
                <a:r>
                  <a:rPr lang="en-US"/>
                  <a:t> (% change in parenthesis)</a:t>
                </a:r>
              </a:p>
            </c:rich>
          </c:tx>
          <c:layout>
            <c:manualLayout>
              <c:xMode val="edge"/>
              <c:yMode val="edge"/>
              <c:x val="0.31634174382972674"/>
              <c:y val="0.8826479626460918"/>
            </c:manualLayout>
          </c:layout>
          <c:overlay val="0"/>
        </c:title>
        <c:numFmt formatCode="General" sourceLinked="1"/>
        <c:majorTickMark val="cross"/>
        <c:minorTickMark val="none"/>
        <c:tickLblPos val="nextTo"/>
        <c:spPr>
          <a:ln/>
        </c:spPr>
        <c:txPr>
          <a:bodyPr rot="-2400000"/>
          <a:lstStyle/>
          <a:p>
            <a:pPr algn="ctr">
              <a:defRPr/>
            </a:pPr>
            <a:endParaRPr lang="en-US"/>
          </a:p>
        </c:txPr>
        <c:crossAx val="175619696"/>
        <c:crosses val="autoZero"/>
        <c:auto val="1"/>
        <c:lblAlgn val="ctr"/>
        <c:lblOffset val="100"/>
        <c:noMultiLvlLbl val="0"/>
      </c:catAx>
      <c:valAx>
        <c:axId val="175619696"/>
        <c:scaling>
          <c:orientation val="minMax"/>
        </c:scaling>
        <c:delete val="0"/>
        <c:axPos val="l"/>
        <c:majorGridlines/>
        <c:title>
          <c:tx>
            <c:rich>
              <a:bodyPr/>
              <a:lstStyle/>
              <a:p>
                <a:pPr>
                  <a:defRPr/>
                </a:pPr>
                <a:r>
                  <a:rPr lang="en-US"/>
                  <a:t>ICER </a:t>
                </a:r>
              </a:p>
            </c:rich>
          </c:tx>
          <c:layout>
            <c:manualLayout>
              <c:xMode val="edge"/>
              <c:yMode val="edge"/>
              <c:x val="6.119225820024274E-3"/>
              <c:y val="0.4446543222251344"/>
            </c:manualLayout>
          </c:layout>
          <c:overlay val="0"/>
        </c:title>
        <c:numFmt formatCode="&quot;$&quot;#,##0" sourceLinked="0"/>
        <c:majorTickMark val="none"/>
        <c:minorTickMark val="none"/>
        <c:tickLblPos val="nextTo"/>
        <c:txPr>
          <a:bodyPr/>
          <a:lstStyle/>
          <a:p>
            <a:pPr algn="ctr">
              <a:defRPr/>
            </a:pPr>
            <a:endParaRPr lang="en-US"/>
          </a:p>
        </c:txPr>
        <c:crossAx val="175619136"/>
        <c:crosses val="autoZero"/>
        <c:crossBetween val="between"/>
      </c:valAx>
    </c:plotArea>
    <c:legend>
      <c:legendPos val="r"/>
      <c:layout>
        <c:manualLayout>
          <c:xMode val="edge"/>
          <c:yMode val="edge"/>
          <c:x val="0.4784516652417668"/>
          <c:y val="0.36273001543564787"/>
          <c:w val="0.34336170944991296"/>
          <c:h val="9.2001498044584573E-2"/>
        </c:manualLayout>
      </c:layout>
      <c:overlay val="0"/>
    </c:legend>
    <c:plotVisOnly val="1"/>
    <c:dispBlanksAs val="gap"/>
    <c:showDLblsOverMax val="0"/>
  </c:chart>
  <c:txPr>
    <a:bodyPr/>
    <a:lstStyle/>
    <a:p>
      <a:pPr>
        <a:defRPr sz="900"/>
      </a:pPr>
      <a:endParaRPr lang="en-US"/>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pPr>
            <a:r>
              <a:rPr lang="en-US"/>
              <a:t>Mean of ICER (per Live Saved)</a:t>
            </a:r>
            <a:r>
              <a:rPr lang="en-US" baseline="0"/>
              <a:t> from the </a:t>
            </a:r>
            <a:r>
              <a:rPr lang="en-US" sz="1200" b="1" i="0" u="none" strike="noStrike" kern="1200" baseline="0">
                <a:solidFill>
                  <a:sysClr val="windowText" lastClr="000000"/>
                </a:solidFill>
                <a:latin typeface="+mn-lt"/>
                <a:ea typeface="+mn-ea"/>
                <a:cs typeface="+mn-cs"/>
              </a:rPr>
              <a:t>Societal Perspective (Parents Time Valued) vs. Percentage Change of Inputs</a:t>
            </a:r>
          </a:p>
        </c:rich>
      </c:tx>
      <c:layout>
        <c:manualLayout>
          <c:xMode val="edge"/>
          <c:yMode val="edge"/>
          <c:x val="0.12330367466794442"/>
          <c:y val="1.8866723927091253E-2"/>
        </c:manualLayout>
      </c:layout>
      <c:overlay val="0"/>
    </c:title>
    <c:autoTitleDeleted val="0"/>
    <c:plotArea>
      <c:layout>
        <c:manualLayout>
          <c:layoutTarget val="inner"/>
          <c:xMode val="edge"/>
          <c:yMode val="edge"/>
          <c:x val="0.18670761191608409"/>
          <c:y val="0.17000255570835718"/>
          <c:w val="0.51044105701649312"/>
          <c:h val="0.65733208387591424"/>
        </c:manualLayout>
      </c:layout>
      <c:scatterChart>
        <c:scatterStyle val="lineMarker"/>
        <c:varyColors val="0"/>
        <c:ser>
          <c:idx val="1"/>
          <c:order val="0"/>
          <c:tx>
            <c:v>Min. Wage ($78.50)</c:v>
          </c:tx>
          <c:spPr>
            <a:ln>
              <a:prstDash val="sysDot"/>
            </a:ln>
          </c:spPr>
          <c:marker>
            <c:symbol val="none"/>
          </c:marker>
          <c:xVal>
            <c:numRef>
              <c:f>'Societal Percent Change Graph'!$D$670:$D$680</c:f>
              <c:numCache>
                <c:formatCode>General</c:formatCode>
                <c:ptCount val="11"/>
                <c:pt idx="0">
                  <c:v>-1</c:v>
                </c:pt>
                <c:pt idx="1">
                  <c:v>-0.8</c:v>
                </c:pt>
                <c:pt idx="2">
                  <c:v>-0.60000000000000009</c:v>
                </c:pt>
                <c:pt idx="3">
                  <c:v>-0.40000000000000019</c:v>
                </c:pt>
                <c:pt idx="4">
                  <c:v>-0.20000000000000021</c:v>
                </c:pt>
                <c:pt idx="5">
                  <c:v>-2.9051426676223754E-16</c:v>
                </c:pt>
                <c:pt idx="6">
                  <c:v>0.19999999999999554</c:v>
                </c:pt>
                <c:pt idx="7">
                  <c:v>0.40000000000000158</c:v>
                </c:pt>
                <c:pt idx="8">
                  <c:v>0.59999999999999754</c:v>
                </c:pt>
                <c:pt idx="9">
                  <c:v>0.80000000000000338</c:v>
                </c:pt>
                <c:pt idx="10">
                  <c:v>0.99999999999999944</c:v>
                </c:pt>
              </c:numCache>
            </c:numRef>
          </c:xVal>
          <c:yVal>
            <c:numRef>
              <c:f>'Societal Percent Change Graph'!$E$670:$E$680</c:f>
              <c:numCache>
                <c:formatCode>General</c:formatCode>
                <c:ptCount val="11"/>
                <c:pt idx="0">
                  <c:v>#N/A</c:v>
                </c:pt>
                <c:pt idx="1">
                  <c:v>55610.128504559805</c:v>
                </c:pt>
                <c:pt idx="2">
                  <c:v>-1447.9170123369704</c:v>
                </c:pt>
                <c:pt idx="3">
                  <c:v>-58505.962529233846</c:v>
                </c:pt>
                <c:pt idx="4">
                  <c:v>-115564.00804613061</c:v>
                </c:pt>
                <c:pt idx="5">
                  <c:v>-172622.05356302758</c:v>
                </c:pt>
                <c:pt idx="6">
                  <c:v>-229680.09907992318</c:v>
                </c:pt>
                <c:pt idx="7">
                  <c:v>-286738.14459682198</c:v>
                </c:pt>
                <c:pt idx="8">
                  <c:v>-343796.19011371752</c:v>
                </c:pt>
                <c:pt idx="9">
                  <c:v>-400854.23563061625</c:v>
                </c:pt>
                <c:pt idx="10">
                  <c:v>-457912.28114751168</c:v>
                </c:pt>
              </c:numCache>
            </c:numRef>
          </c:yVal>
          <c:smooth val="0"/>
          <c:extLst>
            <c:ext xmlns:c16="http://schemas.microsoft.com/office/drawing/2014/chart" uri="{C3380CC4-5D6E-409C-BE32-E72D297353CC}">
              <c16:uniqueId val="{00000000-50D2-42EE-98E5-EA33C88531F8}"/>
            </c:ext>
          </c:extLst>
        </c:ser>
        <c:ser>
          <c:idx val="3"/>
          <c:order val="1"/>
          <c:tx>
            <c:v>Savings - Parents Time (-$5,548)</c:v>
          </c:tx>
          <c:spPr>
            <a:ln w="12700" cap="rnd" cmpd="sng" algn="ctr">
              <a:solidFill>
                <a:srgbClr val="800080">
                  <a:alpha val="90000"/>
                </a:srgbClr>
              </a:solidFill>
              <a:prstDash val="dash"/>
              <a:round/>
              <a:headEnd type="none" w="med" len="med"/>
              <a:tailEnd type="none" w="med" len="med"/>
            </a:ln>
          </c:spPr>
          <c:marker>
            <c:symbol val="none"/>
          </c:marker>
          <c:xVal>
            <c:numRef>
              <c:f>'Societal Percent Change Graph'!$H$670:$H$680</c:f>
              <c:numCache>
                <c:formatCode>General</c:formatCode>
                <c:ptCount val="11"/>
                <c:pt idx="0">
                  <c:v>-1</c:v>
                </c:pt>
                <c:pt idx="1">
                  <c:v>-0.8</c:v>
                </c:pt>
                <c:pt idx="2">
                  <c:v>-0.6</c:v>
                </c:pt>
                <c:pt idx="3">
                  <c:v>-0.39999999999999997</c:v>
                </c:pt>
                <c:pt idx="4">
                  <c:v>-0.20000000000000004</c:v>
                </c:pt>
                <c:pt idx="5">
                  <c:v>0</c:v>
                </c:pt>
                <c:pt idx="6">
                  <c:v>0.20000000000000004</c:v>
                </c:pt>
                <c:pt idx="7">
                  <c:v>0.40000000000000008</c:v>
                </c:pt>
                <c:pt idx="8">
                  <c:v>0.6</c:v>
                </c:pt>
                <c:pt idx="9">
                  <c:v>0.80000000000000016</c:v>
                </c:pt>
                <c:pt idx="10">
                  <c:v>1</c:v>
                </c:pt>
              </c:numCache>
            </c:numRef>
          </c:xVal>
          <c:yVal>
            <c:numRef>
              <c:f>'Societal Percent Change Graph'!$I$670:$I$680</c:f>
              <c:numCache>
                <c:formatCode>General</c:formatCode>
                <c:ptCount val="11"/>
                <c:pt idx="0">
                  <c:v>95637.25793253856</c:v>
                </c:pt>
                <c:pt idx="1">
                  <c:v>41994.827798433696</c:v>
                </c:pt>
                <c:pt idx="2">
                  <c:v>-11647.602335671132</c:v>
                </c:pt>
                <c:pt idx="3">
                  <c:v>-65290.032469776015</c:v>
                </c:pt>
                <c:pt idx="4">
                  <c:v>-118932.46260388083</c:v>
                </c:pt>
                <c:pt idx="5">
                  <c:v>-172574.89273798582</c:v>
                </c:pt>
                <c:pt idx="6">
                  <c:v>-226217.32287209056</c:v>
                </c:pt>
                <c:pt idx="7">
                  <c:v>-279859.75300619542</c:v>
                </c:pt>
                <c:pt idx="8">
                  <c:v>-333502.18314030033</c:v>
                </c:pt>
                <c:pt idx="9">
                  <c:v>-387144.61327440495</c:v>
                </c:pt>
                <c:pt idx="10">
                  <c:v>-440787.04340850998</c:v>
                </c:pt>
              </c:numCache>
            </c:numRef>
          </c:yVal>
          <c:smooth val="0"/>
          <c:extLst>
            <c:ext xmlns:c16="http://schemas.microsoft.com/office/drawing/2014/chart" uri="{C3380CC4-5D6E-409C-BE32-E72D297353CC}">
              <c16:uniqueId val="{00000001-50D2-42EE-98E5-EA33C88531F8}"/>
            </c:ext>
          </c:extLst>
        </c:ser>
        <c:ser>
          <c:idx val="0"/>
          <c:order val="2"/>
          <c:tx>
            <c:v>Lives Saved (92.3)</c:v>
          </c:tx>
          <c:spPr>
            <a:ln w="12700" cap="rnd" cmpd="sng" algn="ctr">
              <a:solidFill>
                <a:srgbClr val="DC143C">
                  <a:alpha val="90000"/>
                </a:srgbClr>
              </a:solidFill>
              <a:prstDash val="dashDot"/>
              <a:round/>
              <a:headEnd type="none" w="med" len="med"/>
              <a:tailEnd type="none" w="med" len="med"/>
            </a:ln>
          </c:spPr>
          <c:marker>
            <c:symbol val="none"/>
          </c:marker>
          <c:xVal>
            <c:numRef>
              <c:f>'Societal Percent Change Graph'!$B$670:$B$680</c:f>
              <c:numCache>
                <c:formatCode>General</c:formatCode>
                <c:ptCount val="11"/>
                <c:pt idx="0">
                  <c:v>-1</c:v>
                </c:pt>
                <c:pt idx="1">
                  <c:v>-0.7999999999999996</c:v>
                </c:pt>
                <c:pt idx="2">
                  <c:v>-0.60000000000000031</c:v>
                </c:pt>
                <c:pt idx="3">
                  <c:v>-0.39999999999999986</c:v>
                </c:pt>
                <c:pt idx="4">
                  <c:v>-0.19999999999999937</c:v>
                </c:pt>
                <c:pt idx="5">
                  <c:v>-1.5402710411346072E-16</c:v>
                </c:pt>
                <c:pt idx="6">
                  <c:v>0.19999999999999599</c:v>
                </c:pt>
                <c:pt idx="7">
                  <c:v>0.39999999999999536</c:v>
                </c:pt>
                <c:pt idx="8">
                  <c:v>0.60000000000000553</c:v>
                </c:pt>
                <c:pt idx="9">
                  <c:v>0.8000000000000046</c:v>
                </c:pt>
                <c:pt idx="10">
                  <c:v>1.000000000000004</c:v>
                </c:pt>
              </c:numCache>
            </c:numRef>
          </c:xVal>
          <c:yVal>
            <c:numRef>
              <c:f>'Societal Percent Change Graph'!$C$670:$C$680</c:f>
              <c:numCache>
                <c:formatCode>General</c:formatCode>
                <c:ptCount val="11"/>
                <c:pt idx="0">
                  <c:v>#N/A</c:v>
                </c:pt>
                <c:pt idx="1">
                  <c:v>-865144.23565047479</c:v>
                </c:pt>
                <c:pt idx="2">
                  <c:v>-432572.11782523833</c:v>
                </c:pt>
                <c:pt idx="3">
                  <c:v>-288381.41188349132</c:v>
                </c:pt>
                <c:pt idx="4">
                  <c:v>-216286.05891261899</c:v>
                </c:pt>
                <c:pt idx="5">
                  <c:v>-173028.84713009477</c:v>
                </c:pt>
                <c:pt idx="6">
                  <c:v>-144190.70594174633</c:v>
                </c:pt>
                <c:pt idx="7">
                  <c:v>-123592.03366435424</c:v>
                </c:pt>
                <c:pt idx="8">
                  <c:v>-108143.02945630922</c:v>
                </c:pt>
                <c:pt idx="9">
                  <c:v>-96127.137294497137</c:v>
                </c:pt>
                <c:pt idx="10">
                  <c:v>-86514.423565047182</c:v>
                </c:pt>
              </c:numCache>
            </c:numRef>
          </c:yVal>
          <c:smooth val="0"/>
          <c:extLst>
            <c:ext xmlns:c16="http://schemas.microsoft.com/office/drawing/2014/chart" uri="{C3380CC4-5D6E-409C-BE32-E72D297353CC}">
              <c16:uniqueId val="{00000002-50D2-42EE-98E5-EA33C88531F8}"/>
            </c:ext>
          </c:extLst>
        </c:ser>
        <c:ser>
          <c:idx val="7"/>
          <c:order val="3"/>
          <c:tx>
            <c:v>Cost - Wages - Non-Admin. ($540,612)</c:v>
          </c:tx>
          <c:spPr>
            <a:ln w="12700" cap="rnd" cmpd="sng" algn="ctr">
              <a:solidFill>
                <a:srgbClr val="808080">
                  <a:alpha val="90000"/>
                </a:srgbClr>
              </a:solidFill>
              <a:prstDash val="lgDash"/>
              <a:round/>
              <a:headEnd type="none" w="med" len="med"/>
              <a:tailEnd type="none" w="med" len="med"/>
            </a:ln>
          </c:spPr>
          <c:marker>
            <c:symbol val="none"/>
          </c:marker>
          <c:xVal>
            <c:numRef>
              <c:f>'Societal Percent Change Graph'!$P$670:$P$680</c:f>
              <c:numCache>
                <c:formatCode>General</c:formatCode>
                <c:ptCount val="11"/>
                <c:pt idx="0">
                  <c:v>-1</c:v>
                </c:pt>
                <c:pt idx="1">
                  <c:v>-0.8</c:v>
                </c:pt>
                <c:pt idx="2">
                  <c:v>-0.6</c:v>
                </c:pt>
                <c:pt idx="3">
                  <c:v>-0.4</c:v>
                </c:pt>
                <c:pt idx="4">
                  <c:v>-0.19999999999999996</c:v>
                </c:pt>
                <c:pt idx="5">
                  <c:v>0</c:v>
                </c:pt>
                <c:pt idx="6">
                  <c:v>0.19999999999999996</c:v>
                </c:pt>
                <c:pt idx="7">
                  <c:v>0.39999999999999991</c:v>
                </c:pt>
                <c:pt idx="8">
                  <c:v>0.60000000000000009</c:v>
                </c:pt>
                <c:pt idx="9">
                  <c:v>0.79999999999999982</c:v>
                </c:pt>
                <c:pt idx="10">
                  <c:v>1</c:v>
                </c:pt>
              </c:numCache>
            </c:numRef>
          </c:xVal>
          <c:yVal>
            <c:numRef>
              <c:f>'Societal Percent Change Graph'!$Q$670:$Q$680</c:f>
              <c:numCache>
                <c:formatCode>General</c:formatCode>
                <c:ptCount val="11"/>
                <c:pt idx="0">
                  <c:v>-185099.04351957346</c:v>
                </c:pt>
                <c:pt idx="1">
                  <c:v>-182733.83895626783</c:v>
                </c:pt>
                <c:pt idx="2">
                  <c:v>-180368.63439296206</c:v>
                </c:pt>
                <c:pt idx="3">
                  <c:v>-178003.42982965615</c:v>
                </c:pt>
                <c:pt idx="4">
                  <c:v>-175638.22526635014</c:v>
                </c:pt>
                <c:pt idx="5">
                  <c:v>-173273.02070304428</c:v>
                </c:pt>
                <c:pt idx="6">
                  <c:v>-170907.81613973845</c:v>
                </c:pt>
                <c:pt idx="7">
                  <c:v>-168542.61157643242</c:v>
                </c:pt>
                <c:pt idx="8">
                  <c:v>-166177.40701312677</c:v>
                </c:pt>
                <c:pt idx="9">
                  <c:v>-163812.20244982099</c:v>
                </c:pt>
                <c:pt idx="10">
                  <c:v>-161446.99788651493</c:v>
                </c:pt>
              </c:numCache>
            </c:numRef>
          </c:yVal>
          <c:smooth val="0"/>
          <c:extLst>
            <c:ext xmlns:c16="http://schemas.microsoft.com/office/drawing/2014/chart" uri="{C3380CC4-5D6E-409C-BE32-E72D297353CC}">
              <c16:uniqueId val="{00000003-50D2-42EE-98E5-EA33C88531F8}"/>
            </c:ext>
          </c:extLst>
        </c:ser>
        <c:ser>
          <c:idx val="2"/>
          <c:order val="4"/>
          <c:tx>
            <c:v>VIPC &amp; UIPC Person-Months (84)</c:v>
          </c:tx>
          <c:spPr>
            <a:ln w="12700" cap="rnd" cmpd="sng" algn="ctr">
              <a:solidFill>
                <a:srgbClr val="008000">
                  <a:alpha val="90000"/>
                </a:srgbClr>
              </a:solidFill>
              <a:prstDash val="solid"/>
              <a:round/>
              <a:headEnd type="none" w="med" len="med"/>
              <a:tailEnd type="none" w="med" len="med"/>
            </a:ln>
          </c:spPr>
          <c:marker>
            <c:symbol val="none"/>
          </c:marker>
          <c:xVal>
            <c:numRef>
              <c:f>'Societal Percent Change Graph'!$F$670:$F$680</c:f>
              <c:numCache>
                <c:formatCode>General</c:formatCode>
                <c:ptCount val="11"/>
                <c:pt idx="0">
                  <c:v>-1</c:v>
                </c:pt>
                <c:pt idx="1">
                  <c:v>-0.7999999999999996</c:v>
                </c:pt>
                <c:pt idx="2">
                  <c:v>-0.60000000000000031</c:v>
                </c:pt>
                <c:pt idx="3">
                  <c:v>-0.39999999999999991</c:v>
                </c:pt>
                <c:pt idx="4">
                  <c:v>-0.20000000000000051</c:v>
                </c:pt>
                <c:pt idx="5">
                  <c:v>-1.5097312727513623E-16</c:v>
                </c:pt>
                <c:pt idx="6">
                  <c:v>0.19999999999999599</c:v>
                </c:pt>
                <c:pt idx="7">
                  <c:v>0.40000000000000074</c:v>
                </c:pt>
                <c:pt idx="8">
                  <c:v>0.59999999999999476</c:v>
                </c:pt>
                <c:pt idx="9">
                  <c:v>0.79999999999999938</c:v>
                </c:pt>
                <c:pt idx="10">
                  <c:v>1.000000000000004</c:v>
                </c:pt>
              </c:numCache>
            </c:numRef>
          </c:xVal>
          <c:yVal>
            <c:numRef>
              <c:f>'Societal Percent Change Graph'!$G$670:$G$680</c:f>
              <c:numCache>
                <c:formatCode>General</c:formatCode>
                <c:ptCount val="11"/>
                <c:pt idx="0">
                  <c:v>-175919.12559929048</c:v>
                </c:pt>
                <c:pt idx="1">
                  <c:v>-175388.31548979128</c:v>
                </c:pt>
                <c:pt idx="2">
                  <c:v>-174857.50538029228</c:v>
                </c:pt>
                <c:pt idx="3">
                  <c:v>-174326.69527079299</c:v>
                </c:pt>
                <c:pt idx="4">
                  <c:v>-173795.88516129431</c:v>
                </c:pt>
                <c:pt idx="5">
                  <c:v>-173265.07505179531</c:v>
                </c:pt>
                <c:pt idx="6">
                  <c:v>-172734.26494229623</c:v>
                </c:pt>
                <c:pt idx="7">
                  <c:v>-172203.45483279708</c:v>
                </c:pt>
                <c:pt idx="8">
                  <c:v>-171672.64472329835</c:v>
                </c:pt>
                <c:pt idx="9">
                  <c:v>-171141.83461379932</c:v>
                </c:pt>
                <c:pt idx="10">
                  <c:v>-170611.02450430018</c:v>
                </c:pt>
              </c:numCache>
            </c:numRef>
          </c:yVal>
          <c:smooth val="0"/>
          <c:extLst>
            <c:ext xmlns:c16="http://schemas.microsoft.com/office/drawing/2014/chart" uri="{C3380CC4-5D6E-409C-BE32-E72D297353CC}">
              <c16:uniqueId val="{00000004-50D2-42EE-98E5-EA33C88531F8}"/>
            </c:ext>
          </c:extLst>
        </c:ser>
        <c:ser>
          <c:idx val="11"/>
          <c:order val="5"/>
          <c:tx>
            <c:v>Cost - Admin. ($40,448)</c:v>
          </c:tx>
          <c:spPr>
            <a:ln w="12700" cap="rnd" cmpd="sng" algn="ctr">
              <a:solidFill>
                <a:srgbClr val="0000FF">
                  <a:alpha val="90000"/>
                </a:srgbClr>
              </a:solidFill>
              <a:prstDash val="solid"/>
              <a:round/>
              <a:headEnd type="none" w="med" len="med"/>
              <a:tailEnd type="none" w="med" len="med"/>
            </a:ln>
          </c:spPr>
          <c:marker>
            <c:symbol val="none"/>
          </c:marker>
          <c:xVal>
            <c:numRef>
              <c:f>'Societal Percent Change Graph'!$X$670:$X$680</c:f>
              <c:numCache>
                <c:formatCode>General</c:formatCode>
                <c:ptCount val="11"/>
                <c:pt idx="0">
                  <c:v>-1</c:v>
                </c:pt>
                <c:pt idx="1">
                  <c:v>-0.8</c:v>
                </c:pt>
                <c:pt idx="2">
                  <c:v>-0.6</c:v>
                </c:pt>
                <c:pt idx="3">
                  <c:v>-0.4</c:v>
                </c:pt>
                <c:pt idx="4">
                  <c:v>-0.19999999999999996</c:v>
                </c:pt>
                <c:pt idx="5">
                  <c:v>0</c:v>
                </c:pt>
                <c:pt idx="6">
                  <c:v>0.19999999999999996</c:v>
                </c:pt>
                <c:pt idx="7">
                  <c:v>0.39999999999999991</c:v>
                </c:pt>
                <c:pt idx="8">
                  <c:v>0.60000000000000009</c:v>
                </c:pt>
                <c:pt idx="9">
                  <c:v>0.79999999999999982</c:v>
                </c:pt>
                <c:pt idx="10">
                  <c:v>1</c:v>
                </c:pt>
              </c:numCache>
            </c:numRef>
          </c:xVal>
          <c:yVal>
            <c:numRef>
              <c:f>'Societal Percent Change Graph'!$Y$670:$Y$680</c:f>
              <c:numCache>
                <c:formatCode>General</c:formatCode>
                <c:ptCount val="11"/>
                <c:pt idx="0">
                  <c:v>-175177.67225543931</c:v>
                </c:pt>
                <c:pt idx="1">
                  <c:v>-174795.26146085901</c:v>
                </c:pt>
                <c:pt idx="2">
                  <c:v>-174412.85066627877</c:v>
                </c:pt>
                <c:pt idx="3">
                  <c:v>-174030.43987169818</c:v>
                </c:pt>
                <c:pt idx="4">
                  <c:v>-173648.02907711806</c:v>
                </c:pt>
                <c:pt idx="5">
                  <c:v>-173265.6182825377</c:v>
                </c:pt>
                <c:pt idx="6">
                  <c:v>-172883.20748795738</c:v>
                </c:pt>
                <c:pt idx="7">
                  <c:v>-172500.79669337691</c:v>
                </c:pt>
                <c:pt idx="8">
                  <c:v>-172118.38589879655</c:v>
                </c:pt>
                <c:pt idx="9">
                  <c:v>-171735.97510421617</c:v>
                </c:pt>
                <c:pt idx="10">
                  <c:v>-171353.56430963619</c:v>
                </c:pt>
              </c:numCache>
            </c:numRef>
          </c:yVal>
          <c:smooth val="0"/>
          <c:extLst>
            <c:ext xmlns:c16="http://schemas.microsoft.com/office/drawing/2014/chart" uri="{C3380CC4-5D6E-409C-BE32-E72D297353CC}">
              <c16:uniqueId val="{00000005-50D2-42EE-98E5-EA33C88531F8}"/>
            </c:ext>
          </c:extLst>
        </c:ser>
        <c:ser>
          <c:idx val="6"/>
          <c:order val="6"/>
          <c:tx>
            <c:v>Cost - Crèche Maintenance ($41,803)</c:v>
          </c:tx>
          <c:spPr>
            <a:ln w="12700" cap="rnd" cmpd="sng" algn="ctr">
              <a:solidFill>
                <a:srgbClr val="FF8C00">
                  <a:alpha val="90000"/>
                </a:srgbClr>
              </a:solidFill>
              <a:prstDash val="solid"/>
              <a:round/>
              <a:headEnd type="none" w="med" len="med"/>
              <a:tailEnd type="none" w="med" len="med"/>
            </a:ln>
          </c:spPr>
          <c:marker>
            <c:symbol val="none"/>
          </c:marker>
          <c:xVal>
            <c:numRef>
              <c:f>'Societal Percent Change Graph'!$N$670:$N$680</c:f>
              <c:numCache>
                <c:formatCode>General</c:formatCode>
                <c:ptCount val="11"/>
                <c:pt idx="0">
                  <c:v>-1</c:v>
                </c:pt>
                <c:pt idx="1">
                  <c:v>-0.8</c:v>
                </c:pt>
                <c:pt idx="2">
                  <c:v>-0.6</c:v>
                </c:pt>
                <c:pt idx="3">
                  <c:v>-0.4</c:v>
                </c:pt>
                <c:pt idx="4">
                  <c:v>-0.2</c:v>
                </c:pt>
                <c:pt idx="5">
                  <c:v>0</c:v>
                </c:pt>
                <c:pt idx="6">
                  <c:v>0.19999999999999993</c:v>
                </c:pt>
                <c:pt idx="7">
                  <c:v>0.4</c:v>
                </c:pt>
                <c:pt idx="8">
                  <c:v>0.6</c:v>
                </c:pt>
                <c:pt idx="9">
                  <c:v>0.8</c:v>
                </c:pt>
                <c:pt idx="10">
                  <c:v>1</c:v>
                </c:pt>
              </c:numCache>
            </c:numRef>
          </c:xVal>
          <c:yVal>
            <c:numRef>
              <c:f>'Societal Percent Change Graph'!$O$670:$O$680</c:f>
              <c:numCache>
                <c:formatCode>General</c:formatCode>
                <c:ptCount val="11"/>
                <c:pt idx="0">
                  <c:v>-174672.97190198954</c:v>
                </c:pt>
                <c:pt idx="1">
                  <c:v>-174391.14705516907</c:v>
                </c:pt>
                <c:pt idx="2">
                  <c:v>-174109.32220834889</c:v>
                </c:pt>
                <c:pt idx="3">
                  <c:v>-173827.49736152848</c:v>
                </c:pt>
                <c:pt idx="4">
                  <c:v>-173545.67251470799</c:v>
                </c:pt>
                <c:pt idx="5">
                  <c:v>-173263.84766788769</c:v>
                </c:pt>
                <c:pt idx="6">
                  <c:v>-172982.02282106731</c:v>
                </c:pt>
                <c:pt idx="7">
                  <c:v>-172700.19797424684</c:v>
                </c:pt>
                <c:pt idx="8">
                  <c:v>-172418.3731274264</c:v>
                </c:pt>
                <c:pt idx="9">
                  <c:v>-172136.5482806059</c:v>
                </c:pt>
                <c:pt idx="10">
                  <c:v>-171854.72343378549</c:v>
                </c:pt>
              </c:numCache>
            </c:numRef>
          </c:yVal>
          <c:smooth val="0"/>
          <c:extLst>
            <c:ext xmlns:c16="http://schemas.microsoft.com/office/drawing/2014/chart" uri="{C3380CC4-5D6E-409C-BE32-E72D297353CC}">
              <c16:uniqueId val="{00000006-50D2-42EE-98E5-EA33C88531F8}"/>
            </c:ext>
          </c:extLst>
        </c:ser>
        <c:ser>
          <c:idx val="9"/>
          <c:order val="7"/>
          <c:tx>
            <c:v>Cost - Transportation ($10,662)</c:v>
          </c:tx>
          <c:spPr>
            <a:ln w="12700" cap="rnd" cmpd="sng" algn="ctr">
              <a:solidFill>
                <a:srgbClr val="5F9EA0">
                  <a:alpha val="90000"/>
                </a:srgbClr>
              </a:solidFill>
              <a:prstDash val="solid"/>
              <a:round/>
              <a:headEnd type="none" w="med" len="med"/>
              <a:tailEnd type="none" w="med" len="med"/>
            </a:ln>
          </c:spPr>
          <c:marker>
            <c:symbol val="none"/>
          </c:marker>
          <c:xVal>
            <c:numRef>
              <c:f>'Societal Percent Change Graph'!$T$670:$T$680</c:f>
              <c:numCache>
                <c:formatCode>General</c:formatCode>
                <c:ptCount val="11"/>
                <c:pt idx="0">
                  <c:v>-1</c:v>
                </c:pt>
                <c:pt idx="1">
                  <c:v>-0.79999999999999938</c:v>
                </c:pt>
                <c:pt idx="2">
                  <c:v>-0.6</c:v>
                </c:pt>
                <c:pt idx="3">
                  <c:v>-0.39999999999999936</c:v>
                </c:pt>
                <c:pt idx="4">
                  <c:v>-0.2</c:v>
                </c:pt>
                <c:pt idx="5">
                  <c:v>5.609054941812531E-16</c:v>
                </c:pt>
                <c:pt idx="6">
                  <c:v>0.2</c:v>
                </c:pt>
                <c:pt idx="7">
                  <c:v>0.40000000000000308</c:v>
                </c:pt>
                <c:pt idx="8">
                  <c:v>0.6</c:v>
                </c:pt>
                <c:pt idx="9">
                  <c:v>0.79999999999999694</c:v>
                </c:pt>
                <c:pt idx="10">
                  <c:v>1.0000000000000062</c:v>
                </c:pt>
              </c:numCache>
            </c:numRef>
          </c:xVal>
          <c:yVal>
            <c:numRef>
              <c:f>'Societal Percent Change Graph'!$U$670:$U$680</c:f>
              <c:numCache>
                <c:formatCode>General</c:formatCode>
                <c:ptCount val="11"/>
                <c:pt idx="0">
                  <c:v>-173526.67649905593</c:v>
                </c:pt>
                <c:pt idx="1">
                  <c:v>-173474.39205977748</c:v>
                </c:pt>
                <c:pt idx="2">
                  <c:v>-173422.10762049913</c:v>
                </c:pt>
                <c:pt idx="3">
                  <c:v>-173369.82318122091</c:v>
                </c:pt>
                <c:pt idx="4">
                  <c:v>-173317.53874194252</c:v>
                </c:pt>
                <c:pt idx="5">
                  <c:v>-173265.25430266405</c:v>
                </c:pt>
                <c:pt idx="6">
                  <c:v>-173212.96986338584</c:v>
                </c:pt>
                <c:pt idx="7">
                  <c:v>-173160.68542410713</c:v>
                </c:pt>
                <c:pt idx="8">
                  <c:v>-173108.40098482883</c:v>
                </c:pt>
                <c:pt idx="9">
                  <c:v>-173056.11654555047</c:v>
                </c:pt>
                <c:pt idx="10">
                  <c:v>-173003.83210627246</c:v>
                </c:pt>
              </c:numCache>
            </c:numRef>
          </c:yVal>
          <c:smooth val="0"/>
          <c:extLst>
            <c:ext xmlns:c16="http://schemas.microsoft.com/office/drawing/2014/chart" uri="{C3380CC4-5D6E-409C-BE32-E72D297353CC}">
              <c16:uniqueId val="{00000007-50D2-42EE-98E5-EA33C88531F8}"/>
            </c:ext>
          </c:extLst>
        </c:ser>
        <c:ser>
          <c:idx val="10"/>
          <c:order val="8"/>
          <c:tx>
            <c:v>Cost - Field Overhead ($7,497)</c:v>
          </c:tx>
          <c:spPr>
            <a:ln w="12700" cap="rnd" cmpd="sng" algn="ctr">
              <a:solidFill>
                <a:srgbClr val="DC143C">
                  <a:alpha val="90000"/>
                </a:srgbClr>
              </a:solidFill>
              <a:prstDash val="solid"/>
              <a:round/>
              <a:headEnd type="none" w="med" len="med"/>
              <a:tailEnd type="none" w="med" len="med"/>
            </a:ln>
          </c:spPr>
          <c:marker>
            <c:symbol val="none"/>
          </c:marker>
          <c:xVal>
            <c:numRef>
              <c:f>'Societal Percent Change Graph'!$V$670:$V$680</c:f>
              <c:numCache>
                <c:formatCode>General</c:formatCode>
                <c:ptCount val="11"/>
                <c:pt idx="0">
                  <c:v>-1</c:v>
                </c:pt>
                <c:pt idx="1">
                  <c:v>-0.80000000000000016</c:v>
                </c:pt>
                <c:pt idx="2">
                  <c:v>-0.59999999999999876</c:v>
                </c:pt>
                <c:pt idx="3">
                  <c:v>-0.40000000000000063</c:v>
                </c:pt>
                <c:pt idx="4">
                  <c:v>-0.19999999999999998</c:v>
                </c:pt>
                <c:pt idx="5">
                  <c:v>5.663137094643202E-16</c:v>
                </c:pt>
                <c:pt idx="6">
                  <c:v>0.19999999999999871</c:v>
                </c:pt>
                <c:pt idx="7">
                  <c:v>0.39999999999999936</c:v>
                </c:pt>
                <c:pt idx="8">
                  <c:v>0.60000000000000009</c:v>
                </c:pt>
                <c:pt idx="9">
                  <c:v>0.80000000000000071</c:v>
                </c:pt>
                <c:pt idx="10">
                  <c:v>1.0000000000000011</c:v>
                </c:pt>
              </c:numCache>
            </c:numRef>
          </c:xVal>
          <c:yVal>
            <c:numRef>
              <c:f>'Societal Percent Change Graph'!$W$670:$W$680</c:f>
              <c:numCache>
                <c:formatCode>General</c:formatCode>
                <c:ptCount val="11"/>
                <c:pt idx="0">
                  <c:v>-173394.84511496671</c:v>
                </c:pt>
                <c:pt idx="1">
                  <c:v>-173368.95254980266</c:v>
                </c:pt>
                <c:pt idx="2">
                  <c:v>-173343.05998463824</c:v>
                </c:pt>
                <c:pt idx="3">
                  <c:v>-173317.1674194739</c:v>
                </c:pt>
                <c:pt idx="4">
                  <c:v>-173291.27485430962</c:v>
                </c:pt>
                <c:pt idx="5">
                  <c:v>-173265.38228914587</c:v>
                </c:pt>
                <c:pt idx="6">
                  <c:v>-173239.48972398142</c:v>
                </c:pt>
                <c:pt idx="7">
                  <c:v>-173213.59715881688</c:v>
                </c:pt>
                <c:pt idx="8">
                  <c:v>-173187.70459365312</c:v>
                </c:pt>
                <c:pt idx="9">
                  <c:v>-173161.81202848881</c:v>
                </c:pt>
                <c:pt idx="10">
                  <c:v>-173135.91946332422</c:v>
                </c:pt>
              </c:numCache>
            </c:numRef>
          </c:yVal>
          <c:smooth val="0"/>
          <c:extLst>
            <c:ext xmlns:c16="http://schemas.microsoft.com/office/drawing/2014/chart" uri="{C3380CC4-5D6E-409C-BE32-E72D297353CC}">
              <c16:uniqueId val="{00000008-50D2-42EE-98E5-EA33C88531F8}"/>
            </c:ext>
          </c:extLst>
        </c:ser>
        <c:ser>
          <c:idx val="5"/>
          <c:order val="9"/>
          <c:tx>
            <c:v>Cost - Trainings ($3,356)</c:v>
          </c:tx>
          <c:spPr>
            <a:ln w="12700" cap="rnd" cmpd="sng" algn="ctr">
              <a:solidFill>
                <a:srgbClr val="FFD700">
                  <a:alpha val="90000"/>
                </a:srgbClr>
              </a:solidFill>
              <a:prstDash val="solid"/>
              <a:round/>
              <a:headEnd type="none" w="med" len="med"/>
              <a:tailEnd type="none" w="med" len="med"/>
            </a:ln>
          </c:spPr>
          <c:marker>
            <c:symbol val="none"/>
          </c:marker>
          <c:xVal>
            <c:numRef>
              <c:f>'Societal Percent Change Graph'!$L$670:$L$680</c:f>
              <c:numCache>
                <c:formatCode>General</c:formatCode>
                <c:ptCount val="11"/>
                <c:pt idx="0">
                  <c:v>-1</c:v>
                </c:pt>
                <c:pt idx="1">
                  <c:v>-0.80000000000000016</c:v>
                </c:pt>
                <c:pt idx="2">
                  <c:v>-0.59999999999999942</c:v>
                </c:pt>
                <c:pt idx="3">
                  <c:v>-0.39999999999999902</c:v>
                </c:pt>
                <c:pt idx="4">
                  <c:v>-0.2000000000000012</c:v>
                </c:pt>
                <c:pt idx="5">
                  <c:v>-9.9420921935222034E-16</c:v>
                </c:pt>
                <c:pt idx="6">
                  <c:v>0.19999999999999934</c:v>
                </c:pt>
                <c:pt idx="7">
                  <c:v>0.39999999999999986</c:v>
                </c:pt>
                <c:pt idx="8">
                  <c:v>0.59999999999999987</c:v>
                </c:pt>
                <c:pt idx="9">
                  <c:v>0.80000000000000027</c:v>
                </c:pt>
                <c:pt idx="10">
                  <c:v>1.0000000000000007</c:v>
                </c:pt>
              </c:numCache>
            </c:numRef>
          </c:xVal>
          <c:yVal>
            <c:numRef>
              <c:f>'Societal Percent Change Graph'!$M$670:$M$680</c:f>
              <c:numCache>
                <c:formatCode>General</c:formatCode>
                <c:ptCount val="11"/>
                <c:pt idx="0">
                  <c:v>-173394.25893520811</c:v>
                </c:pt>
                <c:pt idx="1">
                  <c:v>-173368.44867304672</c:v>
                </c:pt>
                <c:pt idx="2">
                  <c:v>-173342.63841088529</c:v>
                </c:pt>
                <c:pt idx="3">
                  <c:v>-173316.82814872364</c:v>
                </c:pt>
                <c:pt idx="4">
                  <c:v>-173291.01788656178</c:v>
                </c:pt>
                <c:pt idx="5">
                  <c:v>-173265.20762440015</c:v>
                </c:pt>
                <c:pt idx="6">
                  <c:v>-173239.39736223861</c:v>
                </c:pt>
                <c:pt idx="7">
                  <c:v>-173213.58710007695</c:v>
                </c:pt>
                <c:pt idx="8">
                  <c:v>-173187.77683791559</c:v>
                </c:pt>
                <c:pt idx="9">
                  <c:v>-173161.9665757535</c:v>
                </c:pt>
                <c:pt idx="10">
                  <c:v>-173136.1563135921</c:v>
                </c:pt>
              </c:numCache>
            </c:numRef>
          </c:yVal>
          <c:smooth val="0"/>
          <c:extLst>
            <c:ext xmlns:c16="http://schemas.microsoft.com/office/drawing/2014/chart" uri="{C3380CC4-5D6E-409C-BE32-E72D297353CC}">
              <c16:uniqueId val="{00000009-50D2-42EE-98E5-EA33C88531F8}"/>
            </c:ext>
          </c:extLst>
        </c:ser>
        <c:ser>
          <c:idx val="8"/>
          <c:order val="10"/>
          <c:tx>
            <c:v>Cost - Sensitization ($1,959)</c:v>
          </c:tx>
          <c:spPr>
            <a:ln w="12700" cap="rnd" cmpd="sng" algn="ctr">
              <a:solidFill>
                <a:srgbClr val="000000">
                  <a:alpha val="90000"/>
                </a:srgbClr>
              </a:solidFill>
              <a:prstDash val="solid"/>
              <a:round/>
              <a:headEnd type="none" w="med" len="med"/>
              <a:tailEnd type="none" w="med" len="med"/>
            </a:ln>
          </c:spPr>
          <c:marker>
            <c:symbol val="none"/>
          </c:marker>
          <c:xVal>
            <c:numRef>
              <c:f>'Societal Percent Change Graph'!$R$670:$R$680</c:f>
              <c:numCache>
                <c:formatCode>General</c:formatCode>
                <c:ptCount val="11"/>
                <c:pt idx="0">
                  <c:v>-1</c:v>
                </c:pt>
                <c:pt idx="1">
                  <c:v>-0.79999999999999971</c:v>
                </c:pt>
                <c:pt idx="2">
                  <c:v>-0.6000000000000002</c:v>
                </c:pt>
                <c:pt idx="3">
                  <c:v>-0.39999999999999991</c:v>
                </c:pt>
                <c:pt idx="4">
                  <c:v>-0.20000000000000168</c:v>
                </c:pt>
                <c:pt idx="5">
                  <c:v>-2.104442319411376E-15</c:v>
                </c:pt>
                <c:pt idx="6">
                  <c:v>0.19999999999999754</c:v>
                </c:pt>
                <c:pt idx="7">
                  <c:v>0.39999999999999702</c:v>
                </c:pt>
                <c:pt idx="8">
                  <c:v>0.59999999999999665</c:v>
                </c:pt>
                <c:pt idx="9">
                  <c:v>0.80000000000000282</c:v>
                </c:pt>
                <c:pt idx="10">
                  <c:v>1.0000000000000027</c:v>
                </c:pt>
              </c:numCache>
            </c:numRef>
          </c:xVal>
          <c:yVal>
            <c:numRef>
              <c:f>'Societal Percent Change Graph'!$S$670:$S$680</c:f>
              <c:numCache>
                <c:formatCode>General</c:formatCode>
                <c:ptCount val="11"/>
                <c:pt idx="0">
                  <c:v>-173313.19221656205</c:v>
                </c:pt>
                <c:pt idx="1">
                  <c:v>-173303.61150369383</c:v>
                </c:pt>
                <c:pt idx="2">
                  <c:v>-173294.03079082564</c:v>
                </c:pt>
                <c:pt idx="3">
                  <c:v>-173284.45007795672</c:v>
                </c:pt>
                <c:pt idx="4">
                  <c:v>-173274.86936508873</c:v>
                </c:pt>
                <c:pt idx="5">
                  <c:v>-173265.28865222036</c:v>
                </c:pt>
                <c:pt idx="6">
                  <c:v>-173255.70793935173</c:v>
                </c:pt>
                <c:pt idx="7">
                  <c:v>-173246.12722648375</c:v>
                </c:pt>
                <c:pt idx="8">
                  <c:v>-173236.54651361535</c:v>
                </c:pt>
                <c:pt idx="9">
                  <c:v>-173226.96580074681</c:v>
                </c:pt>
                <c:pt idx="10">
                  <c:v>-173217.38508787818</c:v>
                </c:pt>
              </c:numCache>
            </c:numRef>
          </c:yVal>
          <c:smooth val="0"/>
          <c:extLst>
            <c:ext xmlns:c16="http://schemas.microsoft.com/office/drawing/2014/chart" uri="{C3380CC4-5D6E-409C-BE32-E72D297353CC}">
              <c16:uniqueId val="{0000000A-50D2-42EE-98E5-EA33C88531F8}"/>
            </c:ext>
          </c:extLst>
        </c:ser>
        <c:ser>
          <c:idx val="4"/>
          <c:order val="11"/>
          <c:tx>
            <c:v>Cost - Equipment (Admin.) ($203)</c:v>
          </c:tx>
          <c:spPr>
            <a:ln w="12700" cap="rnd" cmpd="sng" algn="ctr">
              <a:solidFill>
                <a:srgbClr val="A52A2A">
                  <a:alpha val="90000"/>
                </a:srgbClr>
              </a:solidFill>
              <a:prstDash val="solid"/>
              <a:round/>
              <a:headEnd type="none" w="med" len="med"/>
              <a:tailEnd type="none" w="med" len="med"/>
            </a:ln>
          </c:spPr>
          <c:marker>
            <c:symbol val="none"/>
          </c:marker>
          <c:xVal>
            <c:numRef>
              <c:f>'Societal Percent Change Graph'!$J$670:$J$680</c:f>
              <c:numCache>
                <c:formatCode>General</c:formatCode>
                <c:ptCount val="11"/>
                <c:pt idx="0">
                  <c:v>-1</c:v>
                </c:pt>
                <c:pt idx="1">
                  <c:v>-0.79999999999999993</c:v>
                </c:pt>
                <c:pt idx="2">
                  <c:v>-0.60000000000000053</c:v>
                </c:pt>
                <c:pt idx="3">
                  <c:v>-0.40000000000000069</c:v>
                </c:pt>
                <c:pt idx="4">
                  <c:v>-0.20000000000000098</c:v>
                </c:pt>
                <c:pt idx="5">
                  <c:v>-1.2644452041589261E-15</c:v>
                </c:pt>
                <c:pt idx="6">
                  <c:v>0.19999999999999857</c:v>
                </c:pt>
                <c:pt idx="7">
                  <c:v>0.40000000000000152</c:v>
                </c:pt>
                <c:pt idx="8">
                  <c:v>0.6000000000000012</c:v>
                </c:pt>
                <c:pt idx="9">
                  <c:v>0.80000000000000093</c:v>
                </c:pt>
                <c:pt idx="10">
                  <c:v>1.0000000000000007</c:v>
                </c:pt>
              </c:numCache>
            </c:numRef>
          </c:xVal>
          <c:yVal>
            <c:numRef>
              <c:f>'Societal Percent Change Graph'!$K$670:$K$680</c:f>
              <c:numCache>
                <c:formatCode>General</c:formatCode>
                <c:ptCount val="11"/>
                <c:pt idx="0">
                  <c:v>-173275.19165533746</c:v>
                </c:pt>
                <c:pt idx="1">
                  <c:v>-173273.19848300179</c:v>
                </c:pt>
                <c:pt idx="2">
                  <c:v>-173271.20531066554</c:v>
                </c:pt>
                <c:pt idx="3">
                  <c:v>-173269.21213832978</c:v>
                </c:pt>
                <c:pt idx="4">
                  <c:v>-173267.21896599376</c:v>
                </c:pt>
                <c:pt idx="5">
                  <c:v>-173265.22579365785</c:v>
                </c:pt>
                <c:pt idx="6">
                  <c:v>-173263.23262132169</c:v>
                </c:pt>
                <c:pt idx="7">
                  <c:v>-173261.23944898558</c:v>
                </c:pt>
                <c:pt idx="8">
                  <c:v>-173259.24627664979</c:v>
                </c:pt>
                <c:pt idx="9">
                  <c:v>-173257.25310431345</c:v>
                </c:pt>
                <c:pt idx="10">
                  <c:v>-173255.25993197769</c:v>
                </c:pt>
              </c:numCache>
            </c:numRef>
          </c:yVal>
          <c:smooth val="0"/>
          <c:extLst>
            <c:ext xmlns:c16="http://schemas.microsoft.com/office/drawing/2014/chart" uri="{C3380CC4-5D6E-409C-BE32-E72D297353CC}">
              <c16:uniqueId val="{0000000B-50D2-42EE-98E5-EA33C88531F8}"/>
            </c:ext>
          </c:extLst>
        </c:ser>
        <c:dLbls>
          <c:showLegendKey val="0"/>
          <c:showVal val="0"/>
          <c:showCatName val="0"/>
          <c:showSerName val="0"/>
          <c:showPercent val="0"/>
          <c:showBubbleSize val="0"/>
        </c:dLbls>
        <c:axId val="106686895"/>
        <c:axId val="106691055"/>
      </c:scatterChart>
      <c:valAx>
        <c:axId val="106686895"/>
        <c:scaling>
          <c:orientation val="minMax"/>
          <c:max val="1"/>
          <c:min val="-1"/>
        </c:scaling>
        <c:delete val="0"/>
        <c:axPos val="b"/>
        <c:title>
          <c:tx>
            <c:rich>
              <a:bodyPr/>
              <a:lstStyle/>
              <a:p>
                <a:pPr>
                  <a:defRPr sz="800" b="0"/>
                </a:pPr>
                <a:r>
                  <a:rPr lang="en-US" sz="800" b="0" i="0" baseline="0">
                    <a:effectLst/>
                  </a:rPr>
                  <a:t>% Change from Base Value </a:t>
                </a:r>
                <a:endParaRPr lang="en-US" sz="800">
                  <a:effectLst/>
                </a:endParaRPr>
              </a:p>
            </c:rich>
          </c:tx>
          <c:layout>
            <c:manualLayout>
              <c:xMode val="edge"/>
              <c:yMode val="edge"/>
              <c:x val="0.32414759957063466"/>
              <c:y val="0.92291185352687655"/>
            </c:manualLayout>
          </c:layout>
          <c:overlay val="0"/>
        </c:title>
        <c:numFmt formatCode="0%" sourceLinked="0"/>
        <c:majorTickMark val="out"/>
        <c:minorTickMark val="none"/>
        <c:tickLblPos val="nextTo"/>
        <c:txPr>
          <a:bodyPr rot="-5400000" vert="horz"/>
          <a:lstStyle/>
          <a:p>
            <a:pPr>
              <a:defRPr sz="800" b="0"/>
            </a:pPr>
            <a:endParaRPr lang="en-US"/>
          </a:p>
        </c:txPr>
        <c:crossAx val="106691055"/>
        <c:crossesAt val="-1.0000000000000001E+300"/>
        <c:crossBetween val="midCat"/>
      </c:valAx>
      <c:valAx>
        <c:axId val="106691055"/>
        <c:scaling>
          <c:orientation val="minMax"/>
          <c:max val="50000"/>
          <c:min val="-250000"/>
        </c:scaling>
        <c:delete val="0"/>
        <c:axPos val="l"/>
        <c:title>
          <c:tx>
            <c:rich>
              <a:bodyPr/>
              <a:lstStyle/>
              <a:p>
                <a:pPr>
                  <a:defRPr sz="800" b="0"/>
                </a:pPr>
                <a:r>
                  <a:rPr lang="en-US"/>
                  <a:t>ICER - Societal Perspective (Parents Time Valued)</a:t>
                </a:r>
              </a:p>
              <a:p>
                <a:pPr>
                  <a:defRPr sz="800" b="0"/>
                </a:pPr>
                <a:r>
                  <a:rPr lang="en-US" sz="800" b="0" i="0" u="none" strike="noStrike" baseline="0">
                    <a:effectLst/>
                  </a:rPr>
                  <a:t>(Base Value: -$172,410)</a:t>
                </a:r>
                <a:endParaRPr lang="en-US"/>
              </a:p>
            </c:rich>
          </c:tx>
          <c:layout>
            <c:manualLayout>
              <c:xMode val="edge"/>
              <c:yMode val="edge"/>
              <c:x val="2.2340217676937786E-2"/>
              <c:y val="0.23878711229439417"/>
            </c:manualLayout>
          </c:layout>
          <c:overlay val="0"/>
        </c:title>
        <c:numFmt formatCode="&quot;$&quot;#,##0" sourceLinked="0"/>
        <c:majorTickMark val="out"/>
        <c:minorTickMark val="none"/>
        <c:tickLblPos val="nextTo"/>
        <c:txPr>
          <a:bodyPr/>
          <a:lstStyle/>
          <a:p>
            <a:pPr>
              <a:defRPr sz="800" b="0"/>
            </a:pPr>
            <a:endParaRPr lang="en-US"/>
          </a:p>
        </c:txPr>
        <c:crossAx val="106686895"/>
        <c:crossesAt val="-1.0000000000000001E+300"/>
        <c:crossBetween val="midCat"/>
      </c:valAx>
      <c:spPr>
        <a:ln>
          <a:solidFill>
            <a:srgbClr val="000000"/>
          </a:solidFill>
        </a:ln>
      </c:spPr>
    </c:plotArea>
    <c:legend>
      <c:legendPos val="r"/>
      <c:layout>
        <c:manualLayout>
          <c:xMode val="edge"/>
          <c:yMode val="edge"/>
          <c:x val="0.72523069914025651"/>
          <c:y val="0.1833474173509981"/>
          <c:w val="0.23498229669186521"/>
          <c:h val="0.75376350289203109"/>
        </c:manualLayout>
      </c:layout>
      <c:overlay val="0"/>
      <c:spPr>
        <a:ln w="25400">
          <a:noFill/>
        </a:ln>
      </c:spPr>
      <c:txPr>
        <a:bodyPr/>
        <a:lstStyle/>
        <a:p>
          <a:pPr>
            <a:defRPr sz="700"/>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ln w="9525"/>
  </c:sp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cdr:x>
      <cdr:y>0.93768</cdr:y>
    </cdr:from>
    <cdr:to>
      <cdr:x>0.06563</cdr:x>
      <cdr:y>1</cdr:y>
    </cdr:to>
    <cdr:sp macro="" textlink="">
      <cdr:nvSpPr>
        <cdr:cNvPr id="6" name="TextBox 5">
          <a:extLst xmlns:a="http://schemas.openxmlformats.org/drawingml/2006/main">
            <a:ext uri="{FF2B5EF4-FFF2-40B4-BE49-F238E27FC236}">
              <a16:creationId xmlns:a16="http://schemas.microsoft.com/office/drawing/2014/main" id="{3A720A26-C4FB-4865-87A3-D8EB85B4B0A2}"/>
            </a:ext>
          </a:extLst>
        </cdr:cNvPr>
        <cdr:cNvSpPr txBox="1"/>
      </cdr:nvSpPr>
      <cdr:spPr>
        <a:xfrm xmlns:a="http://schemas.openxmlformats.org/drawingml/2006/main">
          <a:off x="0" y="5541283"/>
          <a:ext cx="803495" cy="3683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cdr:x>
      <cdr:y>0.86676</cdr:y>
    </cdr:from>
    <cdr:to>
      <cdr:x>0.99066</cdr:x>
      <cdr:y>1</cdr:y>
    </cdr:to>
    <cdr:sp macro="" textlink="">
      <cdr:nvSpPr>
        <cdr:cNvPr id="2" name="TextBox 5">
          <a:extLst xmlns:a="http://schemas.openxmlformats.org/drawingml/2006/main">
            <a:ext uri="{FF2B5EF4-FFF2-40B4-BE49-F238E27FC236}">
              <a16:creationId xmlns:a16="http://schemas.microsoft.com/office/drawing/2014/main" id="{3A720A26-C4FB-4865-87A3-D8EB85B4B0A2}"/>
            </a:ext>
          </a:extLst>
        </cdr:cNvPr>
        <cdr:cNvSpPr txBox="1"/>
      </cdr:nvSpPr>
      <cdr:spPr>
        <a:xfrm xmlns:a="http://schemas.openxmlformats.org/drawingml/2006/main">
          <a:off x="0" y="5122183"/>
          <a:ext cx="12229103" cy="787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0.93025</cdr:y>
    </cdr:from>
    <cdr:to>
      <cdr:x>0</cdr:x>
      <cdr:y>0.92705</cdr:y>
    </cdr:to>
    <cdr:sp macro="" textlink="">
      <cdr:nvSpPr>
        <cdr:cNvPr id="6" name="TextBox 5"/>
        <cdr:cNvSpPr txBox="1"/>
      </cdr:nvSpPr>
      <cdr:spPr>
        <a:xfrm xmlns:a="http://schemas.openxmlformats.org/drawingml/2006/main">
          <a:off x="0" y="5541283"/>
          <a:ext cx="803495" cy="3683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a:p>
      </cdr:txBody>
    </cdr:sp>
  </cdr:relSizeAnchor>
</c:userShapes>
</file>

<file path=word/drawings/drawing3.xml><?xml version="1.0" encoding="utf-8"?>
<c:userShapes xmlns:c="http://schemas.openxmlformats.org/drawingml/2006/chart">
  <cdr:relSizeAnchor xmlns:cdr="http://schemas.openxmlformats.org/drawingml/2006/chartDrawing">
    <cdr:from>
      <cdr:x>0.21127</cdr:x>
      <cdr:y>0.61888</cdr:y>
    </cdr:from>
    <cdr:to>
      <cdr:x>0.22784</cdr:x>
      <cdr:y>0.65243</cdr:y>
    </cdr:to>
    <cdr:sp macro="" textlink="">
      <cdr:nvSpPr>
        <cdr:cNvPr id="14" name="Oval 13"/>
        <cdr:cNvSpPr/>
      </cdr:nvSpPr>
      <cdr:spPr>
        <a:xfrm xmlns:a="http://schemas.openxmlformats.org/drawingml/2006/main" flipH="1" flipV="1">
          <a:off x="1730580" y="2765520"/>
          <a:ext cx="135733" cy="149921"/>
        </a:xfrm>
        <a:prstGeom xmlns:a="http://schemas.openxmlformats.org/drawingml/2006/main" prst="ellipse">
          <a:avLst/>
        </a:prstGeom>
        <a:solidFill xmlns:a="http://schemas.openxmlformats.org/drawingml/2006/main">
          <a:schemeClr val="tx1"/>
        </a:solidFill>
        <a:ln xmlns:a="http://schemas.openxmlformats.org/drawingml/2006/main">
          <a:solidFill>
            <a:sysClr val="windowText" lastClr="00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userShapes>
</file>

<file path=word/drawings/drawing4.xml><?xml version="1.0" encoding="utf-8"?>
<c:userShapes xmlns:c="http://schemas.openxmlformats.org/drawingml/2006/chart">
  <cdr:relSizeAnchor xmlns:cdr="http://schemas.openxmlformats.org/drawingml/2006/chartDrawing">
    <cdr:from>
      <cdr:x>0.47286</cdr:x>
      <cdr:y>0.43461</cdr:y>
    </cdr:from>
    <cdr:to>
      <cdr:x>0.48943</cdr:x>
      <cdr:y>0.46816</cdr:y>
    </cdr:to>
    <cdr:sp macro="" textlink="">
      <cdr:nvSpPr>
        <cdr:cNvPr id="14" name="Oval 13"/>
        <cdr:cNvSpPr/>
      </cdr:nvSpPr>
      <cdr:spPr>
        <a:xfrm xmlns:a="http://schemas.openxmlformats.org/drawingml/2006/main" flipH="1" flipV="1">
          <a:off x="3300775" y="2004979"/>
          <a:ext cx="115667" cy="154775"/>
        </a:xfrm>
        <a:prstGeom xmlns:a="http://schemas.openxmlformats.org/drawingml/2006/main" prst="ellipse">
          <a:avLst/>
        </a:prstGeom>
        <a:solidFill xmlns:a="http://schemas.openxmlformats.org/drawingml/2006/main">
          <a:schemeClr val="tx1"/>
        </a:solidFill>
        <a:ln xmlns:a="http://schemas.openxmlformats.org/drawingml/2006/main">
          <a:solidFill>
            <a:sysClr val="windowText" lastClr="00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userShapes>
</file>

<file path=word/drawings/drawing5.xml><?xml version="1.0" encoding="utf-8"?>
<c:userShapes xmlns:c="http://schemas.openxmlformats.org/drawingml/2006/chart">
  <cdr:relSizeAnchor xmlns:cdr="http://schemas.openxmlformats.org/drawingml/2006/chartDrawing">
    <cdr:from>
      <cdr:x>0.33866</cdr:x>
      <cdr:y>0.44937</cdr:y>
    </cdr:from>
    <cdr:to>
      <cdr:x>0.44601</cdr:x>
      <cdr:y>0.66203</cdr:y>
    </cdr:to>
    <cdr:sp macro="" textlink="">
      <cdr:nvSpPr>
        <cdr:cNvPr id="2" name="TextBox 1"/>
        <cdr:cNvSpPr txBox="1"/>
      </cdr:nvSpPr>
      <cdr:spPr>
        <a:xfrm xmlns:a="http://schemas.openxmlformats.org/drawingml/2006/main">
          <a:off x="2884715" y="1932214"/>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0.6041</cdr:x>
      <cdr:y>0.62923</cdr:y>
    </cdr:from>
    <cdr:to>
      <cdr:x>0.61822</cdr:x>
      <cdr:y>0.66117</cdr:y>
    </cdr:to>
    <cdr:sp macro="" textlink="">
      <cdr:nvSpPr>
        <cdr:cNvPr id="12" name="Oval 11"/>
        <cdr:cNvSpPr/>
      </cdr:nvSpPr>
      <cdr:spPr>
        <a:xfrm xmlns:a="http://schemas.openxmlformats.org/drawingml/2006/main" flipH="1" flipV="1">
          <a:off x="4627940" y="2825272"/>
          <a:ext cx="108171" cy="143411"/>
        </a:xfrm>
        <a:prstGeom xmlns:a="http://schemas.openxmlformats.org/drawingml/2006/main" prst="ellipse">
          <a:avLst/>
        </a:prstGeom>
        <a:solidFill xmlns:a="http://schemas.openxmlformats.org/drawingml/2006/main">
          <a:schemeClr val="tx1"/>
        </a:solidFill>
        <a:ln xmlns:a="http://schemas.openxmlformats.org/drawingml/2006/main">
          <a:solidFill>
            <a:sysClr val="windowText" lastClr="00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userShapes>
</file>

<file path=word/drawings/drawing6.xml><?xml version="1.0" encoding="utf-8"?>
<c:userShapes xmlns:c="http://schemas.openxmlformats.org/drawingml/2006/chart">
  <cdr:relSizeAnchor xmlns:cdr="http://schemas.openxmlformats.org/drawingml/2006/chartDrawing">
    <cdr:from>
      <cdr:x>0.33866</cdr:x>
      <cdr:y>0.44937</cdr:y>
    </cdr:from>
    <cdr:to>
      <cdr:x>0.44601</cdr:x>
      <cdr:y>0.66203</cdr:y>
    </cdr:to>
    <cdr:sp macro="" textlink="">
      <cdr:nvSpPr>
        <cdr:cNvPr id="2" name="TextBox 1"/>
        <cdr:cNvSpPr txBox="1"/>
      </cdr:nvSpPr>
      <cdr:spPr>
        <a:xfrm xmlns:a="http://schemas.openxmlformats.org/drawingml/2006/main">
          <a:off x="2884715" y="1932214"/>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0.66309</cdr:x>
      <cdr:y>0.64922</cdr:y>
    </cdr:from>
    <cdr:to>
      <cdr:x>0.67721</cdr:x>
      <cdr:y>0.68116</cdr:y>
    </cdr:to>
    <cdr:sp macro="" textlink="">
      <cdr:nvSpPr>
        <cdr:cNvPr id="12" name="Oval 11"/>
        <cdr:cNvSpPr/>
      </cdr:nvSpPr>
      <cdr:spPr>
        <a:xfrm xmlns:a="http://schemas.openxmlformats.org/drawingml/2006/main" flipH="1" flipV="1">
          <a:off x="5084064" y="2526543"/>
          <a:ext cx="108261" cy="124299"/>
        </a:xfrm>
        <a:prstGeom xmlns:a="http://schemas.openxmlformats.org/drawingml/2006/main" prst="ellipse">
          <a:avLst/>
        </a:prstGeom>
        <a:solidFill xmlns:a="http://schemas.openxmlformats.org/drawingml/2006/main">
          <a:schemeClr val="tx1"/>
        </a:solidFill>
        <a:ln xmlns:a="http://schemas.openxmlformats.org/drawingml/2006/main">
          <a:solidFill>
            <a:sysClr val="windowText" lastClr="00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userShapes>
</file>

<file path=word/drawings/drawing7.xml><?xml version="1.0" encoding="utf-8"?>
<c:userShapes xmlns:c="http://schemas.openxmlformats.org/drawingml/2006/chart">
  <cdr:relSizeAnchor xmlns:cdr="http://schemas.openxmlformats.org/drawingml/2006/chartDrawing">
    <cdr:from>
      <cdr:x>0.72832</cdr:x>
      <cdr:y>0.12722</cdr:y>
    </cdr:from>
    <cdr:to>
      <cdr:x>0.96113</cdr:x>
      <cdr:y>0.16967</cdr:y>
    </cdr:to>
    <cdr:sp macro="" textlink="">
      <cdr:nvSpPr>
        <cdr:cNvPr id="2" name="TextBox 1">
          <a:extLst xmlns:a="http://schemas.openxmlformats.org/drawingml/2006/main">
            <a:ext uri="{FF2B5EF4-FFF2-40B4-BE49-F238E27FC236}">
              <a16:creationId xmlns:a16="http://schemas.microsoft.com/office/drawing/2014/main" id="{F8B76D4A-7A86-4F28-A48A-D6B5000BC276}"/>
            </a:ext>
          </a:extLst>
        </cdr:cNvPr>
        <cdr:cNvSpPr txBox="1"/>
      </cdr:nvSpPr>
      <cdr:spPr>
        <a:xfrm xmlns:a="http://schemas.openxmlformats.org/drawingml/2006/main">
          <a:off x="3955050" y="513835"/>
          <a:ext cx="1264202" cy="171451"/>
        </a:xfrm>
        <a:prstGeom xmlns:a="http://schemas.openxmlformats.org/drawingml/2006/main" prst="rect">
          <a:avLst/>
        </a:prstGeom>
        <a:solidFill xmlns:a="http://schemas.openxmlformats.org/drawingml/2006/main">
          <a:schemeClr val="accent3">
            <a:lumMod val="20000"/>
            <a:lumOff val="80000"/>
          </a:schemeClr>
        </a:solidFill>
        <a:ln xmlns:a="http://schemas.openxmlformats.org/drawingml/2006/main">
          <a:noFill/>
        </a:ln>
      </cdr:spPr>
      <cdr:style>
        <a:lnRef xmlns:a="http://schemas.openxmlformats.org/drawingml/2006/main" idx="2">
          <a:schemeClr val="dk1"/>
        </a:lnRef>
        <a:fillRef xmlns:a="http://schemas.openxmlformats.org/drawingml/2006/main" idx="1">
          <a:schemeClr val="lt1"/>
        </a:fillRef>
        <a:effectRef xmlns:a="http://schemas.openxmlformats.org/drawingml/2006/main" idx="0">
          <a:schemeClr val="dk1"/>
        </a:effectRef>
        <a:fontRef xmlns:a="http://schemas.openxmlformats.org/drawingml/2006/main" idx="minor">
          <a:schemeClr val="dk1"/>
        </a:fontRef>
      </cdr:style>
      <cdr:txBody>
        <a:bodyPr xmlns:a="http://schemas.openxmlformats.org/drawingml/2006/main" wrap="none" rtlCol="0" anchor="ctr"/>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US" sz="800" b="1"/>
            <a:t>List of Inputs (Base</a:t>
          </a:r>
          <a:r>
            <a:rPr lang="en-US" sz="800" b="1" baseline="0"/>
            <a:t> Value)</a:t>
          </a:r>
          <a:endParaRPr lang="en-US" sz="800" b="1"/>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C3B09-D555-424B-B77C-7847044D3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TotalTime>
  <Pages>10</Pages>
  <Words>938</Words>
  <Characters>5348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dbishai</dc:creator>
  <cp:lastModifiedBy>Yira Natalia Alfonso</cp:lastModifiedBy>
  <cp:revision>88</cp:revision>
  <dcterms:created xsi:type="dcterms:W3CDTF">2016-07-06T20:53:00Z</dcterms:created>
  <dcterms:modified xsi:type="dcterms:W3CDTF">2021-03-30T00:30:00Z</dcterms:modified>
</cp:coreProperties>
</file>