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E7C4A" w14:textId="54E2CAFE" w:rsidR="00170824" w:rsidRPr="00490865" w:rsidRDefault="000E0776" w:rsidP="00A15DB5">
      <w:pPr>
        <w:spacing w:line="360" w:lineRule="auto"/>
        <w:jc w:val="both"/>
        <w:rPr>
          <w:rFonts w:ascii="Arial" w:hAnsi="Arial" w:cs="Arial"/>
          <w:b/>
          <w:bCs/>
          <w:sz w:val="16"/>
          <w:szCs w:val="16"/>
        </w:rPr>
      </w:pPr>
      <w:r>
        <w:rPr>
          <w:rFonts w:ascii="Arial" w:hAnsi="Arial" w:cs="Arial"/>
          <w:b/>
          <w:bCs/>
          <w:sz w:val="16"/>
          <w:szCs w:val="16"/>
        </w:rPr>
        <w:t xml:space="preserve">Supplement 1: </w:t>
      </w:r>
      <w:r w:rsidR="00490865" w:rsidRPr="00490865">
        <w:rPr>
          <w:rFonts w:ascii="Arial" w:hAnsi="Arial" w:cs="Arial"/>
          <w:b/>
          <w:bCs/>
          <w:sz w:val="16"/>
          <w:szCs w:val="16"/>
        </w:rPr>
        <w:t xml:space="preserve">Summary of Case Vignettes </w:t>
      </w:r>
    </w:p>
    <w:tbl>
      <w:tblPr>
        <w:tblStyle w:val="TableGrid"/>
        <w:tblW w:w="5425" w:type="pct"/>
        <w:tblInd w:w="-289" w:type="dxa"/>
        <w:tblLook w:val="04A0" w:firstRow="1" w:lastRow="0" w:firstColumn="1" w:lastColumn="0" w:noHBand="0" w:noVBand="1"/>
      </w:tblPr>
      <w:tblGrid>
        <w:gridCol w:w="710"/>
        <w:gridCol w:w="1622"/>
        <w:gridCol w:w="3621"/>
        <w:gridCol w:w="1135"/>
        <w:gridCol w:w="2694"/>
      </w:tblGrid>
      <w:tr w:rsidR="0081769D" w:rsidRPr="00170824" w14:paraId="49F4EFD5" w14:textId="1B375DE7" w:rsidTr="0081769D">
        <w:tc>
          <w:tcPr>
            <w:tcW w:w="363" w:type="pct"/>
          </w:tcPr>
          <w:p w14:paraId="2AB2B583"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 xml:space="preserve">Case No  </w:t>
            </w:r>
          </w:p>
        </w:tc>
        <w:tc>
          <w:tcPr>
            <w:tcW w:w="829" w:type="pct"/>
          </w:tcPr>
          <w:p w14:paraId="24EA2068"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 xml:space="preserve">Discipline </w:t>
            </w:r>
          </w:p>
        </w:tc>
        <w:tc>
          <w:tcPr>
            <w:tcW w:w="1851" w:type="pct"/>
          </w:tcPr>
          <w:p w14:paraId="44EA0A00" w14:textId="326CA6B8" w:rsidR="008B68A4" w:rsidRPr="00170824" w:rsidRDefault="008B68A4" w:rsidP="00C46C4D">
            <w:pPr>
              <w:jc w:val="both"/>
              <w:rPr>
                <w:rFonts w:ascii="Arial" w:hAnsi="Arial" w:cs="Arial"/>
                <w:sz w:val="16"/>
                <w:szCs w:val="16"/>
              </w:rPr>
            </w:pPr>
            <w:r w:rsidRPr="00170824">
              <w:rPr>
                <w:rFonts w:ascii="Arial" w:hAnsi="Arial" w:cs="Arial"/>
                <w:sz w:val="16"/>
                <w:szCs w:val="16"/>
              </w:rPr>
              <w:t xml:space="preserve">Brief Description of </w:t>
            </w:r>
            <w:r>
              <w:rPr>
                <w:rFonts w:ascii="Arial" w:hAnsi="Arial" w:cs="Arial"/>
                <w:sz w:val="16"/>
                <w:szCs w:val="16"/>
              </w:rPr>
              <w:t xml:space="preserve">Clinical </w:t>
            </w:r>
            <w:r w:rsidRPr="00170824">
              <w:rPr>
                <w:rFonts w:ascii="Arial" w:hAnsi="Arial" w:cs="Arial"/>
                <w:sz w:val="16"/>
                <w:szCs w:val="16"/>
              </w:rPr>
              <w:t>Vignette</w:t>
            </w:r>
            <w:r>
              <w:rPr>
                <w:rFonts w:ascii="Arial" w:hAnsi="Arial" w:cs="Arial"/>
                <w:sz w:val="16"/>
                <w:szCs w:val="16"/>
              </w:rPr>
              <w:t>s</w:t>
            </w:r>
          </w:p>
        </w:tc>
        <w:tc>
          <w:tcPr>
            <w:tcW w:w="580" w:type="pct"/>
          </w:tcPr>
          <w:p w14:paraId="10382801" w14:textId="3FBFF76F" w:rsidR="008B68A4" w:rsidRPr="00170824" w:rsidRDefault="008B68A4" w:rsidP="001A6451">
            <w:pPr>
              <w:rPr>
                <w:rFonts w:ascii="Arial" w:hAnsi="Arial" w:cs="Arial"/>
                <w:sz w:val="16"/>
                <w:szCs w:val="16"/>
              </w:rPr>
            </w:pPr>
            <w:r>
              <w:rPr>
                <w:rFonts w:ascii="Arial" w:hAnsi="Arial" w:cs="Arial"/>
                <w:sz w:val="16"/>
                <w:szCs w:val="16"/>
              </w:rPr>
              <w:t xml:space="preserve">Number of Medications Prescribed </w:t>
            </w:r>
          </w:p>
        </w:tc>
        <w:tc>
          <w:tcPr>
            <w:tcW w:w="1377" w:type="pct"/>
          </w:tcPr>
          <w:p w14:paraId="361A251C" w14:textId="734711E7" w:rsidR="008B68A4" w:rsidRDefault="008B68A4" w:rsidP="001A6451">
            <w:pPr>
              <w:rPr>
                <w:rFonts w:ascii="Arial" w:hAnsi="Arial" w:cs="Arial"/>
                <w:sz w:val="16"/>
                <w:szCs w:val="16"/>
              </w:rPr>
            </w:pPr>
            <w:r>
              <w:rPr>
                <w:rFonts w:ascii="Arial" w:hAnsi="Arial" w:cs="Arial"/>
                <w:sz w:val="16"/>
                <w:szCs w:val="16"/>
              </w:rPr>
              <w:t xml:space="preserve">ATC Categories </w:t>
            </w:r>
          </w:p>
        </w:tc>
      </w:tr>
      <w:tr w:rsidR="0081769D" w:rsidRPr="00170824" w14:paraId="35225F89" w14:textId="240E73DF" w:rsidTr="0081769D">
        <w:tc>
          <w:tcPr>
            <w:tcW w:w="363" w:type="pct"/>
          </w:tcPr>
          <w:p w14:paraId="54A19538"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1</w:t>
            </w:r>
          </w:p>
        </w:tc>
        <w:tc>
          <w:tcPr>
            <w:tcW w:w="829" w:type="pct"/>
          </w:tcPr>
          <w:p w14:paraId="55E67330"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 xml:space="preserve">Cardiology </w:t>
            </w:r>
          </w:p>
        </w:tc>
        <w:tc>
          <w:tcPr>
            <w:tcW w:w="1851" w:type="pct"/>
          </w:tcPr>
          <w:p w14:paraId="04DDDD38" w14:textId="77777777" w:rsidR="008B68A4" w:rsidRPr="00170824" w:rsidRDefault="008B68A4" w:rsidP="00C46C4D">
            <w:pPr>
              <w:rPr>
                <w:rFonts w:ascii="Arial" w:hAnsi="Arial" w:cs="Arial"/>
                <w:sz w:val="16"/>
                <w:szCs w:val="16"/>
              </w:rPr>
            </w:pPr>
            <w:r w:rsidRPr="00170824">
              <w:rPr>
                <w:rFonts w:ascii="Arial" w:hAnsi="Arial" w:cs="Arial"/>
                <w:sz w:val="16"/>
                <w:szCs w:val="16"/>
              </w:rPr>
              <w:t>61-year-old Malay male with history of diabetes, hypertension, chronic kidney disease, and recurrent vascular thrombotic events. He has undergone multiple surgeries, including amputations and thrombolysis. He presented with chest pain and was diagnosed with an evolved anterior myocardial infarction, for which he underwent successful percutaneous coronary intervention (PCI).</w:t>
            </w:r>
          </w:p>
        </w:tc>
        <w:tc>
          <w:tcPr>
            <w:tcW w:w="580" w:type="pct"/>
          </w:tcPr>
          <w:p w14:paraId="5EE9FB14" w14:textId="399DD078" w:rsidR="008B68A4" w:rsidRPr="001A6451" w:rsidRDefault="00A24B8B" w:rsidP="001A6451">
            <w:pPr>
              <w:rPr>
                <w:rFonts w:ascii="Arial" w:hAnsi="Arial" w:cs="Arial"/>
                <w:sz w:val="16"/>
                <w:szCs w:val="16"/>
              </w:rPr>
            </w:pPr>
            <w:r>
              <w:rPr>
                <w:rFonts w:ascii="Arial" w:hAnsi="Arial" w:cs="Arial"/>
                <w:sz w:val="16"/>
                <w:szCs w:val="16"/>
              </w:rPr>
              <w:t>13</w:t>
            </w:r>
          </w:p>
        </w:tc>
        <w:tc>
          <w:tcPr>
            <w:tcW w:w="1377" w:type="pct"/>
          </w:tcPr>
          <w:p w14:paraId="597FFD8A" w14:textId="372B0A6D" w:rsidR="008B68A4" w:rsidRDefault="008B68A4" w:rsidP="001A6451">
            <w:pPr>
              <w:rPr>
                <w:rFonts w:ascii="Arial" w:hAnsi="Arial" w:cs="Arial"/>
                <w:sz w:val="16"/>
                <w:szCs w:val="16"/>
              </w:rPr>
            </w:pPr>
            <w:r>
              <w:rPr>
                <w:rFonts w:ascii="Arial" w:hAnsi="Arial" w:cs="Arial"/>
                <w:sz w:val="16"/>
                <w:szCs w:val="16"/>
              </w:rPr>
              <w:t>Electrolytes, Antithrombotics (Heparins), Insulin (fast-acting; rapid-acting and long-acting), Platelet aggregation inhibitors, proton pump inhibitors, Vasodilators, DPP-IV inhibitors, Beta-blocking agent (selective), ACE-inhibitors, B vitamins</w:t>
            </w:r>
          </w:p>
        </w:tc>
      </w:tr>
      <w:tr w:rsidR="0081769D" w:rsidRPr="00170824" w14:paraId="37401B2F" w14:textId="1E2E7492" w:rsidTr="0081769D">
        <w:tc>
          <w:tcPr>
            <w:tcW w:w="363" w:type="pct"/>
          </w:tcPr>
          <w:p w14:paraId="02B7ED14"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2</w:t>
            </w:r>
          </w:p>
        </w:tc>
        <w:tc>
          <w:tcPr>
            <w:tcW w:w="829" w:type="pct"/>
          </w:tcPr>
          <w:p w14:paraId="650ED7BA" w14:textId="683ACB94" w:rsidR="008B68A4" w:rsidRPr="00170824" w:rsidRDefault="008B68A4" w:rsidP="00C46C4D">
            <w:pPr>
              <w:jc w:val="both"/>
              <w:rPr>
                <w:rFonts w:ascii="Arial" w:hAnsi="Arial" w:cs="Arial"/>
                <w:sz w:val="16"/>
                <w:szCs w:val="16"/>
              </w:rPr>
            </w:pPr>
            <w:r w:rsidRPr="00170824">
              <w:rPr>
                <w:rFonts w:ascii="Arial" w:hAnsi="Arial" w:cs="Arial"/>
                <w:sz w:val="16"/>
                <w:szCs w:val="16"/>
              </w:rPr>
              <w:t>Cardiology</w:t>
            </w:r>
            <w:r>
              <w:rPr>
                <w:rFonts w:ascii="Arial" w:hAnsi="Arial" w:cs="Arial"/>
                <w:sz w:val="16"/>
                <w:szCs w:val="16"/>
              </w:rPr>
              <w:t xml:space="preserve"> / Gastroenterology</w:t>
            </w:r>
          </w:p>
        </w:tc>
        <w:tc>
          <w:tcPr>
            <w:tcW w:w="1851" w:type="pct"/>
          </w:tcPr>
          <w:p w14:paraId="0576F502" w14:textId="77777777" w:rsidR="008B68A4" w:rsidRPr="00170824" w:rsidRDefault="008B68A4" w:rsidP="00C46C4D">
            <w:pPr>
              <w:rPr>
                <w:rFonts w:ascii="Arial" w:hAnsi="Arial" w:cs="Arial"/>
                <w:sz w:val="16"/>
                <w:szCs w:val="16"/>
              </w:rPr>
            </w:pPr>
            <w:r w:rsidRPr="00170824">
              <w:rPr>
                <w:rFonts w:ascii="Arial" w:hAnsi="Arial" w:cs="Arial"/>
                <w:sz w:val="16"/>
                <w:szCs w:val="16"/>
              </w:rPr>
              <w:t>41-year-old Malay male with a history of coronary artery disease, diabetes mellitus, KDIGO stage 3 kidney disease, and a recent episode of acute gout. He presented with epigastric pain and was admitted to hospital from the clinic. Investigations included coronary angiography with a view for percutaneous coronary intervention and gastrointestinal scopes. His medication allergies include penicillin.</w:t>
            </w:r>
          </w:p>
        </w:tc>
        <w:tc>
          <w:tcPr>
            <w:tcW w:w="580" w:type="pct"/>
          </w:tcPr>
          <w:p w14:paraId="57F5ECF7" w14:textId="5B2A19E3" w:rsidR="008B68A4" w:rsidRPr="00170824" w:rsidRDefault="00A24B8B" w:rsidP="001A6451">
            <w:pPr>
              <w:rPr>
                <w:rFonts w:ascii="Arial" w:hAnsi="Arial" w:cs="Arial"/>
                <w:sz w:val="16"/>
                <w:szCs w:val="16"/>
              </w:rPr>
            </w:pPr>
            <w:r>
              <w:rPr>
                <w:rFonts w:ascii="Arial" w:hAnsi="Arial" w:cs="Arial"/>
                <w:sz w:val="16"/>
                <w:szCs w:val="16"/>
              </w:rPr>
              <w:t>13</w:t>
            </w:r>
          </w:p>
        </w:tc>
        <w:tc>
          <w:tcPr>
            <w:tcW w:w="1377" w:type="pct"/>
          </w:tcPr>
          <w:p w14:paraId="773ACBEB" w14:textId="49ECC394" w:rsidR="008B68A4" w:rsidRPr="00F66CD0" w:rsidRDefault="00A24B8B" w:rsidP="001A6451">
            <w:pPr>
              <w:rPr>
                <w:rFonts w:ascii="Arial" w:hAnsi="Arial" w:cs="Arial"/>
                <w:sz w:val="16"/>
                <w:szCs w:val="16"/>
              </w:rPr>
            </w:pPr>
            <w:r w:rsidRPr="00F66CD0">
              <w:rPr>
                <w:rFonts w:ascii="Arial" w:hAnsi="Arial" w:cs="Arial"/>
                <w:sz w:val="16"/>
                <w:szCs w:val="16"/>
              </w:rPr>
              <w:t>Fast-acting insulins, parenteral nutritional products, blood glucose-lowering drugs, oral antidiabetics, lipid-modifying agents, sulfonylureas, beta-blocking agents, agents for gout, macrolides, nitroimidazole derivatives, proton pump inhibitors, antithrombotic agents.</w:t>
            </w:r>
          </w:p>
        </w:tc>
      </w:tr>
      <w:tr w:rsidR="0081769D" w:rsidRPr="00170824" w14:paraId="04386B6D" w14:textId="25ADF022" w:rsidTr="0081769D">
        <w:tc>
          <w:tcPr>
            <w:tcW w:w="363" w:type="pct"/>
          </w:tcPr>
          <w:p w14:paraId="315FACCC"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3</w:t>
            </w:r>
          </w:p>
        </w:tc>
        <w:tc>
          <w:tcPr>
            <w:tcW w:w="829" w:type="pct"/>
          </w:tcPr>
          <w:p w14:paraId="3E74D5F7"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Cardiology</w:t>
            </w:r>
          </w:p>
        </w:tc>
        <w:tc>
          <w:tcPr>
            <w:tcW w:w="1851" w:type="pct"/>
          </w:tcPr>
          <w:p w14:paraId="234145FD" w14:textId="77777777" w:rsidR="008B68A4" w:rsidRPr="00170824" w:rsidRDefault="008B68A4" w:rsidP="00C46C4D">
            <w:pPr>
              <w:rPr>
                <w:rFonts w:ascii="Arial" w:hAnsi="Arial" w:cs="Arial"/>
                <w:sz w:val="16"/>
                <w:szCs w:val="16"/>
              </w:rPr>
            </w:pPr>
            <w:r w:rsidRPr="00170824">
              <w:rPr>
                <w:rFonts w:ascii="Arial" w:hAnsi="Arial" w:cs="Arial"/>
                <w:sz w:val="16"/>
                <w:szCs w:val="16"/>
              </w:rPr>
              <w:t>66-year-old male with a history of minor coronary artery disease, hypertension, hyperlipidaemia, diabetes, and a chronic left caudate nucleus infarct. He presents with left lower limb swelling and pain, fever, and chest tightness. Diagnosed with an evolved inferior STEMI and left lower limb cellulitis complicated by acute kidney injury.</w:t>
            </w:r>
          </w:p>
        </w:tc>
        <w:tc>
          <w:tcPr>
            <w:tcW w:w="580" w:type="pct"/>
          </w:tcPr>
          <w:p w14:paraId="16A264BD" w14:textId="43E87738" w:rsidR="008B68A4" w:rsidRPr="00170824" w:rsidRDefault="00A24B8B" w:rsidP="001A6451">
            <w:pPr>
              <w:rPr>
                <w:rFonts w:ascii="Arial" w:hAnsi="Arial" w:cs="Arial"/>
                <w:sz w:val="16"/>
                <w:szCs w:val="16"/>
              </w:rPr>
            </w:pPr>
            <w:r>
              <w:rPr>
                <w:rFonts w:ascii="Arial" w:hAnsi="Arial" w:cs="Arial"/>
                <w:sz w:val="16"/>
                <w:szCs w:val="16"/>
              </w:rPr>
              <w:t>15</w:t>
            </w:r>
          </w:p>
        </w:tc>
        <w:tc>
          <w:tcPr>
            <w:tcW w:w="1377" w:type="pct"/>
          </w:tcPr>
          <w:p w14:paraId="1CE20246" w14:textId="31D4C97E" w:rsidR="008B68A4" w:rsidRPr="00170824" w:rsidRDefault="0081769D" w:rsidP="0081769D">
            <w:pPr>
              <w:rPr>
                <w:rFonts w:ascii="Arial" w:hAnsi="Arial" w:cs="Arial"/>
                <w:sz w:val="16"/>
                <w:szCs w:val="16"/>
              </w:rPr>
            </w:pPr>
            <w:r>
              <w:rPr>
                <w:rFonts w:ascii="Arial" w:hAnsi="Arial" w:cs="Arial"/>
                <w:sz w:val="16"/>
                <w:szCs w:val="16"/>
              </w:rPr>
              <w:t>Long Acting insulin,</w:t>
            </w:r>
            <w:r w:rsidRPr="0081769D">
              <w:rPr>
                <w:rFonts w:ascii="Arial" w:hAnsi="Arial" w:cs="Arial"/>
                <w:sz w:val="16"/>
                <w:szCs w:val="16"/>
              </w:rPr>
              <w:t xml:space="preserve"> Heparin group, low molecular weight heparins</w:t>
            </w:r>
            <w:r>
              <w:rPr>
                <w:rFonts w:ascii="Arial" w:hAnsi="Arial" w:cs="Arial"/>
                <w:sz w:val="16"/>
                <w:szCs w:val="16"/>
              </w:rPr>
              <w:t xml:space="preserve">, </w:t>
            </w:r>
            <w:r w:rsidRPr="0081769D">
              <w:rPr>
                <w:rFonts w:ascii="Arial" w:hAnsi="Arial" w:cs="Arial"/>
                <w:sz w:val="16"/>
                <w:szCs w:val="16"/>
              </w:rPr>
              <w:t>Macrolides</w:t>
            </w:r>
            <w:r>
              <w:rPr>
                <w:rFonts w:ascii="Arial" w:hAnsi="Arial" w:cs="Arial"/>
                <w:sz w:val="16"/>
                <w:szCs w:val="16"/>
              </w:rPr>
              <w:t xml:space="preserve">, </w:t>
            </w:r>
            <w:r w:rsidRPr="0081769D">
              <w:rPr>
                <w:rFonts w:ascii="Arial" w:hAnsi="Arial" w:cs="Arial"/>
                <w:sz w:val="16"/>
                <w:szCs w:val="16"/>
              </w:rPr>
              <w:t>Platelet aggregation inhibitors excl. heparin</w:t>
            </w:r>
            <w:r>
              <w:rPr>
                <w:rFonts w:ascii="Arial" w:hAnsi="Arial" w:cs="Arial"/>
                <w:sz w:val="16"/>
                <w:szCs w:val="16"/>
              </w:rPr>
              <w:t>, Angiotensin</w:t>
            </w:r>
            <w:r w:rsidRPr="0081769D">
              <w:rPr>
                <w:rFonts w:ascii="Arial" w:hAnsi="Arial" w:cs="Arial"/>
                <w:sz w:val="16"/>
                <w:szCs w:val="16"/>
              </w:rPr>
              <w:t>-converting enzyme inhibitors</w:t>
            </w:r>
            <w:r>
              <w:rPr>
                <w:rFonts w:ascii="Arial" w:hAnsi="Arial" w:cs="Arial"/>
                <w:sz w:val="16"/>
                <w:szCs w:val="16"/>
              </w:rPr>
              <w:t xml:space="preserve">, </w:t>
            </w:r>
            <w:r w:rsidRPr="0081769D">
              <w:rPr>
                <w:rFonts w:ascii="Arial" w:hAnsi="Arial" w:cs="Arial"/>
                <w:sz w:val="16"/>
                <w:szCs w:val="16"/>
              </w:rPr>
              <w:t>Sulfonylureas</w:t>
            </w:r>
            <w:r>
              <w:rPr>
                <w:rFonts w:ascii="Arial" w:hAnsi="Arial" w:cs="Arial"/>
                <w:sz w:val="16"/>
                <w:szCs w:val="16"/>
              </w:rPr>
              <w:t xml:space="preserve">, </w:t>
            </w:r>
            <w:r w:rsidRPr="0081769D">
              <w:rPr>
                <w:rFonts w:ascii="Arial" w:hAnsi="Arial" w:cs="Arial"/>
                <w:sz w:val="16"/>
                <w:szCs w:val="16"/>
              </w:rPr>
              <w:t>Biguanides</w:t>
            </w:r>
            <w:r>
              <w:rPr>
                <w:rFonts w:ascii="Arial" w:hAnsi="Arial" w:cs="Arial"/>
                <w:sz w:val="16"/>
                <w:szCs w:val="16"/>
              </w:rPr>
              <w:t xml:space="preserve">, </w:t>
            </w:r>
            <w:r w:rsidRPr="0081769D">
              <w:rPr>
                <w:rFonts w:ascii="Arial" w:hAnsi="Arial" w:cs="Arial"/>
                <w:sz w:val="16"/>
                <w:szCs w:val="16"/>
              </w:rPr>
              <w:t>Dipeptidyl peptidase 4 (DPP-4) inhibitors</w:t>
            </w:r>
            <w:r>
              <w:rPr>
                <w:rFonts w:ascii="Arial" w:hAnsi="Arial" w:cs="Arial"/>
                <w:sz w:val="16"/>
                <w:szCs w:val="16"/>
              </w:rPr>
              <w:t xml:space="preserve">, </w:t>
            </w:r>
            <w:r w:rsidRPr="0081769D">
              <w:rPr>
                <w:rFonts w:ascii="Arial" w:hAnsi="Arial" w:cs="Arial"/>
                <w:sz w:val="16"/>
                <w:szCs w:val="16"/>
              </w:rPr>
              <w:t>HMG CoA reductase inhibitors</w:t>
            </w:r>
            <w:r>
              <w:rPr>
                <w:rFonts w:ascii="Arial" w:hAnsi="Arial" w:cs="Arial"/>
                <w:sz w:val="16"/>
                <w:szCs w:val="16"/>
              </w:rPr>
              <w:t xml:space="preserve">, </w:t>
            </w:r>
            <w:r w:rsidRPr="0081769D">
              <w:rPr>
                <w:rFonts w:ascii="Arial" w:hAnsi="Arial" w:cs="Arial"/>
                <w:sz w:val="16"/>
                <w:szCs w:val="16"/>
              </w:rPr>
              <w:t>Beta-blocking agents, selective</w:t>
            </w:r>
            <w:r>
              <w:rPr>
                <w:rFonts w:ascii="Arial" w:hAnsi="Arial" w:cs="Arial"/>
                <w:sz w:val="16"/>
                <w:szCs w:val="16"/>
              </w:rPr>
              <w:t xml:space="preserve">, </w:t>
            </w:r>
            <w:r w:rsidRPr="0081769D">
              <w:rPr>
                <w:rFonts w:ascii="Arial" w:hAnsi="Arial" w:cs="Arial"/>
                <w:sz w:val="16"/>
                <w:szCs w:val="16"/>
              </w:rPr>
              <w:t>Dihydropyridine derivatives</w:t>
            </w:r>
            <w:r>
              <w:rPr>
                <w:rFonts w:ascii="Arial" w:hAnsi="Arial" w:cs="Arial"/>
                <w:sz w:val="16"/>
                <w:szCs w:val="16"/>
              </w:rPr>
              <w:t xml:space="preserve">, </w:t>
            </w:r>
            <w:r w:rsidRPr="0081769D">
              <w:rPr>
                <w:rFonts w:ascii="Arial" w:hAnsi="Arial" w:cs="Arial"/>
                <w:sz w:val="16"/>
                <w:szCs w:val="16"/>
              </w:rPr>
              <w:t>Proton pump inhibitors</w:t>
            </w:r>
            <w:r>
              <w:rPr>
                <w:rFonts w:ascii="Arial" w:hAnsi="Arial" w:cs="Arial"/>
                <w:sz w:val="16"/>
                <w:szCs w:val="16"/>
              </w:rPr>
              <w:t xml:space="preserve">, </w:t>
            </w:r>
            <w:r w:rsidRPr="0081769D">
              <w:rPr>
                <w:rFonts w:ascii="Arial" w:hAnsi="Arial" w:cs="Arial"/>
                <w:sz w:val="16"/>
                <w:szCs w:val="16"/>
              </w:rPr>
              <w:t>Organic nitrates</w:t>
            </w:r>
            <w:r>
              <w:rPr>
                <w:rFonts w:ascii="Arial" w:hAnsi="Arial" w:cs="Arial"/>
                <w:sz w:val="16"/>
                <w:szCs w:val="16"/>
              </w:rPr>
              <w:t xml:space="preserve">, </w:t>
            </w:r>
            <w:r w:rsidRPr="0081769D">
              <w:rPr>
                <w:rFonts w:ascii="Arial" w:hAnsi="Arial" w:cs="Arial"/>
                <w:sz w:val="16"/>
                <w:szCs w:val="16"/>
              </w:rPr>
              <w:t>Drugs used in erectile dysfunctio</w:t>
            </w:r>
            <w:r>
              <w:rPr>
                <w:rFonts w:ascii="Arial" w:hAnsi="Arial" w:cs="Arial"/>
                <w:sz w:val="16"/>
                <w:szCs w:val="16"/>
              </w:rPr>
              <w:t>n</w:t>
            </w:r>
          </w:p>
        </w:tc>
      </w:tr>
      <w:tr w:rsidR="0081769D" w:rsidRPr="00170824" w14:paraId="72D7D25C" w14:textId="257DFA91" w:rsidTr="0081769D">
        <w:tc>
          <w:tcPr>
            <w:tcW w:w="363" w:type="pct"/>
          </w:tcPr>
          <w:p w14:paraId="037DF9E9"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4</w:t>
            </w:r>
          </w:p>
        </w:tc>
        <w:tc>
          <w:tcPr>
            <w:tcW w:w="829" w:type="pct"/>
          </w:tcPr>
          <w:p w14:paraId="12E913CC"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Cardiology</w:t>
            </w:r>
          </w:p>
        </w:tc>
        <w:tc>
          <w:tcPr>
            <w:tcW w:w="1851" w:type="pct"/>
          </w:tcPr>
          <w:p w14:paraId="12A93CC6" w14:textId="77777777" w:rsidR="008B68A4" w:rsidRPr="00170824" w:rsidRDefault="008B68A4" w:rsidP="00C46C4D">
            <w:pPr>
              <w:rPr>
                <w:rFonts w:ascii="Arial" w:hAnsi="Arial" w:cs="Arial"/>
                <w:sz w:val="16"/>
                <w:szCs w:val="16"/>
              </w:rPr>
            </w:pPr>
            <w:r w:rsidRPr="00170824">
              <w:rPr>
                <w:rFonts w:ascii="Arial" w:hAnsi="Arial" w:cs="Arial"/>
                <w:sz w:val="16"/>
                <w:szCs w:val="16"/>
              </w:rPr>
              <w:t>75-year-old Chinese male with a history of hypertension, hyperlipidaemia, benign prostatic hyperplasia, and a right occipital parasagittal meningioma. He presents with atypical chest pain, which is a dull ache and non-radiating. He has a history of ischemic cardiomyopathy and has undergone coronary artery bypass graft surgery and mitral valve repair.</w:t>
            </w:r>
          </w:p>
        </w:tc>
        <w:tc>
          <w:tcPr>
            <w:tcW w:w="580" w:type="pct"/>
          </w:tcPr>
          <w:p w14:paraId="582B801D" w14:textId="48326B19" w:rsidR="008B68A4" w:rsidRPr="00170824" w:rsidRDefault="00A24B8B" w:rsidP="001A6451">
            <w:pPr>
              <w:rPr>
                <w:rFonts w:ascii="Arial" w:hAnsi="Arial" w:cs="Arial"/>
                <w:sz w:val="16"/>
                <w:szCs w:val="16"/>
              </w:rPr>
            </w:pPr>
            <w:r>
              <w:rPr>
                <w:rFonts w:ascii="Arial" w:hAnsi="Arial" w:cs="Arial"/>
                <w:sz w:val="16"/>
                <w:szCs w:val="16"/>
              </w:rPr>
              <w:t>6</w:t>
            </w:r>
          </w:p>
        </w:tc>
        <w:tc>
          <w:tcPr>
            <w:tcW w:w="1377" w:type="pct"/>
          </w:tcPr>
          <w:p w14:paraId="6D025CEC" w14:textId="790C300D" w:rsidR="008B68A4" w:rsidRPr="00170824" w:rsidRDefault="0081769D" w:rsidP="0081769D">
            <w:pPr>
              <w:rPr>
                <w:rFonts w:ascii="Arial" w:hAnsi="Arial" w:cs="Arial"/>
                <w:sz w:val="16"/>
                <w:szCs w:val="16"/>
              </w:rPr>
            </w:pPr>
            <w:r w:rsidRPr="0081769D">
              <w:rPr>
                <w:rFonts w:ascii="Arial" w:hAnsi="Arial" w:cs="Arial"/>
                <w:sz w:val="16"/>
                <w:szCs w:val="16"/>
              </w:rPr>
              <w:t>Beta-blocking agents, selective</w:t>
            </w:r>
            <w:r>
              <w:rPr>
                <w:rFonts w:ascii="Arial" w:hAnsi="Arial" w:cs="Arial"/>
                <w:sz w:val="16"/>
                <w:szCs w:val="16"/>
              </w:rPr>
              <w:t xml:space="preserve">, </w:t>
            </w:r>
            <w:r w:rsidRPr="0081769D">
              <w:rPr>
                <w:rFonts w:ascii="Arial" w:hAnsi="Arial" w:cs="Arial"/>
                <w:sz w:val="16"/>
                <w:szCs w:val="16"/>
              </w:rPr>
              <w:t>Platelet aggregation inhibitors excl. heparin</w:t>
            </w:r>
            <w:r>
              <w:rPr>
                <w:rFonts w:ascii="Arial" w:hAnsi="Arial" w:cs="Arial"/>
                <w:sz w:val="16"/>
                <w:szCs w:val="16"/>
              </w:rPr>
              <w:t xml:space="preserve">, </w:t>
            </w:r>
            <w:r w:rsidRPr="0081769D">
              <w:rPr>
                <w:rFonts w:ascii="Arial" w:hAnsi="Arial" w:cs="Arial"/>
                <w:sz w:val="16"/>
                <w:szCs w:val="16"/>
              </w:rPr>
              <w:t>5-alpha-reductase inhibitors</w:t>
            </w:r>
            <w:r>
              <w:rPr>
                <w:rFonts w:ascii="Arial" w:hAnsi="Arial" w:cs="Arial"/>
                <w:sz w:val="16"/>
                <w:szCs w:val="16"/>
              </w:rPr>
              <w:t xml:space="preserve">, proton </w:t>
            </w:r>
            <w:r w:rsidRPr="0081769D">
              <w:rPr>
                <w:rFonts w:ascii="Arial" w:hAnsi="Arial" w:cs="Arial"/>
                <w:sz w:val="16"/>
                <w:szCs w:val="16"/>
              </w:rPr>
              <w:t>pump inhibitors</w:t>
            </w:r>
            <w:r>
              <w:rPr>
                <w:rFonts w:ascii="Arial" w:hAnsi="Arial" w:cs="Arial"/>
                <w:sz w:val="16"/>
                <w:szCs w:val="16"/>
              </w:rPr>
              <w:t xml:space="preserve">, </w:t>
            </w:r>
            <w:r w:rsidRPr="0081769D">
              <w:rPr>
                <w:rFonts w:ascii="Arial" w:hAnsi="Arial" w:cs="Arial"/>
                <w:sz w:val="16"/>
                <w:szCs w:val="16"/>
              </w:rPr>
              <w:t>Alpha-adrenoreceptor antagonists</w:t>
            </w:r>
            <w:r>
              <w:rPr>
                <w:rFonts w:ascii="Arial" w:hAnsi="Arial" w:cs="Arial"/>
                <w:sz w:val="16"/>
                <w:szCs w:val="16"/>
              </w:rPr>
              <w:t xml:space="preserve">, </w:t>
            </w:r>
            <w:r w:rsidRPr="0081769D">
              <w:rPr>
                <w:rFonts w:ascii="Arial" w:hAnsi="Arial" w:cs="Arial"/>
                <w:sz w:val="16"/>
                <w:szCs w:val="16"/>
              </w:rPr>
              <w:t>HMG CoA reductase inhibitors</w:t>
            </w:r>
          </w:p>
        </w:tc>
      </w:tr>
      <w:tr w:rsidR="0081769D" w:rsidRPr="00170824" w14:paraId="1974B617" w14:textId="0EB3B82F" w:rsidTr="0081769D">
        <w:tc>
          <w:tcPr>
            <w:tcW w:w="363" w:type="pct"/>
          </w:tcPr>
          <w:p w14:paraId="5CAE13C6" w14:textId="77777777" w:rsidR="008B68A4" w:rsidRPr="00170824" w:rsidRDefault="008B68A4" w:rsidP="00C46C4D">
            <w:pPr>
              <w:jc w:val="both"/>
              <w:rPr>
                <w:rFonts w:ascii="Arial" w:hAnsi="Arial" w:cs="Arial"/>
                <w:sz w:val="16"/>
                <w:szCs w:val="16"/>
              </w:rPr>
            </w:pPr>
            <w:r w:rsidRPr="00170824">
              <w:rPr>
                <w:rFonts w:ascii="Arial" w:hAnsi="Arial" w:cs="Arial"/>
                <w:sz w:val="16"/>
                <w:szCs w:val="16"/>
              </w:rPr>
              <w:t>5</w:t>
            </w:r>
          </w:p>
        </w:tc>
        <w:tc>
          <w:tcPr>
            <w:tcW w:w="829" w:type="pct"/>
          </w:tcPr>
          <w:p w14:paraId="1D39729E" w14:textId="61101F86" w:rsidR="008B68A4" w:rsidRPr="00170824" w:rsidRDefault="008B68A4" w:rsidP="00C46C4D">
            <w:pPr>
              <w:jc w:val="both"/>
              <w:rPr>
                <w:rFonts w:ascii="Arial" w:hAnsi="Arial" w:cs="Arial"/>
                <w:sz w:val="16"/>
                <w:szCs w:val="16"/>
              </w:rPr>
            </w:pPr>
            <w:r w:rsidRPr="00170824">
              <w:rPr>
                <w:rFonts w:ascii="Arial" w:hAnsi="Arial" w:cs="Arial"/>
                <w:sz w:val="16"/>
                <w:szCs w:val="16"/>
              </w:rPr>
              <w:t>Cardiology</w:t>
            </w:r>
            <w:r>
              <w:rPr>
                <w:rFonts w:ascii="Arial" w:hAnsi="Arial" w:cs="Arial"/>
                <w:sz w:val="16"/>
                <w:szCs w:val="16"/>
              </w:rPr>
              <w:t xml:space="preserve"> / Respiratory </w:t>
            </w:r>
          </w:p>
        </w:tc>
        <w:tc>
          <w:tcPr>
            <w:tcW w:w="1851" w:type="pct"/>
          </w:tcPr>
          <w:p w14:paraId="3FEEC927" w14:textId="77777777" w:rsidR="008B68A4" w:rsidRPr="00170824" w:rsidRDefault="008B68A4" w:rsidP="00C46C4D">
            <w:pPr>
              <w:rPr>
                <w:rFonts w:ascii="Arial" w:hAnsi="Arial" w:cs="Arial"/>
                <w:sz w:val="16"/>
                <w:szCs w:val="16"/>
              </w:rPr>
            </w:pPr>
            <w:r w:rsidRPr="00170824">
              <w:rPr>
                <w:rFonts w:ascii="Arial" w:hAnsi="Arial" w:cs="Arial"/>
                <w:sz w:val="16"/>
                <w:szCs w:val="16"/>
              </w:rPr>
              <w:t>58-year-old female admitted for acute pulmonary edema. Her past medical history includes left ataxic hemiparesis, poorly controlled diabetes mellitus, and hypertension. She exhibits shortness of breath, lower limb swelling, and is found to have an NSTEMI with underlying chronic type 2 respiratory failure likely contributed by obstructive sleep apnea.</w:t>
            </w:r>
          </w:p>
        </w:tc>
        <w:tc>
          <w:tcPr>
            <w:tcW w:w="580" w:type="pct"/>
          </w:tcPr>
          <w:p w14:paraId="58703BE3" w14:textId="2248A255" w:rsidR="008B68A4" w:rsidRPr="00170824" w:rsidRDefault="00A24B8B" w:rsidP="001A6451">
            <w:pPr>
              <w:rPr>
                <w:rFonts w:ascii="Arial" w:hAnsi="Arial" w:cs="Arial"/>
                <w:sz w:val="16"/>
                <w:szCs w:val="16"/>
              </w:rPr>
            </w:pPr>
            <w:r>
              <w:rPr>
                <w:rFonts w:ascii="Arial" w:hAnsi="Arial" w:cs="Arial"/>
                <w:sz w:val="16"/>
                <w:szCs w:val="16"/>
              </w:rPr>
              <w:t>16</w:t>
            </w:r>
          </w:p>
        </w:tc>
        <w:tc>
          <w:tcPr>
            <w:tcW w:w="1377" w:type="pct"/>
          </w:tcPr>
          <w:p w14:paraId="1FAD8C83" w14:textId="4BAA0D51" w:rsidR="008B68A4" w:rsidRPr="00170824" w:rsidRDefault="0081769D" w:rsidP="0081769D">
            <w:pPr>
              <w:rPr>
                <w:rFonts w:ascii="Arial" w:hAnsi="Arial" w:cs="Arial"/>
                <w:sz w:val="16"/>
                <w:szCs w:val="16"/>
              </w:rPr>
            </w:pPr>
            <w:r w:rsidRPr="0081769D">
              <w:rPr>
                <w:rFonts w:ascii="Arial" w:hAnsi="Arial" w:cs="Arial"/>
                <w:sz w:val="16"/>
                <w:szCs w:val="16"/>
              </w:rPr>
              <w:t>Insulins and analogues</w:t>
            </w:r>
            <w:r>
              <w:rPr>
                <w:rFonts w:ascii="Arial" w:hAnsi="Arial" w:cs="Arial"/>
                <w:sz w:val="16"/>
                <w:szCs w:val="16"/>
              </w:rPr>
              <w:t xml:space="preserve">, </w:t>
            </w:r>
            <w:r w:rsidRPr="0081769D">
              <w:rPr>
                <w:rFonts w:ascii="Arial" w:hAnsi="Arial" w:cs="Arial"/>
                <w:sz w:val="16"/>
                <w:szCs w:val="16"/>
              </w:rPr>
              <w:t>Organic nitrates</w:t>
            </w:r>
            <w:r>
              <w:rPr>
                <w:rFonts w:ascii="Arial" w:hAnsi="Arial" w:cs="Arial"/>
                <w:sz w:val="16"/>
                <w:szCs w:val="16"/>
              </w:rPr>
              <w:t xml:space="preserve">, </w:t>
            </w:r>
            <w:r w:rsidRPr="0081769D">
              <w:rPr>
                <w:rFonts w:ascii="Arial" w:hAnsi="Arial" w:cs="Arial"/>
                <w:sz w:val="16"/>
                <w:szCs w:val="16"/>
              </w:rPr>
              <w:t>High-ceiling diuretics</w:t>
            </w:r>
            <w:r>
              <w:rPr>
                <w:rFonts w:ascii="Arial" w:hAnsi="Arial" w:cs="Arial"/>
                <w:sz w:val="16"/>
                <w:szCs w:val="16"/>
              </w:rPr>
              <w:t xml:space="preserve">, </w:t>
            </w:r>
            <w:r w:rsidRPr="0081769D">
              <w:rPr>
                <w:rFonts w:ascii="Arial" w:hAnsi="Arial" w:cs="Arial"/>
                <w:sz w:val="16"/>
                <w:szCs w:val="16"/>
              </w:rPr>
              <w:t>Heparin group, low molecular weight heparins</w:t>
            </w:r>
            <w:r>
              <w:rPr>
                <w:rFonts w:ascii="Arial" w:hAnsi="Arial" w:cs="Arial"/>
                <w:sz w:val="16"/>
                <w:szCs w:val="16"/>
              </w:rPr>
              <w:t xml:space="preserve">, </w:t>
            </w:r>
            <w:r w:rsidRPr="0081769D">
              <w:rPr>
                <w:rFonts w:ascii="Arial" w:hAnsi="Arial" w:cs="Arial"/>
                <w:sz w:val="16"/>
                <w:szCs w:val="16"/>
              </w:rPr>
              <w:t>Angiotensin II antagonists,</w:t>
            </w:r>
            <w:r>
              <w:rPr>
                <w:rFonts w:ascii="Arial" w:hAnsi="Arial" w:cs="Arial"/>
                <w:sz w:val="16"/>
                <w:szCs w:val="16"/>
              </w:rPr>
              <w:t xml:space="preserve"> </w:t>
            </w:r>
            <w:r w:rsidRPr="0081769D">
              <w:rPr>
                <w:rFonts w:ascii="Arial" w:hAnsi="Arial" w:cs="Arial"/>
                <w:sz w:val="16"/>
                <w:szCs w:val="16"/>
              </w:rPr>
              <w:t>Beta-blocking agents, selective</w:t>
            </w:r>
            <w:r>
              <w:rPr>
                <w:rFonts w:ascii="Arial" w:hAnsi="Arial" w:cs="Arial"/>
                <w:sz w:val="16"/>
                <w:szCs w:val="16"/>
              </w:rPr>
              <w:t xml:space="preserve">, </w:t>
            </w:r>
            <w:r w:rsidRPr="0081769D">
              <w:rPr>
                <w:rFonts w:ascii="Arial" w:hAnsi="Arial" w:cs="Arial"/>
                <w:sz w:val="16"/>
                <w:szCs w:val="16"/>
              </w:rPr>
              <w:t>Sulfonylureas</w:t>
            </w:r>
            <w:r>
              <w:rPr>
                <w:rFonts w:ascii="Arial" w:hAnsi="Arial" w:cs="Arial"/>
                <w:sz w:val="16"/>
                <w:szCs w:val="16"/>
              </w:rPr>
              <w:t xml:space="preserve">, </w:t>
            </w:r>
            <w:r w:rsidRPr="0081769D">
              <w:rPr>
                <w:rFonts w:ascii="Arial" w:hAnsi="Arial" w:cs="Arial"/>
                <w:sz w:val="16"/>
                <w:szCs w:val="16"/>
              </w:rPr>
              <w:t>Dipeptidyl peptidase 4 (DPP-4) inhibitors</w:t>
            </w:r>
            <w:r>
              <w:rPr>
                <w:rFonts w:ascii="Arial" w:hAnsi="Arial" w:cs="Arial"/>
                <w:sz w:val="16"/>
                <w:szCs w:val="16"/>
              </w:rPr>
              <w:t xml:space="preserve">, </w:t>
            </w:r>
            <w:r w:rsidRPr="0081769D">
              <w:rPr>
                <w:rFonts w:ascii="Arial" w:hAnsi="Arial" w:cs="Arial"/>
                <w:sz w:val="16"/>
                <w:szCs w:val="16"/>
              </w:rPr>
              <w:t>Platelet aggregation inhibitors excl. heparin</w:t>
            </w:r>
            <w:r>
              <w:rPr>
                <w:rFonts w:ascii="Arial" w:hAnsi="Arial" w:cs="Arial"/>
                <w:sz w:val="16"/>
                <w:szCs w:val="16"/>
              </w:rPr>
              <w:t xml:space="preserve">, Proton </w:t>
            </w:r>
            <w:r w:rsidRPr="0081769D">
              <w:rPr>
                <w:rFonts w:ascii="Arial" w:hAnsi="Arial" w:cs="Arial"/>
                <w:sz w:val="16"/>
                <w:szCs w:val="16"/>
              </w:rPr>
              <w:t>pump inhibitors</w:t>
            </w:r>
          </w:p>
        </w:tc>
      </w:tr>
      <w:tr w:rsidR="0081769D" w:rsidRPr="00170824" w14:paraId="2D43F2B7" w14:textId="5FF44239" w:rsidTr="0081769D">
        <w:tc>
          <w:tcPr>
            <w:tcW w:w="363" w:type="pct"/>
          </w:tcPr>
          <w:p w14:paraId="582520FF" w14:textId="36AB53A1" w:rsidR="008B68A4" w:rsidRPr="00170824" w:rsidRDefault="008B68A4" w:rsidP="00C46C4D">
            <w:pPr>
              <w:jc w:val="both"/>
              <w:rPr>
                <w:rFonts w:ascii="Arial" w:hAnsi="Arial" w:cs="Arial"/>
                <w:sz w:val="16"/>
                <w:szCs w:val="16"/>
              </w:rPr>
            </w:pPr>
            <w:r>
              <w:rPr>
                <w:rFonts w:ascii="Arial" w:hAnsi="Arial" w:cs="Arial"/>
                <w:sz w:val="16"/>
                <w:szCs w:val="16"/>
              </w:rPr>
              <w:t>6</w:t>
            </w:r>
          </w:p>
        </w:tc>
        <w:tc>
          <w:tcPr>
            <w:tcW w:w="829" w:type="pct"/>
          </w:tcPr>
          <w:p w14:paraId="236FCE4D" w14:textId="6FC3787B" w:rsidR="008B68A4" w:rsidRPr="00170824" w:rsidRDefault="008B68A4" w:rsidP="00C46C4D">
            <w:pPr>
              <w:jc w:val="both"/>
              <w:rPr>
                <w:rFonts w:ascii="Arial" w:hAnsi="Arial" w:cs="Arial"/>
                <w:sz w:val="16"/>
                <w:szCs w:val="16"/>
              </w:rPr>
            </w:pPr>
            <w:r>
              <w:rPr>
                <w:rFonts w:ascii="Arial" w:hAnsi="Arial" w:cs="Arial"/>
                <w:sz w:val="16"/>
                <w:szCs w:val="16"/>
              </w:rPr>
              <w:t xml:space="preserve">General Medicine </w:t>
            </w:r>
          </w:p>
        </w:tc>
        <w:tc>
          <w:tcPr>
            <w:tcW w:w="1851" w:type="pct"/>
          </w:tcPr>
          <w:p w14:paraId="134A1686" w14:textId="0BCFF442" w:rsidR="008B68A4" w:rsidRPr="00170824" w:rsidRDefault="008B68A4" w:rsidP="00C46C4D">
            <w:pPr>
              <w:rPr>
                <w:rFonts w:ascii="Arial" w:hAnsi="Arial" w:cs="Arial"/>
                <w:sz w:val="16"/>
                <w:szCs w:val="16"/>
              </w:rPr>
            </w:pPr>
            <w:r w:rsidRPr="00170824">
              <w:rPr>
                <w:rFonts w:ascii="Arial" w:hAnsi="Arial" w:cs="Arial"/>
                <w:sz w:val="16"/>
                <w:szCs w:val="16"/>
              </w:rPr>
              <w:t>58-year-old male with a history of hypertension, admitted with dizziness and vertiginous symptoms, associated with difficulty balancing. He has a strong smoking history and had a possible posterior circulation stroke. The patient also shows signs of hyponatremia, high anion gap metabolic acidosis likely from fasting ketoacidosis, and possible polycythemia related to his smoking history.</w:t>
            </w:r>
          </w:p>
        </w:tc>
        <w:tc>
          <w:tcPr>
            <w:tcW w:w="580" w:type="pct"/>
          </w:tcPr>
          <w:p w14:paraId="41E5ADD1" w14:textId="57886B66" w:rsidR="008B68A4" w:rsidRPr="00170824" w:rsidRDefault="00A24B8B" w:rsidP="001A6451">
            <w:pPr>
              <w:rPr>
                <w:rFonts w:ascii="Arial" w:hAnsi="Arial" w:cs="Arial"/>
                <w:sz w:val="16"/>
                <w:szCs w:val="16"/>
              </w:rPr>
            </w:pPr>
            <w:r>
              <w:rPr>
                <w:rFonts w:ascii="Arial" w:hAnsi="Arial" w:cs="Arial"/>
                <w:sz w:val="16"/>
                <w:szCs w:val="16"/>
              </w:rPr>
              <w:t>7</w:t>
            </w:r>
          </w:p>
        </w:tc>
        <w:tc>
          <w:tcPr>
            <w:tcW w:w="1377" w:type="pct"/>
          </w:tcPr>
          <w:p w14:paraId="389D6D3C" w14:textId="34C8D33A" w:rsidR="008B68A4" w:rsidRPr="00170824" w:rsidRDefault="0081769D" w:rsidP="0081769D">
            <w:pPr>
              <w:rPr>
                <w:rFonts w:ascii="Arial" w:hAnsi="Arial" w:cs="Arial"/>
                <w:sz w:val="16"/>
                <w:szCs w:val="16"/>
              </w:rPr>
            </w:pPr>
            <w:r w:rsidRPr="0081769D">
              <w:rPr>
                <w:rFonts w:ascii="Arial" w:hAnsi="Arial" w:cs="Arial"/>
                <w:sz w:val="16"/>
                <w:szCs w:val="16"/>
              </w:rPr>
              <w:t>Angiotensin-converting enzyme inhibitors</w:t>
            </w:r>
            <w:r>
              <w:rPr>
                <w:rFonts w:ascii="Arial" w:hAnsi="Arial" w:cs="Arial"/>
                <w:sz w:val="16"/>
                <w:szCs w:val="16"/>
              </w:rPr>
              <w:t xml:space="preserve">, </w:t>
            </w:r>
            <w:r w:rsidRPr="0081769D">
              <w:rPr>
                <w:rFonts w:ascii="Arial" w:hAnsi="Arial" w:cs="Arial"/>
                <w:sz w:val="16"/>
                <w:szCs w:val="16"/>
              </w:rPr>
              <w:t>Platelet aggregation inhibitors excl. heparin</w:t>
            </w:r>
            <w:r>
              <w:rPr>
                <w:rFonts w:ascii="Arial" w:hAnsi="Arial" w:cs="Arial"/>
                <w:sz w:val="16"/>
                <w:szCs w:val="16"/>
              </w:rPr>
              <w:t xml:space="preserve">, </w:t>
            </w:r>
            <w:r w:rsidRPr="0081769D">
              <w:rPr>
                <w:rFonts w:ascii="Arial" w:hAnsi="Arial" w:cs="Arial"/>
                <w:sz w:val="16"/>
                <w:szCs w:val="16"/>
              </w:rPr>
              <w:t>HMG CoA reductase inhibitors</w:t>
            </w:r>
            <w:r>
              <w:rPr>
                <w:rFonts w:ascii="Arial" w:hAnsi="Arial" w:cs="Arial"/>
                <w:sz w:val="16"/>
                <w:szCs w:val="16"/>
              </w:rPr>
              <w:t xml:space="preserve">, </w:t>
            </w:r>
            <w:r w:rsidRPr="0081769D">
              <w:rPr>
                <w:rFonts w:ascii="Arial" w:hAnsi="Arial" w:cs="Arial"/>
                <w:sz w:val="16"/>
                <w:szCs w:val="16"/>
              </w:rPr>
              <w:t>Combination of penicillins, including beta-lactamase inhibitors</w:t>
            </w:r>
          </w:p>
        </w:tc>
      </w:tr>
      <w:tr w:rsidR="0081769D" w:rsidRPr="00170824" w14:paraId="5EDC41FA" w14:textId="0A745930" w:rsidTr="0081769D">
        <w:tc>
          <w:tcPr>
            <w:tcW w:w="363" w:type="pct"/>
          </w:tcPr>
          <w:p w14:paraId="22C321A3" w14:textId="65B40F32" w:rsidR="008B68A4" w:rsidRPr="00170824" w:rsidRDefault="008B68A4" w:rsidP="00C46C4D">
            <w:pPr>
              <w:jc w:val="both"/>
              <w:rPr>
                <w:rFonts w:ascii="Arial" w:hAnsi="Arial" w:cs="Arial"/>
                <w:sz w:val="16"/>
                <w:szCs w:val="16"/>
              </w:rPr>
            </w:pPr>
            <w:r>
              <w:rPr>
                <w:rFonts w:ascii="Arial" w:hAnsi="Arial" w:cs="Arial"/>
                <w:sz w:val="16"/>
                <w:szCs w:val="16"/>
              </w:rPr>
              <w:t>7</w:t>
            </w:r>
          </w:p>
        </w:tc>
        <w:tc>
          <w:tcPr>
            <w:tcW w:w="829" w:type="pct"/>
          </w:tcPr>
          <w:p w14:paraId="32EE24CF" w14:textId="5959DC97" w:rsidR="008B68A4" w:rsidRPr="00170824" w:rsidRDefault="008B68A4" w:rsidP="00C46C4D">
            <w:pPr>
              <w:jc w:val="both"/>
              <w:rPr>
                <w:rFonts w:ascii="Arial" w:hAnsi="Arial" w:cs="Arial"/>
                <w:sz w:val="16"/>
                <w:szCs w:val="16"/>
              </w:rPr>
            </w:pPr>
            <w:r>
              <w:rPr>
                <w:rFonts w:ascii="Arial" w:hAnsi="Arial" w:cs="Arial"/>
                <w:sz w:val="16"/>
                <w:szCs w:val="16"/>
              </w:rPr>
              <w:t xml:space="preserve">Endocrinology </w:t>
            </w:r>
          </w:p>
        </w:tc>
        <w:tc>
          <w:tcPr>
            <w:tcW w:w="1851" w:type="pct"/>
          </w:tcPr>
          <w:p w14:paraId="7506F4AF" w14:textId="5BB90FC3" w:rsidR="008B68A4" w:rsidRPr="00170824" w:rsidRDefault="008B68A4" w:rsidP="00C46C4D">
            <w:pPr>
              <w:rPr>
                <w:rFonts w:ascii="Arial" w:hAnsi="Arial" w:cs="Arial"/>
                <w:sz w:val="16"/>
                <w:szCs w:val="16"/>
              </w:rPr>
            </w:pPr>
            <w:r w:rsidRPr="00170824">
              <w:rPr>
                <w:rFonts w:ascii="Arial" w:hAnsi="Arial" w:cs="Arial"/>
                <w:sz w:val="16"/>
                <w:szCs w:val="16"/>
              </w:rPr>
              <w:t xml:space="preserve">65-year-old </w:t>
            </w:r>
            <w:r>
              <w:rPr>
                <w:rFonts w:ascii="Arial" w:hAnsi="Arial" w:cs="Arial"/>
                <w:sz w:val="16"/>
                <w:szCs w:val="16"/>
              </w:rPr>
              <w:t xml:space="preserve">Indian </w:t>
            </w:r>
            <w:r w:rsidRPr="00170824">
              <w:rPr>
                <w:rFonts w:ascii="Arial" w:hAnsi="Arial" w:cs="Arial"/>
                <w:sz w:val="16"/>
                <w:szCs w:val="16"/>
              </w:rPr>
              <w:t>female with a history of type 2 diabetes mellitus, hyperlipidemia, hypertension, osteoarthritis, and a past surgical procedure for a distal radius fracture. She was recently admitted for Group B streptococcus bacteremia secondary to pneumonia and experienced septic shock. She presented with a</w:t>
            </w:r>
            <w:r>
              <w:rPr>
                <w:rFonts w:ascii="Arial" w:hAnsi="Arial" w:cs="Arial"/>
                <w:sz w:val="16"/>
                <w:szCs w:val="16"/>
              </w:rPr>
              <w:t xml:space="preserve">n unwitnessed </w:t>
            </w:r>
            <w:r w:rsidRPr="00170824">
              <w:rPr>
                <w:rFonts w:ascii="Arial" w:hAnsi="Arial" w:cs="Arial"/>
                <w:sz w:val="16"/>
                <w:szCs w:val="16"/>
              </w:rPr>
              <w:t>loss of consciousness and was found to have hypoglycemia and acute kidney injury</w:t>
            </w:r>
            <w:r>
              <w:rPr>
                <w:rFonts w:ascii="Arial" w:hAnsi="Arial" w:cs="Arial"/>
                <w:sz w:val="16"/>
                <w:szCs w:val="16"/>
              </w:rPr>
              <w:t xml:space="preserve"> on admission </w:t>
            </w:r>
          </w:p>
        </w:tc>
        <w:tc>
          <w:tcPr>
            <w:tcW w:w="580" w:type="pct"/>
          </w:tcPr>
          <w:p w14:paraId="69D3A2CE" w14:textId="5876A1B7" w:rsidR="008B68A4" w:rsidRPr="00170824" w:rsidRDefault="00A24B8B" w:rsidP="001A6451">
            <w:pPr>
              <w:rPr>
                <w:rFonts w:ascii="Arial" w:hAnsi="Arial" w:cs="Arial"/>
                <w:sz w:val="16"/>
                <w:szCs w:val="16"/>
              </w:rPr>
            </w:pPr>
            <w:r>
              <w:rPr>
                <w:rFonts w:ascii="Arial" w:hAnsi="Arial" w:cs="Arial"/>
                <w:sz w:val="16"/>
                <w:szCs w:val="16"/>
              </w:rPr>
              <w:t>10</w:t>
            </w:r>
          </w:p>
        </w:tc>
        <w:tc>
          <w:tcPr>
            <w:tcW w:w="1377" w:type="pct"/>
          </w:tcPr>
          <w:p w14:paraId="2C8E375E" w14:textId="26B4C087" w:rsidR="008B68A4" w:rsidRPr="00170824" w:rsidRDefault="00A1056E" w:rsidP="00A1056E">
            <w:pPr>
              <w:rPr>
                <w:rFonts w:ascii="Arial" w:hAnsi="Arial" w:cs="Arial"/>
                <w:sz w:val="16"/>
                <w:szCs w:val="16"/>
              </w:rPr>
            </w:pPr>
            <w:r w:rsidRPr="00A1056E">
              <w:rPr>
                <w:rFonts w:ascii="Arial" w:hAnsi="Arial" w:cs="Arial"/>
                <w:sz w:val="16"/>
                <w:szCs w:val="16"/>
              </w:rPr>
              <w:t>Angiotensin-converting enzyme inhibitors</w:t>
            </w:r>
            <w:r>
              <w:rPr>
                <w:rFonts w:ascii="Arial" w:hAnsi="Arial" w:cs="Arial"/>
                <w:sz w:val="16"/>
                <w:szCs w:val="16"/>
              </w:rPr>
              <w:t xml:space="preserve">, </w:t>
            </w:r>
            <w:r w:rsidRPr="00A1056E">
              <w:rPr>
                <w:rFonts w:ascii="Arial" w:hAnsi="Arial" w:cs="Arial"/>
                <w:sz w:val="16"/>
                <w:szCs w:val="16"/>
              </w:rPr>
              <w:t>Other antiepileptics)</w:t>
            </w:r>
            <w:r>
              <w:rPr>
                <w:rFonts w:ascii="Arial" w:hAnsi="Arial" w:cs="Arial"/>
                <w:sz w:val="16"/>
                <w:szCs w:val="16"/>
              </w:rPr>
              <w:t xml:space="preserve">, </w:t>
            </w:r>
            <w:r w:rsidRPr="00A1056E">
              <w:rPr>
                <w:rFonts w:ascii="Arial" w:hAnsi="Arial" w:cs="Arial"/>
                <w:sz w:val="16"/>
                <w:szCs w:val="16"/>
              </w:rPr>
              <w:t>Sulfonylureas</w:t>
            </w:r>
            <w:r>
              <w:rPr>
                <w:rFonts w:ascii="Arial" w:hAnsi="Arial" w:cs="Arial"/>
                <w:sz w:val="16"/>
                <w:szCs w:val="16"/>
              </w:rPr>
              <w:t xml:space="preserve">, </w:t>
            </w:r>
            <w:r w:rsidRPr="00A1056E">
              <w:rPr>
                <w:rFonts w:ascii="Arial" w:hAnsi="Arial" w:cs="Arial"/>
                <w:sz w:val="16"/>
                <w:szCs w:val="16"/>
              </w:rPr>
              <w:t>Biguanides</w:t>
            </w:r>
            <w:r>
              <w:rPr>
                <w:rFonts w:ascii="Arial" w:hAnsi="Arial" w:cs="Arial"/>
                <w:sz w:val="16"/>
                <w:szCs w:val="16"/>
              </w:rPr>
              <w:t xml:space="preserve">, </w:t>
            </w:r>
            <w:r w:rsidRPr="00A1056E">
              <w:rPr>
                <w:rFonts w:ascii="Arial" w:hAnsi="Arial" w:cs="Arial"/>
                <w:sz w:val="16"/>
                <w:szCs w:val="16"/>
              </w:rPr>
              <w:t>HMG CoA reductase inhibitors</w:t>
            </w:r>
            <w:r>
              <w:rPr>
                <w:rFonts w:ascii="Arial" w:hAnsi="Arial" w:cs="Arial"/>
                <w:sz w:val="16"/>
                <w:szCs w:val="16"/>
              </w:rPr>
              <w:t xml:space="preserve">, </w:t>
            </w:r>
            <w:r w:rsidRPr="00A1056E">
              <w:rPr>
                <w:rFonts w:ascii="Arial" w:hAnsi="Arial" w:cs="Arial"/>
                <w:sz w:val="16"/>
                <w:szCs w:val="16"/>
              </w:rPr>
              <w:t>High-ceiling diuretics</w:t>
            </w:r>
            <w:r>
              <w:rPr>
                <w:rFonts w:ascii="Arial" w:hAnsi="Arial" w:cs="Arial"/>
                <w:sz w:val="16"/>
                <w:szCs w:val="16"/>
              </w:rPr>
              <w:t xml:space="preserve">, </w:t>
            </w:r>
            <w:r w:rsidRPr="00A1056E">
              <w:rPr>
                <w:rFonts w:ascii="Arial" w:hAnsi="Arial" w:cs="Arial"/>
                <w:sz w:val="16"/>
                <w:szCs w:val="16"/>
              </w:rPr>
              <w:t>Acetic acid derivatives and related substances</w:t>
            </w:r>
          </w:p>
        </w:tc>
      </w:tr>
      <w:tr w:rsidR="0081769D" w:rsidRPr="00170824" w14:paraId="72538ED9" w14:textId="66EEDC13" w:rsidTr="0081769D">
        <w:tc>
          <w:tcPr>
            <w:tcW w:w="363" w:type="pct"/>
          </w:tcPr>
          <w:p w14:paraId="42DC0D34" w14:textId="47B7CFF3" w:rsidR="008B68A4" w:rsidRPr="00170824" w:rsidRDefault="008B68A4" w:rsidP="00C46C4D">
            <w:pPr>
              <w:jc w:val="both"/>
              <w:rPr>
                <w:rFonts w:ascii="Arial" w:hAnsi="Arial" w:cs="Arial"/>
                <w:sz w:val="16"/>
                <w:szCs w:val="16"/>
              </w:rPr>
            </w:pPr>
            <w:r>
              <w:rPr>
                <w:rFonts w:ascii="Arial" w:hAnsi="Arial" w:cs="Arial"/>
                <w:sz w:val="16"/>
                <w:szCs w:val="16"/>
              </w:rPr>
              <w:lastRenderedPageBreak/>
              <w:t>8</w:t>
            </w:r>
          </w:p>
        </w:tc>
        <w:tc>
          <w:tcPr>
            <w:tcW w:w="829" w:type="pct"/>
          </w:tcPr>
          <w:p w14:paraId="0EF367A0" w14:textId="62BCA2DE" w:rsidR="008B68A4" w:rsidRPr="00170824" w:rsidRDefault="008B68A4" w:rsidP="00C46C4D">
            <w:pPr>
              <w:jc w:val="both"/>
              <w:rPr>
                <w:rFonts w:ascii="Arial" w:hAnsi="Arial" w:cs="Arial"/>
                <w:sz w:val="16"/>
                <w:szCs w:val="16"/>
              </w:rPr>
            </w:pPr>
            <w:r>
              <w:rPr>
                <w:rFonts w:ascii="Arial" w:hAnsi="Arial" w:cs="Arial"/>
                <w:sz w:val="16"/>
                <w:szCs w:val="16"/>
              </w:rPr>
              <w:t xml:space="preserve">Endocrinology </w:t>
            </w:r>
          </w:p>
        </w:tc>
        <w:tc>
          <w:tcPr>
            <w:tcW w:w="1851" w:type="pct"/>
          </w:tcPr>
          <w:p w14:paraId="2ADB0F89" w14:textId="75907276" w:rsidR="008B68A4" w:rsidRPr="00170824" w:rsidRDefault="008B68A4" w:rsidP="00C46C4D">
            <w:pPr>
              <w:rPr>
                <w:rFonts w:ascii="Arial" w:hAnsi="Arial" w:cs="Arial"/>
                <w:sz w:val="16"/>
                <w:szCs w:val="16"/>
              </w:rPr>
            </w:pPr>
            <w:r w:rsidRPr="00170824">
              <w:rPr>
                <w:rFonts w:ascii="Arial" w:hAnsi="Arial" w:cs="Arial"/>
                <w:sz w:val="16"/>
                <w:szCs w:val="16"/>
              </w:rPr>
              <w:t xml:space="preserve">68-year-old Chinese female with hypertension and osteoarthritis. She was previously admitted for severe symptomatic hypercalcemia with inappropriately normal parathyroid hormone levels, acute kidney injury, urinary tract infection, hypertensive urgency, anemia, and bilateral lower limb weakness due to cervical myelopathy. She is currently admitted </w:t>
            </w:r>
            <w:r>
              <w:rPr>
                <w:rFonts w:ascii="Arial" w:hAnsi="Arial" w:cs="Arial"/>
                <w:sz w:val="16"/>
                <w:szCs w:val="16"/>
              </w:rPr>
              <w:t xml:space="preserve">from clinic </w:t>
            </w:r>
            <w:r w:rsidRPr="00170824">
              <w:rPr>
                <w:rFonts w:ascii="Arial" w:hAnsi="Arial" w:cs="Arial"/>
                <w:sz w:val="16"/>
                <w:szCs w:val="16"/>
              </w:rPr>
              <w:t>for hypercalcemia management.</w:t>
            </w:r>
          </w:p>
        </w:tc>
        <w:tc>
          <w:tcPr>
            <w:tcW w:w="580" w:type="pct"/>
          </w:tcPr>
          <w:p w14:paraId="2CA976AD" w14:textId="20923F40" w:rsidR="008B68A4" w:rsidRPr="00170824" w:rsidRDefault="00A24B8B" w:rsidP="001A6451">
            <w:pPr>
              <w:rPr>
                <w:rFonts w:ascii="Arial" w:hAnsi="Arial" w:cs="Arial"/>
                <w:sz w:val="16"/>
                <w:szCs w:val="16"/>
              </w:rPr>
            </w:pPr>
            <w:r>
              <w:rPr>
                <w:rFonts w:ascii="Arial" w:hAnsi="Arial" w:cs="Arial"/>
                <w:sz w:val="16"/>
                <w:szCs w:val="16"/>
              </w:rPr>
              <w:t>11</w:t>
            </w:r>
          </w:p>
        </w:tc>
        <w:tc>
          <w:tcPr>
            <w:tcW w:w="1377" w:type="pct"/>
          </w:tcPr>
          <w:p w14:paraId="747DB751" w14:textId="6F56A9F8" w:rsidR="008B68A4" w:rsidRPr="00170824" w:rsidRDefault="00A1056E" w:rsidP="00A1056E">
            <w:pPr>
              <w:rPr>
                <w:rFonts w:ascii="Arial" w:hAnsi="Arial" w:cs="Arial"/>
                <w:sz w:val="16"/>
                <w:szCs w:val="16"/>
              </w:rPr>
            </w:pPr>
            <w:r w:rsidRPr="00A1056E">
              <w:rPr>
                <w:rFonts w:ascii="Arial" w:hAnsi="Arial" w:cs="Arial"/>
                <w:sz w:val="16"/>
                <w:szCs w:val="16"/>
              </w:rPr>
              <w:t>Calcitonins</w:t>
            </w:r>
            <w:r>
              <w:rPr>
                <w:rFonts w:ascii="Arial" w:hAnsi="Arial" w:cs="Arial"/>
                <w:sz w:val="16"/>
                <w:szCs w:val="16"/>
              </w:rPr>
              <w:t xml:space="preserve">, </w:t>
            </w:r>
            <w:r w:rsidRPr="00A1056E">
              <w:rPr>
                <w:rFonts w:ascii="Arial" w:hAnsi="Arial" w:cs="Arial"/>
                <w:sz w:val="16"/>
                <w:szCs w:val="16"/>
              </w:rPr>
              <w:t>Propulsives</w:t>
            </w:r>
            <w:r>
              <w:rPr>
                <w:rFonts w:ascii="Arial" w:hAnsi="Arial" w:cs="Arial"/>
                <w:sz w:val="16"/>
                <w:szCs w:val="16"/>
              </w:rPr>
              <w:t xml:space="preserve">, </w:t>
            </w:r>
            <w:r w:rsidRPr="00A1056E">
              <w:rPr>
                <w:rFonts w:ascii="Arial" w:hAnsi="Arial" w:cs="Arial"/>
                <w:sz w:val="16"/>
                <w:szCs w:val="16"/>
              </w:rPr>
              <w:t>Angiotensin II antagonists,Anilides</w:t>
            </w:r>
            <w:r>
              <w:rPr>
                <w:rFonts w:ascii="Arial" w:hAnsi="Arial" w:cs="Arial"/>
                <w:sz w:val="16"/>
                <w:szCs w:val="16"/>
              </w:rPr>
              <w:t xml:space="preserve">, </w:t>
            </w:r>
            <w:r w:rsidRPr="00A1056E">
              <w:rPr>
                <w:rFonts w:ascii="Arial" w:hAnsi="Arial" w:cs="Arial"/>
                <w:sz w:val="16"/>
                <w:szCs w:val="16"/>
              </w:rPr>
              <w:t>Antivertigo preparations</w:t>
            </w:r>
            <w:r>
              <w:rPr>
                <w:rFonts w:ascii="Arial" w:hAnsi="Arial" w:cs="Arial"/>
                <w:sz w:val="16"/>
                <w:szCs w:val="16"/>
              </w:rPr>
              <w:t xml:space="preserve">, </w:t>
            </w:r>
            <w:r w:rsidRPr="00A1056E">
              <w:rPr>
                <w:rFonts w:ascii="Arial" w:hAnsi="Arial" w:cs="Arial"/>
                <w:sz w:val="16"/>
                <w:szCs w:val="16"/>
              </w:rPr>
              <w:t>Osmotically acting laxatives</w:t>
            </w:r>
            <w:r>
              <w:rPr>
                <w:rFonts w:ascii="Arial" w:hAnsi="Arial" w:cs="Arial"/>
                <w:sz w:val="16"/>
                <w:szCs w:val="16"/>
              </w:rPr>
              <w:t xml:space="preserve">, </w:t>
            </w:r>
            <w:r w:rsidRPr="00A1056E">
              <w:rPr>
                <w:rFonts w:ascii="Arial" w:hAnsi="Arial" w:cs="Arial"/>
                <w:sz w:val="16"/>
                <w:szCs w:val="16"/>
              </w:rPr>
              <w:t>Vitamin D and analogues</w:t>
            </w:r>
            <w:r>
              <w:rPr>
                <w:rFonts w:ascii="Arial" w:hAnsi="Arial" w:cs="Arial"/>
                <w:sz w:val="16"/>
                <w:szCs w:val="16"/>
              </w:rPr>
              <w:t xml:space="preserve">, </w:t>
            </w:r>
            <w:r w:rsidRPr="00A1056E">
              <w:rPr>
                <w:rFonts w:ascii="Arial" w:hAnsi="Arial" w:cs="Arial"/>
                <w:sz w:val="16"/>
                <w:szCs w:val="16"/>
              </w:rPr>
              <w:t>Dihydropyridine derivatives</w:t>
            </w:r>
          </w:p>
        </w:tc>
      </w:tr>
      <w:tr w:rsidR="0081769D" w:rsidRPr="00170824" w14:paraId="0E2276E8" w14:textId="15EE8647" w:rsidTr="0081769D">
        <w:tc>
          <w:tcPr>
            <w:tcW w:w="363" w:type="pct"/>
          </w:tcPr>
          <w:p w14:paraId="0A9C13C5" w14:textId="71B16E7F" w:rsidR="008B68A4" w:rsidRPr="00170824" w:rsidRDefault="008B68A4" w:rsidP="00C46C4D">
            <w:pPr>
              <w:jc w:val="both"/>
              <w:rPr>
                <w:rFonts w:ascii="Arial" w:hAnsi="Arial" w:cs="Arial"/>
                <w:sz w:val="16"/>
                <w:szCs w:val="16"/>
              </w:rPr>
            </w:pPr>
            <w:r>
              <w:rPr>
                <w:rFonts w:ascii="Arial" w:hAnsi="Arial" w:cs="Arial"/>
                <w:sz w:val="16"/>
                <w:szCs w:val="16"/>
              </w:rPr>
              <w:t>9</w:t>
            </w:r>
          </w:p>
        </w:tc>
        <w:tc>
          <w:tcPr>
            <w:tcW w:w="829" w:type="pct"/>
          </w:tcPr>
          <w:p w14:paraId="20AF267D" w14:textId="619ACEEC" w:rsidR="008B68A4" w:rsidRPr="00170824" w:rsidRDefault="008B68A4" w:rsidP="00C46C4D">
            <w:pPr>
              <w:jc w:val="both"/>
              <w:rPr>
                <w:rFonts w:ascii="Arial" w:hAnsi="Arial" w:cs="Arial"/>
                <w:sz w:val="16"/>
                <w:szCs w:val="16"/>
              </w:rPr>
            </w:pPr>
            <w:r>
              <w:rPr>
                <w:rFonts w:ascii="Arial" w:hAnsi="Arial" w:cs="Arial"/>
                <w:sz w:val="16"/>
                <w:szCs w:val="16"/>
              </w:rPr>
              <w:t xml:space="preserve">Endocrinology / Infectious disease / Vascular </w:t>
            </w:r>
          </w:p>
        </w:tc>
        <w:tc>
          <w:tcPr>
            <w:tcW w:w="1851" w:type="pct"/>
          </w:tcPr>
          <w:p w14:paraId="7A644C8B" w14:textId="699415BD" w:rsidR="008B68A4" w:rsidRPr="00170824" w:rsidRDefault="008B68A4" w:rsidP="00C46C4D">
            <w:pPr>
              <w:rPr>
                <w:rFonts w:ascii="Arial" w:hAnsi="Arial" w:cs="Arial"/>
                <w:sz w:val="16"/>
                <w:szCs w:val="16"/>
              </w:rPr>
            </w:pPr>
            <w:r w:rsidRPr="00ED4357">
              <w:rPr>
                <w:rFonts w:ascii="Arial" w:hAnsi="Arial" w:cs="Arial"/>
                <w:sz w:val="16"/>
                <w:szCs w:val="16"/>
              </w:rPr>
              <w:t xml:space="preserve">71-year-old Chinese male with a complex medical history including ischemic heart disease, poorly controlled type 2 diabetes mellitus, peripheral vascular disease, chronic kidney disease stage 4, and moderate-severe dementia. He has been admitted multiple times for fluid overload and is currently admitted for the same issue. The patient also has </w:t>
            </w:r>
            <w:r>
              <w:rPr>
                <w:rFonts w:ascii="Arial" w:hAnsi="Arial" w:cs="Arial"/>
                <w:sz w:val="16"/>
                <w:szCs w:val="16"/>
              </w:rPr>
              <w:t xml:space="preserve">infected </w:t>
            </w:r>
            <w:r w:rsidRPr="00ED4357">
              <w:rPr>
                <w:rFonts w:ascii="Arial" w:hAnsi="Arial" w:cs="Arial"/>
                <w:sz w:val="16"/>
                <w:szCs w:val="16"/>
              </w:rPr>
              <w:t xml:space="preserve">lower limb </w:t>
            </w:r>
            <w:r>
              <w:rPr>
                <w:rFonts w:ascii="Arial" w:hAnsi="Arial" w:cs="Arial"/>
                <w:sz w:val="16"/>
                <w:szCs w:val="16"/>
              </w:rPr>
              <w:t xml:space="preserve">diabetic </w:t>
            </w:r>
            <w:r w:rsidRPr="00ED4357">
              <w:rPr>
                <w:rFonts w:ascii="Arial" w:hAnsi="Arial" w:cs="Arial"/>
                <w:sz w:val="16"/>
                <w:szCs w:val="16"/>
              </w:rPr>
              <w:t>ulcers and a painful indwelling catheter.</w:t>
            </w:r>
          </w:p>
        </w:tc>
        <w:tc>
          <w:tcPr>
            <w:tcW w:w="580" w:type="pct"/>
          </w:tcPr>
          <w:p w14:paraId="6BFE7CF5" w14:textId="50292C7F" w:rsidR="008B68A4" w:rsidRPr="00170824" w:rsidRDefault="00A24B8B" w:rsidP="001A6451">
            <w:pPr>
              <w:rPr>
                <w:rFonts w:ascii="Arial" w:hAnsi="Arial" w:cs="Arial"/>
                <w:sz w:val="16"/>
                <w:szCs w:val="16"/>
              </w:rPr>
            </w:pPr>
            <w:r>
              <w:rPr>
                <w:rFonts w:ascii="Arial" w:hAnsi="Arial" w:cs="Arial"/>
                <w:sz w:val="16"/>
                <w:szCs w:val="16"/>
              </w:rPr>
              <w:t>10</w:t>
            </w:r>
          </w:p>
        </w:tc>
        <w:tc>
          <w:tcPr>
            <w:tcW w:w="1377" w:type="pct"/>
          </w:tcPr>
          <w:p w14:paraId="7AA22230" w14:textId="4421B86B" w:rsidR="008B68A4" w:rsidRPr="00170824" w:rsidRDefault="00A1056E" w:rsidP="00A1056E">
            <w:pPr>
              <w:rPr>
                <w:rFonts w:ascii="Arial" w:hAnsi="Arial" w:cs="Arial"/>
                <w:sz w:val="16"/>
                <w:szCs w:val="16"/>
              </w:rPr>
            </w:pPr>
            <w:r w:rsidRPr="00A1056E">
              <w:rPr>
                <w:rFonts w:ascii="Arial" w:hAnsi="Arial" w:cs="Arial"/>
                <w:sz w:val="16"/>
                <w:szCs w:val="16"/>
              </w:rPr>
              <w:t>Insulins and analogues</w:t>
            </w:r>
            <w:r>
              <w:rPr>
                <w:rFonts w:ascii="Arial" w:hAnsi="Arial" w:cs="Arial"/>
                <w:sz w:val="16"/>
                <w:szCs w:val="16"/>
              </w:rPr>
              <w:t xml:space="preserve">, </w:t>
            </w:r>
            <w:r w:rsidRPr="00A1056E">
              <w:rPr>
                <w:rFonts w:ascii="Arial" w:hAnsi="Arial" w:cs="Arial"/>
                <w:sz w:val="16"/>
                <w:szCs w:val="16"/>
              </w:rPr>
              <w:t>High-ceiling diuretics</w:t>
            </w:r>
            <w:r>
              <w:rPr>
                <w:rFonts w:ascii="Arial" w:hAnsi="Arial" w:cs="Arial"/>
                <w:sz w:val="16"/>
                <w:szCs w:val="16"/>
              </w:rPr>
              <w:t xml:space="preserve">, </w:t>
            </w:r>
            <w:r w:rsidRPr="00A1056E">
              <w:rPr>
                <w:rFonts w:ascii="Arial" w:hAnsi="Arial" w:cs="Arial"/>
                <w:sz w:val="16"/>
                <w:szCs w:val="16"/>
              </w:rPr>
              <w:t>Biguanides</w:t>
            </w:r>
            <w:r>
              <w:rPr>
                <w:rFonts w:ascii="Arial" w:hAnsi="Arial" w:cs="Arial"/>
                <w:sz w:val="16"/>
                <w:szCs w:val="16"/>
              </w:rPr>
              <w:t xml:space="preserve">, </w:t>
            </w:r>
            <w:r w:rsidRPr="00A1056E">
              <w:rPr>
                <w:rFonts w:ascii="Arial" w:hAnsi="Arial" w:cs="Arial"/>
                <w:sz w:val="16"/>
                <w:szCs w:val="16"/>
              </w:rPr>
              <w:t>HMG CoA reductase inhibitors</w:t>
            </w:r>
            <w:r>
              <w:rPr>
                <w:rFonts w:ascii="Arial" w:hAnsi="Arial" w:cs="Arial"/>
                <w:sz w:val="16"/>
                <w:szCs w:val="16"/>
              </w:rPr>
              <w:t xml:space="preserve">, </w:t>
            </w:r>
            <w:r w:rsidRPr="00A1056E">
              <w:rPr>
                <w:rFonts w:ascii="Arial" w:hAnsi="Arial" w:cs="Arial"/>
                <w:sz w:val="16"/>
                <w:szCs w:val="16"/>
              </w:rPr>
              <w:t>Platelet aggregation inhibitors excl. heparin</w:t>
            </w:r>
            <w:r>
              <w:rPr>
                <w:rFonts w:ascii="Arial" w:hAnsi="Arial" w:cs="Arial"/>
                <w:sz w:val="16"/>
                <w:szCs w:val="16"/>
              </w:rPr>
              <w:t xml:space="preserve">, </w:t>
            </w:r>
            <w:r w:rsidRPr="00A1056E">
              <w:rPr>
                <w:rFonts w:ascii="Arial" w:hAnsi="Arial" w:cs="Arial"/>
                <w:sz w:val="16"/>
                <w:szCs w:val="16"/>
              </w:rPr>
              <w:t>H2-receptor antagonists</w:t>
            </w:r>
            <w:r>
              <w:rPr>
                <w:rFonts w:ascii="Arial" w:hAnsi="Arial" w:cs="Arial"/>
                <w:sz w:val="16"/>
                <w:szCs w:val="16"/>
              </w:rPr>
              <w:t xml:space="preserve">, </w:t>
            </w:r>
            <w:r w:rsidRPr="00A1056E">
              <w:rPr>
                <w:rFonts w:ascii="Arial" w:hAnsi="Arial" w:cs="Arial"/>
                <w:sz w:val="16"/>
                <w:szCs w:val="16"/>
              </w:rPr>
              <w:t>Contact laxatives</w:t>
            </w:r>
          </w:p>
        </w:tc>
      </w:tr>
      <w:tr w:rsidR="0081769D" w:rsidRPr="00170824" w14:paraId="31A09EBE" w14:textId="390687D2" w:rsidTr="0081769D">
        <w:tc>
          <w:tcPr>
            <w:tcW w:w="363" w:type="pct"/>
          </w:tcPr>
          <w:p w14:paraId="5B3860B2" w14:textId="0ADCA815" w:rsidR="008B68A4" w:rsidRPr="00170824" w:rsidRDefault="008B68A4" w:rsidP="00C46C4D">
            <w:pPr>
              <w:jc w:val="both"/>
              <w:rPr>
                <w:rFonts w:ascii="Arial" w:hAnsi="Arial" w:cs="Arial"/>
                <w:sz w:val="16"/>
                <w:szCs w:val="16"/>
              </w:rPr>
            </w:pPr>
            <w:r>
              <w:rPr>
                <w:rFonts w:ascii="Arial" w:hAnsi="Arial" w:cs="Arial"/>
                <w:sz w:val="16"/>
                <w:szCs w:val="16"/>
              </w:rPr>
              <w:t>10</w:t>
            </w:r>
          </w:p>
        </w:tc>
        <w:tc>
          <w:tcPr>
            <w:tcW w:w="829" w:type="pct"/>
          </w:tcPr>
          <w:p w14:paraId="47E14AFC" w14:textId="77777777" w:rsidR="008B68A4" w:rsidRDefault="008B68A4" w:rsidP="00C46C4D">
            <w:pPr>
              <w:jc w:val="both"/>
              <w:rPr>
                <w:rFonts w:ascii="Arial" w:hAnsi="Arial" w:cs="Arial"/>
                <w:sz w:val="16"/>
                <w:szCs w:val="16"/>
              </w:rPr>
            </w:pPr>
            <w:r>
              <w:rPr>
                <w:rFonts w:ascii="Arial" w:hAnsi="Arial" w:cs="Arial"/>
                <w:sz w:val="16"/>
                <w:szCs w:val="16"/>
              </w:rPr>
              <w:t xml:space="preserve">Ophthalmology </w:t>
            </w:r>
          </w:p>
          <w:p w14:paraId="1CE27245" w14:textId="7B994987" w:rsidR="008B68A4" w:rsidRPr="002E0FE0" w:rsidRDefault="008B68A4" w:rsidP="002E0FE0">
            <w:pPr>
              <w:jc w:val="center"/>
              <w:rPr>
                <w:rFonts w:ascii="Arial" w:hAnsi="Arial" w:cs="Arial"/>
                <w:sz w:val="16"/>
                <w:szCs w:val="16"/>
              </w:rPr>
            </w:pPr>
          </w:p>
        </w:tc>
        <w:tc>
          <w:tcPr>
            <w:tcW w:w="1851" w:type="pct"/>
          </w:tcPr>
          <w:p w14:paraId="3646803B" w14:textId="76A0CD7E" w:rsidR="008B68A4" w:rsidRPr="00170824" w:rsidRDefault="008B68A4" w:rsidP="00C46C4D">
            <w:pPr>
              <w:rPr>
                <w:rFonts w:ascii="Arial" w:hAnsi="Arial" w:cs="Arial"/>
                <w:sz w:val="16"/>
                <w:szCs w:val="16"/>
              </w:rPr>
            </w:pPr>
            <w:r>
              <w:rPr>
                <w:rFonts w:ascii="Arial" w:hAnsi="Arial" w:cs="Arial"/>
                <w:sz w:val="16"/>
                <w:szCs w:val="16"/>
              </w:rPr>
              <w:t>Female patient with r</w:t>
            </w:r>
            <w:r w:rsidRPr="002E0FE0">
              <w:rPr>
                <w:rFonts w:ascii="Arial" w:hAnsi="Arial" w:cs="Arial"/>
                <w:sz w:val="16"/>
                <w:szCs w:val="16"/>
              </w:rPr>
              <w:t xml:space="preserve">ight phacomorphic glaucoma and pseudophakia. </w:t>
            </w:r>
            <w:r>
              <w:rPr>
                <w:rFonts w:ascii="Arial" w:hAnsi="Arial" w:cs="Arial"/>
                <w:sz w:val="16"/>
                <w:szCs w:val="16"/>
              </w:rPr>
              <w:t xml:space="preserve">She </w:t>
            </w:r>
            <w:r w:rsidRPr="002E0FE0">
              <w:rPr>
                <w:rFonts w:ascii="Arial" w:hAnsi="Arial" w:cs="Arial"/>
                <w:sz w:val="16"/>
                <w:szCs w:val="16"/>
              </w:rPr>
              <w:t>has diabetes mellitus, hypertension, hyperlipidemia, and no known drug allergies. There is a history of cataract and glaucoma, with no familial history of glaucoma</w:t>
            </w:r>
            <w:r>
              <w:rPr>
                <w:rFonts w:ascii="Arial" w:hAnsi="Arial" w:cs="Arial"/>
                <w:sz w:val="16"/>
                <w:szCs w:val="16"/>
              </w:rPr>
              <w:t xml:space="preserve">. </w:t>
            </w:r>
          </w:p>
        </w:tc>
        <w:tc>
          <w:tcPr>
            <w:tcW w:w="580" w:type="pct"/>
          </w:tcPr>
          <w:p w14:paraId="0D75DC55" w14:textId="5C9A7EDE" w:rsidR="008B68A4" w:rsidRPr="00170824" w:rsidRDefault="00A24B8B" w:rsidP="001A6451">
            <w:pPr>
              <w:rPr>
                <w:rFonts w:ascii="Arial" w:hAnsi="Arial" w:cs="Arial"/>
                <w:sz w:val="16"/>
                <w:szCs w:val="16"/>
              </w:rPr>
            </w:pPr>
            <w:r>
              <w:rPr>
                <w:rFonts w:ascii="Arial" w:hAnsi="Arial" w:cs="Arial"/>
                <w:sz w:val="16"/>
                <w:szCs w:val="16"/>
              </w:rPr>
              <w:t>16</w:t>
            </w:r>
          </w:p>
        </w:tc>
        <w:tc>
          <w:tcPr>
            <w:tcW w:w="1377" w:type="pct"/>
          </w:tcPr>
          <w:p w14:paraId="4A954AD8" w14:textId="06F5168D" w:rsidR="008B68A4" w:rsidRPr="00170824" w:rsidRDefault="00A1056E" w:rsidP="00A1056E">
            <w:pPr>
              <w:rPr>
                <w:rFonts w:ascii="Arial" w:hAnsi="Arial" w:cs="Arial"/>
                <w:sz w:val="16"/>
                <w:szCs w:val="16"/>
              </w:rPr>
            </w:pPr>
            <w:r w:rsidRPr="00A1056E">
              <w:rPr>
                <w:rFonts w:ascii="Arial" w:hAnsi="Arial" w:cs="Arial"/>
                <w:sz w:val="16"/>
                <w:szCs w:val="16"/>
              </w:rPr>
              <w:t>Carbonic anhydrase inhibitors</w:t>
            </w:r>
            <w:r>
              <w:rPr>
                <w:rFonts w:ascii="Arial" w:hAnsi="Arial" w:cs="Arial"/>
                <w:sz w:val="16"/>
                <w:szCs w:val="16"/>
              </w:rPr>
              <w:t xml:space="preserve">, </w:t>
            </w:r>
            <w:r w:rsidRPr="00A1056E">
              <w:rPr>
                <w:rFonts w:ascii="Arial" w:hAnsi="Arial" w:cs="Arial"/>
                <w:sz w:val="16"/>
                <w:szCs w:val="16"/>
              </w:rPr>
              <w:t>HMG CoA reductase inhibitors</w:t>
            </w:r>
            <w:r>
              <w:rPr>
                <w:rFonts w:ascii="Arial" w:hAnsi="Arial" w:cs="Arial"/>
                <w:sz w:val="16"/>
                <w:szCs w:val="16"/>
              </w:rPr>
              <w:t xml:space="preserve">, </w:t>
            </w:r>
            <w:r w:rsidRPr="00A1056E">
              <w:rPr>
                <w:rFonts w:ascii="Arial" w:hAnsi="Arial" w:cs="Arial"/>
                <w:sz w:val="16"/>
                <w:szCs w:val="16"/>
              </w:rPr>
              <w:t>Alpha-adrenoreceptor agonists</w:t>
            </w:r>
            <w:r>
              <w:rPr>
                <w:rFonts w:ascii="Arial" w:hAnsi="Arial" w:cs="Arial"/>
                <w:sz w:val="16"/>
                <w:szCs w:val="16"/>
              </w:rPr>
              <w:t xml:space="preserve">, </w:t>
            </w:r>
            <w:r w:rsidRPr="00A1056E">
              <w:rPr>
                <w:rFonts w:ascii="Arial" w:hAnsi="Arial" w:cs="Arial"/>
                <w:sz w:val="16"/>
                <w:szCs w:val="16"/>
              </w:rPr>
              <w:t>Angiotensin-converting enzyme inhibitors</w:t>
            </w:r>
            <w:r>
              <w:rPr>
                <w:rFonts w:ascii="Arial" w:hAnsi="Arial" w:cs="Arial"/>
                <w:sz w:val="16"/>
                <w:szCs w:val="16"/>
              </w:rPr>
              <w:t xml:space="preserve">, </w:t>
            </w:r>
            <w:r w:rsidRPr="00A1056E">
              <w:rPr>
                <w:rFonts w:ascii="Arial" w:hAnsi="Arial" w:cs="Arial"/>
                <w:sz w:val="16"/>
                <w:szCs w:val="16"/>
              </w:rPr>
              <w:t>Sulfonylureas</w:t>
            </w:r>
            <w:r>
              <w:rPr>
                <w:rFonts w:ascii="Arial" w:hAnsi="Arial" w:cs="Arial"/>
                <w:sz w:val="16"/>
                <w:szCs w:val="16"/>
              </w:rPr>
              <w:t xml:space="preserve">, </w:t>
            </w:r>
            <w:r w:rsidRPr="00A1056E">
              <w:rPr>
                <w:rFonts w:ascii="Arial" w:hAnsi="Arial" w:cs="Arial"/>
                <w:sz w:val="16"/>
                <w:szCs w:val="16"/>
              </w:rPr>
              <w:t>Anxiolytics</w:t>
            </w:r>
            <w:r>
              <w:rPr>
                <w:rFonts w:ascii="Arial" w:hAnsi="Arial" w:cs="Arial"/>
                <w:sz w:val="16"/>
                <w:szCs w:val="16"/>
              </w:rPr>
              <w:t xml:space="preserve">, </w:t>
            </w:r>
            <w:r w:rsidRPr="00A1056E">
              <w:rPr>
                <w:rFonts w:ascii="Arial" w:hAnsi="Arial" w:cs="Arial"/>
                <w:sz w:val="16"/>
                <w:szCs w:val="16"/>
              </w:rPr>
              <w:t>Prostaglandin analogues</w:t>
            </w:r>
            <w:r>
              <w:rPr>
                <w:rFonts w:ascii="Arial" w:hAnsi="Arial" w:cs="Arial"/>
                <w:sz w:val="16"/>
                <w:szCs w:val="16"/>
              </w:rPr>
              <w:t xml:space="preserve">, </w:t>
            </w:r>
            <w:r w:rsidRPr="00A1056E">
              <w:rPr>
                <w:rFonts w:ascii="Arial" w:hAnsi="Arial" w:cs="Arial"/>
                <w:sz w:val="16"/>
                <w:szCs w:val="16"/>
              </w:rPr>
              <w:t>Sodium-glucose co-transporter 2 (SGLT2) inhibitors</w:t>
            </w:r>
            <w:r>
              <w:rPr>
                <w:rFonts w:ascii="Arial" w:hAnsi="Arial" w:cs="Arial"/>
                <w:sz w:val="16"/>
                <w:szCs w:val="16"/>
              </w:rPr>
              <w:t xml:space="preserve">, </w:t>
            </w:r>
            <w:r w:rsidRPr="00A1056E">
              <w:rPr>
                <w:rFonts w:ascii="Arial" w:hAnsi="Arial" w:cs="Arial"/>
                <w:sz w:val="16"/>
                <w:szCs w:val="16"/>
              </w:rPr>
              <w:t>Biguanides</w:t>
            </w:r>
            <w:r>
              <w:rPr>
                <w:rFonts w:ascii="Arial" w:hAnsi="Arial" w:cs="Arial"/>
                <w:sz w:val="16"/>
                <w:szCs w:val="16"/>
              </w:rPr>
              <w:t xml:space="preserve">, </w:t>
            </w:r>
            <w:r w:rsidRPr="00A1056E">
              <w:rPr>
                <w:rFonts w:ascii="Arial" w:hAnsi="Arial" w:cs="Arial"/>
                <w:sz w:val="16"/>
                <w:szCs w:val="16"/>
              </w:rPr>
              <w:t>Aldosterone antagonists)</w:t>
            </w:r>
          </w:p>
        </w:tc>
      </w:tr>
      <w:tr w:rsidR="0081769D" w:rsidRPr="00170824" w14:paraId="3352B14E" w14:textId="5C652C37" w:rsidTr="0081769D">
        <w:tc>
          <w:tcPr>
            <w:tcW w:w="363" w:type="pct"/>
          </w:tcPr>
          <w:p w14:paraId="79F6B317" w14:textId="0FE94AA6" w:rsidR="008B68A4" w:rsidRPr="00170824" w:rsidRDefault="008B68A4" w:rsidP="00C46C4D">
            <w:pPr>
              <w:jc w:val="both"/>
              <w:rPr>
                <w:rFonts w:ascii="Arial" w:hAnsi="Arial" w:cs="Arial"/>
                <w:sz w:val="16"/>
                <w:szCs w:val="16"/>
              </w:rPr>
            </w:pPr>
            <w:r>
              <w:rPr>
                <w:rFonts w:ascii="Arial" w:hAnsi="Arial" w:cs="Arial"/>
                <w:sz w:val="16"/>
                <w:szCs w:val="16"/>
              </w:rPr>
              <w:t>11</w:t>
            </w:r>
          </w:p>
        </w:tc>
        <w:tc>
          <w:tcPr>
            <w:tcW w:w="829" w:type="pct"/>
          </w:tcPr>
          <w:p w14:paraId="084171EB" w14:textId="0ED69BFE" w:rsidR="008B68A4" w:rsidRPr="00170824" w:rsidRDefault="008B68A4" w:rsidP="00C46C4D">
            <w:pPr>
              <w:jc w:val="both"/>
              <w:rPr>
                <w:rFonts w:ascii="Arial" w:hAnsi="Arial" w:cs="Arial"/>
                <w:sz w:val="16"/>
                <w:szCs w:val="16"/>
              </w:rPr>
            </w:pPr>
            <w:r>
              <w:rPr>
                <w:rFonts w:ascii="Arial" w:hAnsi="Arial" w:cs="Arial"/>
                <w:sz w:val="16"/>
                <w:szCs w:val="16"/>
              </w:rPr>
              <w:t xml:space="preserve">Ophthalmology / Endocrinology </w:t>
            </w:r>
          </w:p>
        </w:tc>
        <w:tc>
          <w:tcPr>
            <w:tcW w:w="1851" w:type="pct"/>
          </w:tcPr>
          <w:p w14:paraId="51BC01E3" w14:textId="1187584F" w:rsidR="008B68A4" w:rsidRPr="00170824" w:rsidRDefault="008B68A4" w:rsidP="00C46C4D">
            <w:pPr>
              <w:rPr>
                <w:rFonts w:ascii="Arial" w:hAnsi="Arial" w:cs="Arial"/>
                <w:sz w:val="16"/>
                <w:szCs w:val="16"/>
              </w:rPr>
            </w:pPr>
            <w:r w:rsidRPr="002E0FE0">
              <w:rPr>
                <w:rFonts w:ascii="Arial" w:hAnsi="Arial" w:cs="Arial"/>
                <w:sz w:val="16"/>
                <w:szCs w:val="16"/>
              </w:rPr>
              <w:t>65-year-old female with severe thyroid eye disease (TED) related to Graves' disease. She has undergone total thyroidectomy and bilateral orbital decompression. Her current admission is for postoperative management of TED</w:t>
            </w:r>
            <w:r>
              <w:rPr>
                <w:rFonts w:ascii="Arial" w:hAnsi="Arial" w:cs="Arial"/>
                <w:sz w:val="16"/>
                <w:szCs w:val="16"/>
              </w:rPr>
              <w:t xml:space="preserve">. </w:t>
            </w:r>
          </w:p>
        </w:tc>
        <w:tc>
          <w:tcPr>
            <w:tcW w:w="580" w:type="pct"/>
          </w:tcPr>
          <w:p w14:paraId="738639E0" w14:textId="1CA3FEAF" w:rsidR="008B68A4" w:rsidRPr="00170824" w:rsidRDefault="00A24B8B" w:rsidP="001A6451">
            <w:pPr>
              <w:rPr>
                <w:rFonts w:ascii="Arial" w:hAnsi="Arial" w:cs="Arial"/>
                <w:sz w:val="16"/>
                <w:szCs w:val="16"/>
              </w:rPr>
            </w:pPr>
            <w:r>
              <w:rPr>
                <w:rFonts w:ascii="Arial" w:hAnsi="Arial" w:cs="Arial"/>
                <w:sz w:val="16"/>
                <w:szCs w:val="16"/>
              </w:rPr>
              <w:t>15</w:t>
            </w:r>
          </w:p>
        </w:tc>
        <w:tc>
          <w:tcPr>
            <w:tcW w:w="1377" w:type="pct"/>
          </w:tcPr>
          <w:p w14:paraId="4ABC46C9" w14:textId="6ACA5325" w:rsidR="00A1056E" w:rsidRPr="00A1056E" w:rsidRDefault="00A1056E" w:rsidP="00A1056E">
            <w:pPr>
              <w:rPr>
                <w:rFonts w:ascii="Arial" w:hAnsi="Arial" w:cs="Arial"/>
                <w:sz w:val="16"/>
                <w:szCs w:val="16"/>
              </w:rPr>
            </w:pPr>
            <w:r w:rsidRPr="00A1056E">
              <w:rPr>
                <w:rFonts w:ascii="Arial" w:hAnsi="Arial" w:cs="Arial"/>
                <w:sz w:val="16"/>
                <w:szCs w:val="16"/>
              </w:rPr>
              <w:t>Combination of penicillins, including beta-lactamase inhibitors</w:t>
            </w:r>
            <w:r>
              <w:rPr>
                <w:rFonts w:ascii="Arial" w:hAnsi="Arial" w:cs="Arial"/>
                <w:sz w:val="16"/>
                <w:szCs w:val="16"/>
              </w:rPr>
              <w:t xml:space="preserve">, </w:t>
            </w:r>
            <w:r w:rsidRPr="00A1056E">
              <w:rPr>
                <w:rFonts w:ascii="Arial" w:hAnsi="Arial" w:cs="Arial"/>
                <w:sz w:val="16"/>
                <w:szCs w:val="16"/>
              </w:rPr>
              <w:t>Glucocorticoids</w:t>
            </w:r>
            <w:r>
              <w:rPr>
                <w:rFonts w:ascii="Arial" w:hAnsi="Arial" w:cs="Arial"/>
                <w:sz w:val="16"/>
                <w:szCs w:val="16"/>
              </w:rPr>
              <w:t xml:space="preserve">, </w:t>
            </w:r>
            <w:r w:rsidRPr="00A1056E">
              <w:rPr>
                <w:rFonts w:ascii="Arial" w:hAnsi="Arial" w:cs="Arial"/>
                <w:sz w:val="16"/>
                <w:szCs w:val="16"/>
              </w:rPr>
              <w:t xml:space="preserve"> Anilides</w:t>
            </w:r>
            <w:r>
              <w:rPr>
                <w:rFonts w:ascii="Arial" w:hAnsi="Arial" w:cs="Arial"/>
                <w:sz w:val="16"/>
                <w:szCs w:val="16"/>
              </w:rPr>
              <w:t xml:space="preserve">, </w:t>
            </w:r>
            <w:r w:rsidRPr="00A1056E">
              <w:rPr>
                <w:rFonts w:ascii="Arial" w:hAnsi="Arial" w:cs="Arial"/>
                <w:sz w:val="16"/>
                <w:szCs w:val="16"/>
              </w:rPr>
              <w:t>HMG CoA reductase inhibitors</w:t>
            </w:r>
            <w:r>
              <w:rPr>
                <w:rFonts w:ascii="Arial" w:hAnsi="Arial" w:cs="Arial"/>
                <w:sz w:val="16"/>
                <w:szCs w:val="16"/>
              </w:rPr>
              <w:t xml:space="preserve">, </w:t>
            </w:r>
            <w:r w:rsidRPr="00A1056E">
              <w:rPr>
                <w:rFonts w:ascii="Arial" w:hAnsi="Arial" w:cs="Arial"/>
                <w:sz w:val="16"/>
                <w:szCs w:val="16"/>
              </w:rPr>
              <w:t>Selective COX-2 inhibitors</w:t>
            </w:r>
            <w:r>
              <w:rPr>
                <w:rFonts w:ascii="Arial" w:hAnsi="Arial" w:cs="Arial"/>
                <w:sz w:val="16"/>
                <w:szCs w:val="16"/>
              </w:rPr>
              <w:t xml:space="preserve">, </w:t>
            </w:r>
            <w:r w:rsidRPr="00A1056E">
              <w:rPr>
                <w:rFonts w:ascii="Arial" w:hAnsi="Arial" w:cs="Arial"/>
                <w:sz w:val="16"/>
                <w:szCs w:val="16"/>
              </w:rPr>
              <w:t>Thyroid hormones</w:t>
            </w:r>
            <w:r>
              <w:rPr>
                <w:rFonts w:ascii="Arial" w:hAnsi="Arial" w:cs="Arial"/>
                <w:sz w:val="16"/>
                <w:szCs w:val="16"/>
              </w:rPr>
              <w:t xml:space="preserve">, </w:t>
            </w:r>
            <w:r w:rsidRPr="00A1056E">
              <w:rPr>
                <w:rFonts w:ascii="Arial" w:hAnsi="Arial" w:cs="Arial"/>
                <w:sz w:val="16"/>
                <w:szCs w:val="16"/>
              </w:rPr>
              <w:t>Proton pump inhibitors</w:t>
            </w:r>
            <w:r>
              <w:rPr>
                <w:rFonts w:ascii="Arial" w:hAnsi="Arial" w:cs="Arial"/>
                <w:sz w:val="16"/>
                <w:szCs w:val="16"/>
              </w:rPr>
              <w:t xml:space="preserve">, </w:t>
            </w:r>
          </w:p>
          <w:p w14:paraId="305E1B77" w14:textId="6EE4B543" w:rsidR="008B68A4" w:rsidRPr="00170824" w:rsidRDefault="00A1056E" w:rsidP="00A1056E">
            <w:pPr>
              <w:rPr>
                <w:rFonts w:ascii="Arial" w:hAnsi="Arial" w:cs="Arial"/>
                <w:sz w:val="16"/>
                <w:szCs w:val="16"/>
              </w:rPr>
            </w:pPr>
            <w:r w:rsidRPr="00A1056E">
              <w:rPr>
                <w:rFonts w:ascii="Arial" w:hAnsi="Arial" w:cs="Arial"/>
                <w:sz w:val="16"/>
                <w:szCs w:val="16"/>
              </w:rPr>
              <w:t>Aminoglycoside antibiotics</w:t>
            </w:r>
          </w:p>
        </w:tc>
      </w:tr>
      <w:tr w:rsidR="0081769D" w:rsidRPr="00170824" w14:paraId="5710BB7A" w14:textId="255063C6" w:rsidTr="0081769D">
        <w:tc>
          <w:tcPr>
            <w:tcW w:w="363" w:type="pct"/>
          </w:tcPr>
          <w:p w14:paraId="0668CA71" w14:textId="7DD48FC7" w:rsidR="008B68A4" w:rsidRPr="00170824" w:rsidRDefault="008B68A4" w:rsidP="00DE6B1E">
            <w:pPr>
              <w:jc w:val="both"/>
              <w:rPr>
                <w:rFonts w:ascii="Arial" w:hAnsi="Arial" w:cs="Arial"/>
                <w:sz w:val="16"/>
                <w:szCs w:val="16"/>
              </w:rPr>
            </w:pPr>
            <w:r>
              <w:rPr>
                <w:rFonts w:ascii="Arial" w:hAnsi="Arial" w:cs="Arial"/>
                <w:sz w:val="16"/>
                <w:szCs w:val="16"/>
              </w:rPr>
              <w:t>12</w:t>
            </w:r>
          </w:p>
        </w:tc>
        <w:tc>
          <w:tcPr>
            <w:tcW w:w="829" w:type="pct"/>
          </w:tcPr>
          <w:p w14:paraId="7D2B0100" w14:textId="7569E160" w:rsidR="008B68A4" w:rsidRPr="00170824" w:rsidRDefault="008B68A4" w:rsidP="00DE6B1E">
            <w:pPr>
              <w:jc w:val="both"/>
              <w:rPr>
                <w:rFonts w:ascii="Arial" w:hAnsi="Arial" w:cs="Arial"/>
                <w:sz w:val="16"/>
                <w:szCs w:val="16"/>
              </w:rPr>
            </w:pPr>
            <w:r>
              <w:rPr>
                <w:rFonts w:ascii="Arial" w:hAnsi="Arial" w:cs="Arial"/>
                <w:sz w:val="16"/>
                <w:szCs w:val="16"/>
              </w:rPr>
              <w:t xml:space="preserve">Ophthalmology / Infectious Disease  </w:t>
            </w:r>
          </w:p>
        </w:tc>
        <w:tc>
          <w:tcPr>
            <w:tcW w:w="1851" w:type="pct"/>
          </w:tcPr>
          <w:p w14:paraId="75D266CA" w14:textId="763E11DE" w:rsidR="008B68A4" w:rsidRPr="00170824" w:rsidRDefault="008B68A4" w:rsidP="00DE6B1E">
            <w:pPr>
              <w:rPr>
                <w:rFonts w:ascii="Arial" w:hAnsi="Arial" w:cs="Arial"/>
                <w:sz w:val="16"/>
                <w:szCs w:val="16"/>
              </w:rPr>
            </w:pPr>
            <w:r w:rsidRPr="00DE6B1E">
              <w:rPr>
                <w:rFonts w:ascii="Arial" w:hAnsi="Arial" w:cs="Arial"/>
                <w:sz w:val="16"/>
                <w:szCs w:val="16"/>
              </w:rPr>
              <w:t>45-year-old male with no significant past medical history. He presented with right eye endophthalmitis and underwent various treatments, including intravitreal vancomycin and washout procedures. The patient was diagnosed with mycobacterium abscess and was treated with a combination of intravenous and oral medications.</w:t>
            </w:r>
          </w:p>
        </w:tc>
        <w:tc>
          <w:tcPr>
            <w:tcW w:w="580" w:type="pct"/>
          </w:tcPr>
          <w:p w14:paraId="34009C12" w14:textId="530AAFFA" w:rsidR="008B68A4" w:rsidRPr="00170824" w:rsidRDefault="00A24B8B" w:rsidP="001A6451">
            <w:pPr>
              <w:rPr>
                <w:rFonts w:ascii="Arial" w:hAnsi="Arial" w:cs="Arial"/>
                <w:sz w:val="16"/>
                <w:szCs w:val="16"/>
              </w:rPr>
            </w:pPr>
            <w:r>
              <w:rPr>
                <w:rFonts w:ascii="Arial" w:hAnsi="Arial" w:cs="Arial"/>
                <w:sz w:val="16"/>
                <w:szCs w:val="16"/>
              </w:rPr>
              <w:t>12</w:t>
            </w:r>
          </w:p>
        </w:tc>
        <w:tc>
          <w:tcPr>
            <w:tcW w:w="1377" w:type="pct"/>
          </w:tcPr>
          <w:p w14:paraId="1810579B" w14:textId="682DAE61" w:rsidR="008B68A4" w:rsidRPr="00170824" w:rsidRDefault="00554CB7" w:rsidP="00554CB7">
            <w:pPr>
              <w:rPr>
                <w:rFonts w:ascii="Arial" w:hAnsi="Arial" w:cs="Arial"/>
                <w:sz w:val="16"/>
                <w:szCs w:val="16"/>
              </w:rPr>
            </w:pPr>
            <w:r w:rsidRPr="00554CB7">
              <w:rPr>
                <w:rFonts w:ascii="Arial" w:hAnsi="Arial" w:cs="Arial"/>
                <w:sz w:val="16"/>
                <w:szCs w:val="16"/>
              </w:rPr>
              <w:t>Carbapenems</w:t>
            </w:r>
            <w:r>
              <w:rPr>
                <w:rFonts w:ascii="Arial" w:hAnsi="Arial" w:cs="Arial"/>
                <w:sz w:val="16"/>
                <w:szCs w:val="16"/>
              </w:rPr>
              <w:t xml:space="preserve">, </w:t>
            </w:r>
            <w:r w:rsidRPr="00554CB7">
              <w:rPr>
                <w:rFonts w:ascii="Arial" w:hAnsi="Arial" w:cs="Arial"/>
                <w:sz w:val="16"/>
                <w:szCs w:val="16"/>
              </w:rPr>
              <w:t>Macrolides</w:t>
            </w:r>
            <w:r>
              <w:rPr>
                <w:rFonts w:ascii="Arial" w:hAnsi="Arial" w:cs="Arial"/>
                <w:sz w:val="16"/>
                <w:szCs w:val="16"/>
              </w:rPr>
              <w:t xml:space="preserve">, </w:t>
            </w:r>
            <w:r w:rsidRPr="00554CB7">
              <w:rPr>
                <w:rFonts w:ascii="Arial" w:hAnsi="Arial" w:cs="Arial"/>
                <w:sz w:val="16"/>
                <w:szCs w:val="16"/>
              </w:rPr>
              <w:t>Quinolon</w:t>
            </w:r>
            <w:r>
              <w:rPr>
                <w:rFonts w:ascii="Arial" w:hAnsi="Arial" w:cs="Arial"/>
                <w:sz w:val="16"/>
                <w:szCs w:val="16"/>
              </w:rPr>
              <w:t xml:space="preserve">e, </w:t>
            </w:r>
            <w:r w:rsidRPr="00554CB7">
              <w:rPr>
                <w:rFonts w:ascii="Arial" w:hAnsi="Arial" w:cs="Arial"/>
                <w:sz w:val="16"/>
                <w:szCs w:val="16"/>
              </w:rPr>
              <w:t>Other antibacterials</w:t>
            </w:r>
            <w:r>
              <w:rPr>
                <w:rFonts w:ascii="Arial" w:hAnsi="Arial" w:cs="Arial"/>
                <w:sz w:val="16"/>
                <w:szCs w:val="16"/>
              </w:rPr>
              <w:t xml:space="preserve">, </w:t>
            </w:r>
            <w:r w:rsidRPr="00554CB7">
              <w:rPr>
                <w:rFonts w:ascii="Arial" w:hAnsi="Arial" w:cs="Arial"/>
                <w:sz w:val="16"/>
                <w:szCs w:val="16"/>
              </w:rPr>
              <w:t>Anilides</w:t>
            </w:r>
            <w:r>
              <w:rPr>
                <w:rFonts w:ascii="Arial" w:hAnsi="Arial" w:cs="Arial"/>
                <w:sz w:val="16"/>
                <w:szCs w:val="16"/>
              </w:rPr>
              <w:t xml:space="preserve">, </w:t>
            </w:r>
            <w:r w:rsidRPr="00554CB7">
              <w:rPr>
                <w:rFonts w:ascii="Arial" w:hAnsi="Arial" w:cs="Arial"/>
                <w:sz w:val="16"/>
                <w:szCs w:val="16"/>
              </w:rPr>
              <w:t>Glucocorticoids</w:t>
            </w:r>
            <w:r>
              <w:rPr>
                <w:rFonts w:ascii="Arial" w:hAnsi="Arial" w:cs="Arial"/>
                <w:sz w:val="16"/>
                <w:szCs w:val="16"/>
              </w:rPr>
              <w:t xml:space="preserve">, </w:t>
            </w:r>
            <w:r w:rsidRPr="00554CB7">
              <w:rPr>
                <w:rFonts w:ascii="Arial" w:hAnsi="Arial" w:cs="Arial"/>
                <w:sz w:val="16"/>
                <w:szCs w:val="16"/>
              </w:rPr>
              <w:t>Other opioids</w:t>
            </w:r>
          </w:p>
        </w:tc>
      </w:tr>
      <w:tr w:rsidR="0081769D" w:rsidRPr="00170824" w14:paraId="3DF9B5F5" w14:textId="45FDA362" w:rsidTr="0081769D">
        <w:tc>
          <w:tcPr>
            <w:tcW w:w="363" w:type="pct"/>
          </w:tcPr>
          <w:p w14:paraId="37F509BE" w14:textId="3FEF83B2" w:rsidR="008B68A4" w:rsidRPr="00170824" w:rsidRDefault="008B68A4" w:rsidP="00DE6B1E">
            <w:pPr>
              <w:jc w:val="both"/>
              <w:rPr>
                <w:rFonts w:ascii="Arial" w:hAnsi="Arial" w:cs="Arial"/>
                <w:sz w:val="16"/>
                <w:szCs w:val="16"/>
              </w:rPr>
            </w:pPr>
            <w:r>
              <w:rPr>
                <w:rFonts w:ascii="Arial" w:hAnsi="Arial" w:cs="Arial"/>
                <w:sz w:val="16"/>
                <w:szCs w:val="16"/>
              </w:rPr>
              <w:t>13</w:t>
            </w:r>
          </w:p>
        </w:tc>
        <w:tc>
          <w:tcPr>
            <w:tcW w:w="829" w:type="pct"/>
          </w:tcPr>
          <w:p w14:paraId="4E83905E" w14:textId="1D9FCB7F" w:rsidR="008B68A4" w:rsidRPr="00170824" w:rsidRDefault="008B68A4" w:rsidP="00DE6B1E">
            <w:pPr>
              <w:jc w:val="both"/>
              <w:rPr>
                <w:rFonts w:ascii="Arial" w:hAnsi="Arial" w:cs="Arial"/>
                <w:sz w:val="16"/>
                <w:szCs w:val="16"/>
              </w:rPr>
            </w:pPr>
            <w:r>
              <w:rPr>
                <w:rFonts w:ascii="Arial" w:hAnsi="Arial" w:cs="Arial"/>
                <w:sz w:val="16"/>
                <w:szCs w:val="16"/>
              </w:rPr>
              <w:t xml:space="preserve">Gastroenterology </w:t>
            </w:r>
          </w:p>
        </w:tc>
        <w:tc>
          <w:tcPr>
            <w:tcW w:w="1851" w:type="pct"/>
          </w:tcPr>
          <w:p w14:paraId="284657E4" w14:textId="2B58A52C" w:rsidR="008B68A4" w:rsidRPr="00170824" w:rsidRDefault="008B68A4" w:rsidP="00DE6B1E">
            <w:pPr>
              <w:rPr>
                <w:rFonts w:ascii="Arial" w:hAnsi="Arial" w:cs="Arial"/>
                <w:sz w:val="16"/>
                <w:szCs w:val="16"/>
              </w:rPr>
            </w:pPr>
            <w:r w:rsidRPr="00F27866">
              <w:rPr>
                <w:rFonts w:ascii="Arial" w:hAnsi="Arial" w:cs="Arial"/>
                <w:sz w:val="16"/>
                <w:szCs w:val="16"/>
              </w:rPr>
              <w:t xml:space="preserve">20-year-old female with primary sclerosing cholangitis and Child's Pugh A cirrhosis, chronic ulcerative pancolitis, and a history of cholelithiasis. She presented with left knee pain, fever, and symptoms of a respiratory infection. The </w:t>
            </w:r>
            <w:r>
              <w:rPr>
                <w:rFonts w:ascii="Arial" w:hAnsi="Arial" w:cs="Arial"/>
                <w:sz w:val="16"/>
                <w:szCs w:val="16"/>
              </w:rPr>
              <w:t>preliminary assessment</w:t>
            </w:r>
            <w:r w:rsidRPr="00F27866">
              <w:rPr>
                <w:rFonts w:ascii="Arial" w:hAnsi="Arial" w:cs="Arial"/>
                <w:sz w:val="16"/>
                <w:szCs w:val="16"/>
              </w:rPr>
              <w:t xml:space="preserve"> </w:t>
            </w:r>
            <w:r>
              <w:rPr>
                <w:rFonts w:ascii="Arial" w:hAnsi="Arial" w:cs="Arial"/>
                <w:sz w:val="16"/>
                <w:szCs w:val="16"/>
              </w:rPr>
              <w:t>suggests</w:t>
            </w:r>
            <w:r w:rsidRPr="00F27866">
              <w:rPr>
                <w:rFonts w:ascii="Arial" w:hAnsi="Arial" w:cs="Arial"/>
                <w:sz w:val="16"/>
                <w:szCs w:val="16"/>
              </w:rPr>
              <w:t xml:space="preserve"> a likely gout flare.</w:t>
            </w:r>
          </w:p>
        </w:tc>
        <w:tc>
          <w:tcPr>
            <w:tcW w:w="580" w:type="pct"/>
          </w:tcPr>
          <w:p w14:paraId="77642C34" w14:textId="77777777" w:rsidR="008B68A4" w:rsidRDefault="00A24B8B" w:rsidP="001A6451">
            <w:pPr>
              <w:rPr>
                <w:rFonts w:ascii="Arial" w:hAnsi="Arial" w:cs="Arial"/>
                <w:sz w:val="16"/>
                <w:szCs w:val="16"/>
              </w:rPr>
            </w:pPr>
            <w:r>
              <w:rPr>
                <w:rFonts w:ascii="Arial" w:hAnsi="Arial" w:cs="Arial"/>
                <w:sz w:val="16"/>
                <w:szCs w:val="16"/>
              </w:rPr>
              <w:t>10</w:t>
            </w:r>
          </w:p>
          <w:p w14:paraId="6949BD41" w14:textId="1D1FCDD8" w:rsidR="00A24B8B" w:rsidRPr="00170824" w:rsidRDefault="00A24B8B" w:rsidP="001A6451">
            <w:pPr>
              <w:rPr>
                <w:rFonts w:ascii="Arial" w:hAnsi="Arial" w:cs="Arial"/>
                <w:sz w:val="16"/>
                <w:szCs w:val="16"/>
              </w:rPr>
            </w:pPr>
          </w:p>
        </w:tc>
        <w:tc>
          <w:tcPr>
            <w:tcW w:w="1377" w:type="pct"/>
          </w:tcPr>
          <w:p w14:paraId="2E71CAC8" w14:textId="3AD8D3EA" w:rsidR="008B68A4" w:rsidRPr="00170824" w:rsidRDefault="00554CB7" w:rsidP="00554CB7">
            <w:pPr>
              <w:rPr>
                <w:rFonts w:ascii="Arial" w:hAnsi="Arial" w:cs="Arial"/>
                <w:sz w:val="16"/>
                <w:szCs w:val="16"/>
              </w:rPr>
            </w:pPr>
            <w:r w:rsidRPr="00554CB7">
              <w:rPr>
                <w:rFonts w:ascii="Arial" w:hAnsi="Arial" w:cs="Arial"/>
                <w:sz w:val="16"/>
                <w:szCs w:val="16"/>
              </w:rPr>
              <w:t>Immunosuppressants</w:t>
            </w:r>
            <w:r>
              <w:rPr>
                <w:rFonts w:ascii="Arial" w:hAnsi="Arial" w:cs="Arial"/>
                <w:sz w:val="16"/>
                <w:szCs w:val="16"/>
              </w:rPr>
              <w:t xml:space="preserve">, </w:t>
            </w:r>
            <w:r w:rsidRPr="00554CB7">
              <w:rPr>
                <w:rFonts w:ascii="Arial" w:hAnsi="Arial" w:cs="Arial"/>
                <w:sz w:val="16"/>
                <w:szCs w:val="16"/>
              </w:rPr>
              <w:t>Bile acids and derivatives</w:t>
            </w:r>
            <w:r>
              <w:rPr>
                <w:rFonts w:ascii="Arial" w:hAnsi="Arial" w:cs="Arial"/>
                <w:sz w:val="16"/>
                <w:szCs w:val="16"/>
              </w:rPr>
              <w:t xml:space="preserve">, </w:t>
            </w:r>
            <w:r w:rsidRPr="00554CB7">
              <w:rPr>
                <w:rFonts w:ascii="Arial" w:hAnsi="Arial" w:cs="Arial"/>
                <w:sz w:val="16"/>
                <w:szCs w:val="16"/>
              </w:rPr>
              <w:t>Proton pump inhibitors</w:t>
            </w:r>
            <w:r>
              <w:rPr>
                <w:rFonts w:ascii="Arial" w:hAnsi="Arial" w:cs="Arial"/>
                <w:sz w:val="16"/>
                <w:szCs w:val="16"/>
              </w:rPr>
              <w:t xml:space="preserve">, </w:t>
            </w:r>
            <w:r w:rsidRPr="00554CB7">
              <w:rPr>
                <w:rFonts w:ascii="Arial" w:hAnsi="Arial" w:cs="Arial"/>
                <w:sz w:val="16"/>
                <w:szCs w:val="16"/>
              </w:rPr>
              <w:t>Aminosalicylic acid and similar agents</w:t>
            </w:r>
            <w:r>
              <w:rPr>
                <w:rFonts w:ascii="Arial" w:hAnsi="Arial" w:cs="Arial"/>
                <w:sz w:val="16"/>
                <w:szCs w:val="16"/>
              </w:rPr>
              <w:t xml:space="preserve">, </w:t>
            </w:r>
            <w:r w:rsidRPr="00554CB7">
              <w:rPr>
                <w:rFonts w:ascii="Arial" w:hAnsi="Arial" w:cs="Arial"/>
                <w:sz w:val="16"/>
                <w:szCs w:val="16"/>
              </w:rPr>
              <w:t>Alpha and beta blocking agents</w:t>
            </w:r>
            <w:r>
              <w:rPr>
                <w:rFonts w:ascii="Arial" w:hAnsi="Arial" w:cs="Arial"/>
                <w:sz w:val="16"/>
                <w:szCs w:val="16"/>
              </w:rPr>
              <w:t xml:space="preserve">, </w:t>
            </w:r>
            <w:r w:rsidRPr="00554CB7">
              <w:rPr>
                <w:rFonts w:ascii="Arial" w:hAnsi="Arial" w:cs="Arial"/>
                <w:sz w:val="16"/>
                <w:szCs w:val="16"/>
              </w:rPr>
              <w:t>Quinolone antibacterials</w:t>
            </w:r>
            <w:r>
              <w:rPr>
                <w:rFonts w:ascii="Arial" w:hAnsi="Arial" w:cs="Arial"/>
                <w:sz w:val="16"/>
                <w:szCs w:val="16"/>
              </w:rPr>
              <w:t xml:space="preserve">, </w:t>
            </w:r>
            <w:r w:rsidRPr="00554CB7">
              <w:rPr>
                <w:rFonts w:ascii="Arial" w:hAnsi="Arial" w:cs="Arial"/>
                <w:sz w:val="16"/>
                <w:szCs w:val="16"/>
              </w:rPr>
              <w:t>Aminopyrazoles</w:t>
            </w:r>
            <w:r>
              <w:rPr>
                <w:rFonts w:ascii="Arial" w:hAnsi="Arial" w:cs="Arial"/>
                <w:sz w:val="16"/>
                <w:szCs w:val="16"/>
              </w:rPr>
              <w:t xml:space="preserve">, </w:t>
            </w:r>
            <w:r w:rsidRPr="00554CB7">
              <w:rPr>
                <w:rFonts w:ascii="Arial" w:hAnsi="Arial" w:cs="Arial"/>
                <w:sz w:val="16"/>
                <w:szCs w:val="16"/>
              </w:rPr>
              <w:t>Imidazole derivatives</w:t>
            </w:r>
            <w:r>
              <w:rPr>
                <w:rFonts w:ascii="Arial" w:hAnsi="Arial" w:cs="Arial"/>
                <w:sz w:val="16"/>
                <w:szCs w:val="16"/>
              </w:rPr>
              <w:t xml:space="preserve">, </w:t>
            </w:r>
            <w:r w:rsidRPr="00554CB7">
              <w:rPr>
                <w:rFonts w:ascii="Arial" w:hAnsi="Arial" w:cs="Arial"/>
                <w:sz w:val="16"/>
                <w:szCs w:val="16"/>
              </w:rPr>
              <w:t xml:space="preserve"> Monobactams</w:t>
            </w:r>
            <w:r>
              <w:rPr>
                <w:rFonts w:ascii="Arial" w:hAnsi="Arial" w:cs="Arial"/>
                <w:sz w:val="16"/>
                <w:szCs w:val="16"/>
              </w:rPr>
              <w:t xml:space="preserve">, </w:t>
            </w:r>
            <w:r w:rsidRPr="00554CB7">
              <w:rPr>
                <w:rFonts w:ascii="Arial" w:hAnsi="Arial" w:cs="Arial"/>
                <w:sz w:val="16"/>
                <w:szCs w:val="16"/>
              </w:rPr>
              <w:t>Combination of penicillins, including beta-lactamase inhibitors</w:t>
            </w:r>
          </w:p>
        </w:tc>
      </w:tr>
      <w:tr w:rsidR="0081769D" w:rsidRPr="00170824" w14:paraId="28641E21" w14:textId="5E7D2EE0" w:rsidTr="0081769D">
        <w:tc>
          <w:tcPr>
            <w:tcW w:w="363" w:type="pct"/>
          </w:tcPr>
          <w:p w14:paraId="2FC65D62" w14:textId="1A9A8A3C" w:rsidR="008B68A4" w:rsidRPr="00170824" w:rsidRDefault="008B68A4" w:rsidP="00DE6B1E">
            <w:pPr>
              <w:jc w:val="both"/>
              <w:rPr>
                <w:rFonts w:ascii="Arial" w:hAnsi="Arial" w:cs="Arial"/>
                <w:sz w:val="16"/>
                <w:szCs w:val="16"/>
              </w:rPr>
            </w:pPr>
            <w:r>
              <w:rPr>
                <w:rFonts w:ascii="Arial" w:hAnsi="Arial" w:cs="Arial"/>
                <w:sz w:val="16"/>
                <w:szCs w:val="16"/>
              </w:rPr>
              <w:t>14</w:t>
            </w:r>
          </w:p>
        </w:tc>
        <w:tc>
          <w:tcPr>
            <w:tcW w:w="829" w:type="pct"/>
          </w:tcPr>
          <w:p w14:paraId="67F94939" w14:textId="4712F7E1" w:rsidR="008B68A4" w:rsidRPr="00170824" w:rsidRDefault="008B68A4" w:rsidP="00DE6B1E">
            <w:pPr>
              <w:jc w:val="both"/>
              <w:rPr>
                <w:rFonts w:ascii="Arial" w:hAnsi="Arial" w:cs="Arial"/>
                <w:sz w:val="16"/>
                <w:szCs w:val="16"/>
              </w:rPr>
            </w:pPr>
            <w:r>
              <w:rPr>
                <w:rFonts w:ascii="Arial" w:hAnsi="Arial" w:cs="Arial"/>
                <w:sz w:val="16"/>
                <w:szCs w:val="16"/>
              </w:rPr>
              <w:t xml:space="preserve">Gastroenterology </w:t>
            </w:r>
          </w:p>
        </w:tc>
        <w:tc>
          <w:tcPr>
            <w:tcW w:w="1851" w:type="pct"/>
          </w:tcPr>
          <w:p w14:paraId="617AFAA1" w14:textId="691B1CF8" w:rsidR="008B68A4" w:rsidRPr="00170824" w:rsidRDefault="008B68A4" w:rsidP="00DE6B1E">
            <w:pPr>
              <w:rPr>
                <w:rFonts w:ascii="Arial" w:hAnsi="Arial" w:cs="Arial"/>
                <w:sz w:val="16"/>
                <w:szCs w:val="16"/>
              </w:rPr>
            </w:pPr>
            <w:r w:rsidRPr="00F27866">
              <w:rPr>
                <w:rFonts w:ascii="Arial" w:hAnsi="Arial" w:cs="Arial"/>
                <w:sz w:val="16"/>
                <w:szCs w:val="16"/>
              </w:rPr>
              <w:t xml:space="preserve">45-year-old Malay male with a history of Hepatitis C genotype 3A and Child’s B cirrhosis. He was admitted for deranged liver function tests and presented with jaundice. He </w:t>
            </w:r>
            <w:r>
              <w:rPr>
                <w:rFonts w:ascii="Arial" w:hAnsi="Arial" w:cs="Arial"/>
                <w:sz w:val="16"/>
                <w:szCs w:val="16"/>
              </w:rPr>
              <w:t>presented with</w:t>
            </w:r>
            <w:r w:rsidRPr="00F27866">
              <w:rPr>
                <w:rFonts w:ascii="Arial" w:hAnsi="Arial" w:cs="Arial"/>
                <w:sz w:val="16"/>
                <w:szCs w:val="16"/>
              </w:rPr>
              <w:t xml:space="preserve"> </w:t>
            </w:r>
            <w:r>
              <w:rPr>
                <w:rFonts w:ascii="Arial" w:hAnsi="Arial" w:cs="Arial"/>
                <w:sz w:val="16"/>
                <w:szCs w:val="16"/>
              </w:rPr>
              <w:t>a</w:t>
            </w:r>
            <w:r w:rsidRPr="00F27866">
              <w:rPr>
                <w:rFonts w:ascii="Arial" w:hAnsi="Arial" w:cs="Arial"/>
                <w:sz w:val="16"/>
                <w:szCs w:val="16"/>
              </w:rPr>
              <w:t xml:space="preserve"> needle stick injury and agrees to start treatment with Epclusa for Hepatitis C. </w:t>
            </w:r>
            <w:r>
              <w:rPr>
                <w:rFonts w:ascii="Arial" w:hAnsi="Arial" w:cs="Arial"/>
                <w:sz w:val="16"/>
                <w:szCs w:val="16"/>
              </w:rPr>
              <w:t xml:space="preserve">Other active issues </w:t>
            </w:r>
            <w:r w:rsidRPr="00F27866">
              <w:rPr>
                <w:rFonts w:ascii="Arial" w:hAnsi="Arial" w:cs="Arial"/>
                <w:sz w:val="16"/>
                <w:szCs w:val="16"/>
              </w:rPr>
              <w:t>also includes managing possible acute cholecystitis and fluid restriction</w:t>
            </w:r>
          </w:p>
        </w:tc>
        <w:tc>
          <w:tcPr>
            <w:tcW w:w="580" w:type="pct"/>
          </w:tcPr>
          <w:p w14:paraId="6E840D45" w14:textId="5900B542" w:rsidR="008B68A4" w:rsidRPr="00170824" w:rsidRDefault="00A24B8B" w:rsidP="001A6451">
            <w:pPr>
              <w:rPr>
                <w:rFonts w:ascii="Arial" w:hAnsi="Arial" w:cs="Arial"/>
                <w:sz w:val="16"/>
                <w:szCs w:val="16"/>
              </w:rPr>
            </w:pPr>
            <w:r>
              <w:rPr>
                <w:rFonts w:ascii="Arial" w:hAnsi="Arial" w:cs="Arial"/>
                <w:sz w:val="16"/>
                <w:szCs w:val="16"/>
              </w:rPr>
              <w:t>6</w:t>
            </w:r>
          </w:p>
        </w:tc>
        <w:tc>
          <w:tcPr>
            <w:tcW w:w="1377" w:type="pct"/>
          </w:tcPr>
          <w:p w14:paraId="4426E49B" w14:textId="00370190" w:rsidR="00554CB7" w:rsidRPr="00554CB7" w:rsidRDefault="00554CB7" w:rsidP="00554CB7">
            <w:pPr>
              <w:rPr>
                <w:rFonts w:ascii="Arial" w:hAnsi="Arial" w:cs="Arial"/>
                <w:sz w:val="16"/>
                <w:szCs w:val="16"/>
              </w:rPr>
            </w:pPr>
            <w:r w:rsidRPr="00554CB7">
              <w:rPr>
                <w:rFonts w:ascii="Arial" w:hAnsi="Arial" w:cs="Arial"/>
                <w:sz w:val="16"/>
                <w:szCs w:val="16"/>
              </w:rPr>
              <w:t>High-ceiling diuretics</w:t>
            </w:r>
            <w:r>
              <w:rPr>
                <w:rFonts w:ascii="Arial" w:hAnsi="Arial" w:cs="Arial"/>
                <w:sz w:val="16"/>
                <w:szCs w:val="16"/>
              </w:rPr>
              <w:t xml:space="preserve">, proton </w:t>
            </w:r>
            <w:r w:rsidRPr="00554CB7">
              <w:rPr>
                <w:rFonts w:ascii="Arial" w:hAnsi="Arial" w:cs="Arial"/>
                <w:sz w:val="16"/>
                <w:szCs w:val="16"/>
              </w:rPr>
              <w:t>pump inhibitors</w:t>
            </w:r>
            <w:r>
              <w:rPr>
                <w:rFonts w:ascii="Arial" w:hAnsi="Arial" w:cs="Arial"/>
                <w:sz w:val="16"/>
                <w:szCs w:val="16"/>
              </w:rPr>
              <w:t xml:space="preserve">, </w:t>
            </w:r>
            <w:r w:rsidRPr="00554CB7">
              <w:rPr>
                <w:rFonts w:ascii="Arial" w:hAnsi="Arial" w:cs="Arial"/>
                <w:sz w:val="16"/>
                <w:szCs w:val="16"/>
              </w:rPr>
              <w:t>Aldosterone antagonists</w:t>
            </w:r>
            <w:r>
              <w:rPr>
                <w:rFonts w:ascii="Arial" w:hAnsi="Arial" w:cs="Arial"/>
                <w:sz w:val="16"/>
                <w:szCs w:val="16"/>
              </w:rPr>
              <w:t>,</w:t>
            </w:r>
            <w:r w:rsidRPr="00554CB7">
              <w:rPr>
                <w:rFonts w:ascii="Arial" w:hAnsi="Arial" w:cs="Arial"/>
                <w:sz w:val="16"/>
                <w:szCs w:val="16"/>
              </w:rPr>
              <w:t>Anilides</w:t>
            </w:r>
          </w:p>
          <w:p w14:paraId="037C2783" w14:textId="7A917E41" w:rsidR="008B68A4" w:rsidRPr="00170824" w:rsidRDefault="00554CB7" w:rsidP="001A6451">
            <w:pPr>
              <w:rPr>
                <w:rFonts w:ascii="Arial" w:hAnsi="Arial" w:cs="Arial"/>
                <w:sz w:val="16"/>
                <w:szCs w:val="16"/>
              </w:rPr>
            </w:pPr>
            <w:r>
              <w:rPr>
                <w:rFonts w:ascii="Arial" w:hAnsi="Arial" w:cs="Arial"/>
                <w:sz w:val="16"/>
                <w:szCs w:val="16"/>
              </w:rPr>
              <w:t xml:space="preserve">*Epclusa not listed </w:t>
            </w:r>
          </w:p>
        </w:tc>
      </w:tr>
      <w:tr w:rsidR="0081769D" w:rsidRPr="00170824" w14:paraId="67A8A4EC" w14:textId="4D0481CA" w:rsidTr="0081769D">
        <w:tc>
          <w:tcPr>
            <w:tcW w:w="363" w:type="pct"/>
          </w:tcPr>
          <w:p w14:paraId="23E49249" w14:textId="1ED26F6F" w:rsidR="008B68A4" w:rsidRPr="00170824" w:rsidRDefault="008B68A4" w:rsidP="00DE6B1E">
            <w:pPr>
              <w:jc w:val="both"/>
              <w:rPr>
                <w:rFonts w:ascii="Arial" w:hAnsi="Arial" w:cs="Arial"/>
                <w:sz w:val="16"/>
                <w:szCs w:val="16"/>
              </w:rPr>
            </w:pPr>
            <w:r>
              <w:rPr>
                <w:rFonts w:ascii="Arial" w:hAnsi="Arial" w:cs="Arial"/>
                <w:sz w:val="16"/>
                <w:szCs w:val="16"/>
              </w:rPr>
              <w:t>15</w:t>
            </w:r>
          </w:p>
        </w:tc>
        <w:tc>
          <w:tcPr>
            <w:tcW w:w="829" w:type="pct"/>
          </w:tcPr>
          <w:p w14:paraId="12CCBA23" w14:textId="0C3B6D7B" w:rsidR="008B68A4" w:rsidRPr="00170824" w:rsidRDefault="008B68A4" w:rsidP="00DE6B1E">
            <w:pPr>
              <w:jc w:val="both"/>
              <w:rPr>
                <w:rFonts w:ascii="Arial" w:hAnsi="Arial" w:cs="Arial"/>
                <w:sz w:val="16"/>
                <w:szCs w:val="16"/>
              </w:rPr>
            </w:pPr>
            <w:r>
              <w:rPr>
                <w:rFonts w:ascii="Arial" w:hAnsi="Arial" w:cs="Arial"/>
                <w:sz w:val="16"/>
                <w:szCs w:val="16"/>
              </w:rPr>
              <w:t>Gastroenterology</w:t>
            </w:r>
          </w:p>
        </w:tc>
        <w:tc>
          <w:tcPr>
            <w:tcW w:w="1851" w:type="pct"/>
          </w:tcPr>
          <w:p w14:paraId="530D8C5B" w14:textId="1AAC293C" w:rsidR="008B68A4" w:rsidRPr="00170824" w:rsidRDefault="008B68A4" w:rsidP="00DE6B1E">
            <w:pPr>
              <w:rPr>
                <w:rFonts w:ascii="Arial" w:hAnsi="Arial" w:cs="Arial"/>
                <w:sz w:val="16"/>
                <w:szCs w:val="16"/>
              </w:rPr>
            </w:pPr>
            <w:r w:rsidRPr="00F27866">
              <w:rPr>
                <w:rFonts w:ascii="Arial" w:hAnsi="Arial" w:cs="Arial"/>
                <w:sz w:val="16"/>
                <w:szCs w:val="16"/>
              </w:rPr>
              <w:t xml:space="preserve">64-year-old Indian male with a history of Child's B8 Cirrhosis, diabetes, hypertension, hyperlipidemia, ischemic heart disease, atrial fibrillation, stage 3 chronic kidney disease, and hypothyroidism. He presents with worsening abdominal distension, lower limb edema, and reduced urine output. The patient has a history of spontaneous bacterial peritonitis and is on lifelong Ciprofloxacin </w:t>
            </w:r>
            <w:r>
              <w:rPr>
                <w:rFonts w:ascii="Arial" w:hAnsi="Arial" w:cs="Arial"/>
                <w:sz w:val="16"/>
                <w:szCs w:val="16"/>
              </w:rPr>
              <w:t xml:space="preserve">for SBP </w:t>
            </w:r>
            <w:r w:rsidRPr="00F27866">
              <w:rPr>
                <w:rFonts w:ascii="Arial" w:hAnsi="Arial" w:cs="Arial"/>
                <w:sz w:val="16"/>
                <w:szCs w:val="16"/>
              </w:rPr>
              <w:t>prophylaxis.</w:t>
            </w:r>
          </w:p>
        </w:tc>
        <w:tc>
          <w:tcPr>
            <w:tcW w:w="580" w:type="pct"/>
          </w:tcPr>
          <w:p w14:paraId="5FA07A5D" w14:textId="47E2049C" w:rsidR="008B68A4" w:rsidRPr="00170824" w:rsidRDefault="00A24B8B" w:rsidP="001A6451">
            <w:pPr>
              <w:rPr>
                <w:rFonts w:ascii="Arial" w:hAnsi="Arial" w:cs="Arial"/>
                <w:sz w:val="16"/>
                <w:szCs w:val="16"/>
              </w:rPr>
            </w:pPr>
            <w:r>
              <w:rPr>
                <w:rFonts w:ascii="Arial" w:hAnsi="Arial" w:cs="Arial"/>
                <w:sz w:val="16"/>
                <w:szCs w:val="16"/>
              </w:rPr>
              <w:t>10</w:t>
            </w:r>
          </w:p>
        </w:tc>
        <w:tc>
          <w:tcPr>
            <w:tcW w:w="1377" w:type="pct"/>
          </w:tcPr>
          <w:p w14:paraId="47880F7F" w14:textId="24ACB6E3" w:rsidR="00554CB7" w:rsidRPr="00554CB7" w:rsidRDefault="00554CB7" w:rsidP="00554CB7">
            <w:pPr>
              <w:rPr>
                <w:rFonts w:ascii="Arial" w:hAnsi="Arial" w:cs="Arial"/>
                <w:sz w:val="16"/>
                <w:szCs w:val="16"/>
              </w:rPr>
            </w:pPr>
            <w:r w:rsidRPr="00554CB7">
              <w:rPr>
                <w:rFonts w:ascii="Arial" w:hAnsi="Arial" w:cs="Arial"/>
                <w:sz w:val="16"/>
                <w:szCs w:val="16"/>
              </w:rPr>
              <w:t>Organic nitrates</w:t>
            </w:r>
            <w:r>
              <w:rPr>
                <w:rFonts w:ascii="Arial" w:hAnsi="Arial" w:cs="Arial"/>
                <w:sz w:val="16"/>
                <w:szCs w:val="16"/>
              </w:rPr>
              <w:t xml:space="preserve">, </w:t>
            </w:r>
            <w:r w:rsidRPr="00554CB7">
              <w:rPr>
                <w:rFonts w:ascii="Arial" w:hAnsi="Arial" w:cs="Arial"/>
                <w:sz w:val="16"/>
                <w:szCs w:val="16"/>
              </w:rPr>
              <w:t>Dipeptidyl peptidase 4 (DPP-4) inhibitors</w:t>
            </w:r>
            <w:r>
              <w:rPr>
                <w:rFonts w:ascii="Arial" w:hAnsi="Arial" w:cs="Arial"/>
                <w:sz w:val="16"/>
                <w:szCs w:val="16"/>
              </w:rPr>
              <w:t xml:space="preserve">, </w:t>
            </w:r>
            <w:r w:rsidRPr="00554CB7">
              <w:rPr>
                <w:rFonts w:ascii="Arial" w:hAnsi="Arial" w:cs="Arial"/>
                <w:sz w:val="16"/>
                <w:szCs w:val="16"/>
              </w:rPr>
              <w:t>Aminopyrazoles</w:t>
            </w:r>
            <w:r>
              <w:rPr>
                <w:rFonts w:ascii="Arial" w:hAnsi="Arial" w:cs="Arial"/>
                <w:sz w:val="16"/>
                <w:szCs w:val="16"/>
              </w:rPr>
              <w:t xml:space="preserve">, </w:t>
            </w:r>
            <w:r w:rsidRPr="00554CB7">
              <w:rPr>
                <w:rFonts w:ascii="Arial" w:hAnsi="Arial" w:cs="Arial"/>
                <w:sz w:val="16"/>
                <w:szCs w:val="16"/>
              </w:rPr>
              <w:t>Proton pump inhibitors</w:t>
            </w:r>
            <w:r>
              <w:rPr>
                <w:rFonts w:ascii="Arial" w:hAnsi="Arial" w:cs="Arial"/>
                <w:sz w:val="16"/>
                <w:szCs w:val="16"/>
              </w:rPr>
              <w:t xml:space="preserve">, </w:t>
            </w:r>
            <w:r w:rsidRPr="00554CB7">
              <w:rPr>
                <w:rFonts w:ascii="Arial" w:hAnsi="Arial" w:cs="Arial"/>
                <w:sz w:val="16"/>
                <w:szCs w:val="16"/>
              </w:rPr>
              <w:t>Platelet aggregation inhibitors excl. heparin</w:t>
            </w:r>
            <w:r>
              <w:rPr>
                <w:rFonts w:ascii="Arial" w:hAnsi="Arial" w:cs="Arial"/>
                <w:sz w:val="16"/>
                <w:szCs w:val="16"/>
              </w:rPr>
              <w:t xml:space="preserve">, </w:t>
            </w:r>
            <w:r w:rsidRPr="00554CB7">
              <w:rPr>
                <w:rFonts w:ascii="Arial" w:hAnsi="Arial" w:cs="Arial"/>
                <w:sz w:val="16"/>
                <w:szCs w:val="16"/>
              </w:rPr>
              <w:t>Alpha and beta blocking agents</w:t>
            </w:r>
            <w:r>
              <w:rPr>
                <w:rFonts w:ascii="Arial" w:hAnsi="Arial" w:cs="Arial"/>
                <w:sz w:val="16"/>
                <w:szCs w:val="16"/>
              </w:rPr>
              <w:t xml:space="preserve">, </w:t>
            </w:r>
            <w:r w:rsidRPr="00554CB7">
              <w:rPr>
                <w:rFonts w:ascii="Arial" w:hAnsi="Arial" w:cs="Arial"/>
                <w:sz w:val="16"/>
                <w:szCs w:val="16"/>
              </w:rPr>
              <w:t>Quinolone antibacterials</w:t>
            </w:r>
            <w:r>
              <w:rPr>
                <w:rFonts w:ascii="Arial" w:hAnsi="Arial" w:cs="Arial"/>
                <w:sz w:val="16"/>
                <w:szCs w:val="16"/>
              </w:rPr>
              <w:t xml:space="preserve">, </w:t>
            </w:r>
            <w:r w:rsidRPr="00554CB7">
              <w:rPr>
                <w:rFonts w:ascii="Arial" w:hAnsi="Arial" w:cs="Arial"/>
                <w:sz w:val="16"/>
                <w:szCs w:val="16"/>
              </w:rPr>
              <w:t>Cardiac glycosides</w:t>
            </w:r>
            <w:r>
              <w:rPr>
                <w:rFonts w:ascii="Arial" w:hAnsi="Arial" w:cs="Arial"/>
                <w:sz w:val="16"/>
                <w:szCs w:val="16"/>
              </w:rPr>
              <w:t xml:space="preserve">, </w:t>
            </w:r>
            <w:r w:rsidRPr="00554CB7">
              <w:rPr>
                <w:rFonts w:ascii="Arial" w:hAnsi="Arial" w:cs="Arial"/>
                <w:sz w:val="16"/>
                <w:szCs w:val="16"/>
              </w:rPr>
              <w:t>Thyroid hormones</w:t>
            </w:r>
          </w:p>
          <w:p w14:paraId="40F3FAE0" w14:textId="3ED8F7F1" w:rsidR="008B68A4" w:rsidRPr="00170824" w:rsidRDefault="008B68A4" w:rsidP="00554CB7">
            <w:pPr>
              <w:rPr>
                <w:rFonts w:ascii="Arial" w:hAnsi="Arial" w:cs="Arial"/>
                <w:sz w:val="16"/>
                <w:szCs w:val="16"/>
              </w:rPr>
            </w:pPr>
          </w:p>
        </w:tc>
      </w:tr>
      <w:tr w:rsidR="0081769D" w:rsidRPr="00170824" w14:paraId="143A84F7" w14:textId="6AEC2AB4" w:rsidTr="0081769D">
        <w:tc>
          <w:tcPr>
            <w:tcW w:w="363" w:type="pct"/>
          </w:tcPr>
          <w:p w14:paraId="7A361E5A" w14:textId="1E99E09F" w:rsidR="008B68A4" w:rsidRDefault="008B68A4" w:rsidP="00DE6B1E">
            <w:pPr>
              <w:jc w:val="both"/>
              <w:rPr>
                <w:rFonts w:ascii="Arial" w:hAnsi="Arial" w:cs="Arial"/>
                <w:sz w:val="16"/>
                <w:szCs w:val="16"/>
              </w:rPr>
            </w:pPr>
            <w:r>
              <w:rPr>
                <w:rFonts w:ascii="Arial" w:hAnsi="Arial" w:cs="Arial"/>
                <w:sz w:val="16"/>
                <w:szCs w:val="16"/>
              </w:rPr>
              <w:t>16</w:t>
            </w:r>
          </w:p>
        </w:tc>
        <w:tc>
          <w:tcPr>
            <w:tcW w:w="829" w:type="pct"/>
          </w:tcPr>
          <w:p w14:paraId="09375F4E" w14:textId="2D5CB3C8" w:rsidR="008B68A4" w:rsidRDefault="008B68A4" w:rsidP="00DE6B1E">
            <w:pPr>
              <w:jc w:val="both"/>
              <w:rPr>
                <w:rFonts w:ascii="Arial" w:hAnsi="Arial" w:cs="Arial"/>
                <w:sz w:val="16"/>
                <w:szCs w:val="16"/>
              </w:rPr>
            </w:pPr>
            <w:r>
              <w:rPr>
                <w:rFonts w:ascii="Arial" w:hAnsi="Arial" w:cs="Arial"/>
                <w:sz w:val="16"/>
                <w:szCs w:val="16"/>
              </w:rPr>
              <w:t xml:space="preserve">Gastroenterology </w:t>
            </w:r>
          </w:p>
        </w:tc>
        <w:tc>
          <w:tcPr>
            <w:tcW w:w="1851" w:type="pct"/>
          </w:tcPr>
          <w:p w14:paraId="2C4FE983" w14:textId="5F7DFAD2" w:rsidR="008B68A4" w:rsidRPr="00F27866" w:rsidRDefault="008B68A4" w:rsidP="00DE6B1E">
            <w:pPr>
              <w:rPr>
                <w:rFonts w:ascii="Arial" w:hAnsi="Arial" w:cs="Arial"/>
                <w:sz w:val="16"/>
                <w:szCs w:val="16"/>
              </w:rPr>
            </w:pPr>
            <w:r>
              <w:rPr>
                <w:rFonts w:ascii="Arial" w:hAnsi="Arial" w:cs="Arial"/>
                <w:sz w:val="16"/>
                <w:szCs w:val="16"/>
              </w:rPr>
              <w:t>77-year-old female with a history of Child’s C10 cryptogenic liver cirrhosis with portal vein hypertension. She presented with diuretic-</w:t>
            </w:r>
            <w:r>
              <w:rPr>
                <w:rFonts w:ascii="Arial" w:hAnsi="Arial" w:cs="Arial"/>
                <w:sz w:val="16"/>
                <w:szCs w:val="16"/>
              </w:rPr>
              <w:lastRenderedPageBreak/>
              <w:t xml:space="preserve">resistant ascites s/p ascitic drain with H. pylori infection. </w:t>
            </w:r>
          </w:p>
        </w:tc>
        <w:tc>
          <w:tcPr>
            <w:tcW w:w="580" w:type="pct"/>
          </w:tcPr>
          <w:p w14:paraId="650F3A40" w14:textId="44D7B8B4" w:rsidR="008B68A4" w:rsidRPr="00170824" w:rsidRDefault="00A24B8B" w:rsidP="001A6451">
            <w:pPr>
              <w:rPr>
                <w:rFonts w:ascii="Arial" w:hAnsi="Arial" w:cs="Arial"/>
                <w:sz w:val="16"/>
                <w:szCs w:val="16"/>
              </w:rPr>
            </w:pPr>
            <w:r>
              <w:rPr>
                <w:rFonts w:ascii="Arial" w:hAnsi="Arial" w:cs="Arial"/>
                <w:sz w:val="16"/>
                <w:szCs w:val="16"/>
              </w:rPr>
              <w:lastRenderedPageBreak/>
              <w:t>8</w:t>
            </w:r>
          </w:p>
        </w:tc>
        <w:tc>
          <w:tcPr>
            <w:tcW w:w="1377" w:type="pct"/>
          </w:tcPr>
          <w:p w14:paraId="3C61BBC4" w14:textId="68B02479" w:rsidR="005C0306" w:rsidRPr="005C0306" w:rsidRDefault="005C0306" w:rsidP="005C0306">
            <w:pPr>
              <w:rPr>
                <w:rFonts w:ascii="Arial" w:hAnsi="Arial" w:cs="Arial"/>
                <w:sz w:val="16"/>
                <w:szCs w:val="16"/>
              </w:rPr>
            </w:pPr>
            <w:r w:rsidRPr="005C0306">
              <w:rPr>
                <w:rFonts w:ascii="Arial" w:hAnsi="Arial" w:cs="Arial"/>
                <w:sz w:val="16"/>
                <w:szCs w:val="16"/>
              </w:rPr>
              <w:t>Glycopeptide antibacterials</w:t>
            </w:r>
            <w:r>
              <w:rPr>
                <w:rFonts w:ascii="Arial" w:hAnsi="Arial" w:cs="Arial"/>
                <w:sz w:val="16"/>
                <w:szCs w:val="16"/>
              </w:rPr>
              <w:t xml:space="preserve">, </w:t>
            </w:r>
            <w:r w:rsidRPr="005C0306">
              <w:rPr>
                <w:rFonts w:ascii="Arial" w:hAnsi="Arial" w:cs="Arial"/>
                <w:sz w:val="16"/>
                <w:szCs w:val="16"/>
              </w:rPr>
              <w:t>Antibiotics</w:t>
            </w:r>
            <w:r>
              <w:rPr>
                <w:rFonts w:ascii="Arial" w:hAnsi="Arial" w:cs="Arial"/>
                <w:sz w:val="16"/>
                <w:szCs w:val="16"/>
              </w:rPr>
              <w:t xml:space="preserve">, Imidazole </w:t>
            </w:r>
            <w:r w:rsidRPr="005C0306">
              <w:rPr>
                <w:rFonts w:ascii="Arial" w:hAnsi="Arial" w:cs="Arial"/>
                <w:sz w:val="16"/>
                <w:szCs w:val="16"/>
              </w:rPr>
              <w:t>derivatives</w:t>
            </w:r>
            <w:r>
              <w:rPr>
                <w:rFonts w:ascii="Arial" w:hAnsi="Arial" w:cs="Arial"/>
                <w:sz w:val="16"/>
                <w:szCs w:val="16"/>
              </w:rPr>
              <w:t xml:space="preserve">, </w:t>
            </w:r>
            <w:r w:rsidRPr="005C0306">
              <w:rPr>
                <w:rFonts w:ascii="Arial" w:hAnsi="Arial" w:cs="Arial"/>
                <w:sz w:val="16"/>
                <w:szCs w:val="16"/>
              </w:rPr>
              <w:t>Proton pump inhibitors</w:t>
            </w:r>
            <w:r>
              <w:rPr>
                <w:rFonts w:ascii="Arial" w:hAnsi="Arial" w:cs="Arial"/>
                <w:sz w:val="16"/>
                <w:szCs w:val="16"/>
              </w:rPr>
              <w:t xml:space="preserve">, </w:t>
            </w:r>
            <w:r w:rsidRPr="005C0306">
              <w:rPr>
                <w:rFonts w:ascii="Arial" w:hAnsi="Arial" w:cs="Arial"/>
                <w:sz w:val="16"/>
                <w:szCs w:val="16"/>
              </w:rPr>
              <w:lastRenderedPageBreak/>
              <w:t>Tetracyclines</w:t>
            </w:r>
            <w:r>
              <w:rPr>
                <w:rFonts w:ascii="Arial" w:hAnsi="Arial" w:cs="Arial"/>
                <w:sz w:val="16"/>
                <w:szCs w:val="16"/>
              </w:rPr>
              <w:t xml:space="preserve">, </w:t>
            </w:r>
            <w:r w:rsidRPr="005C0306">
              <w:rPr>
                <w:rFonts w:ascii="Arial" w:hAnsi="Arial" w:cs="Arial"/>
                <w:sz w:val="16"/>
                <w:szCs w:val="16"/>
              </w:rPr>
              <w:t>Osmotically acting laxatives</w:t>
            </w:r>
            <w:r>
              <w:rPr>
                <w:rFonts w:ascii="Arial" w:hAnsi="Arial" w:cs="Arial"/>
                <w:sz w:val="16"/>
                <w:szCs w:val="16"/>
              </w:rPr>
              <w:t xml:space="preserve">, </w:t>
            </w:r>
            <w:r w:rsidRPr="005C0306">
              <w:rPr>
                <w:rFonts w:ascii="Arial" w:hAnsi="Arial" w:cs="Arial"/>
                <w:sz w:val="16"/>
                <w:szCs w:val="16"/>
              </w:rPr>
              <w:t>Quinolone antibacterials</w:t>
            </w:r>
            <w:r>
              <w:rPr>
                <w:rFonts w:ascii="Arial" w:hAnsi="Arial" w:cs="Arial"/>
                <w:sz w:val="16"/>
                <w:szCs w:val="16"/>
              </w:rPr>
              <w:t xml:space="preserve">, </w:t>
            </w:r>
            <w:r w:rsidRPr="005C0306">
              <w:rPr>
                <w:rFonts w:ascii="Arial" w:hAnsi="Arial" w:cs="Arial"/>
                <w:sz w:val="16"/>
                <w:szCs w:val="16"/>
              </w:rPr>
              <w:t>Dihydropyridine derivatives)</w:t>
            </w:r>
          </w:p>
          <w:p w14:paraId="012F389A" w14:textId="77777777" w:rsidR="008B68A4" w:rsidRPr="00170824" w:rsidRDefault="008B68A4" w:rsidP="001A6451">
            <w:pPr>
              <w:rPr>
                <w:rFonts w:ascii="Arial" w:hAnsi="Arial" w:cs="Arial"/>
                <w:sz w:val="16"/>
                <w:szCs w:val="16"/>
              </w:rPr>
            </w:pPr>
          </w:p>
        </w:tc>
      </w:tr>
      <w:tr w:rsidR="0081769D" w:rsidRPr="00170824" w14:paraId="23646104" w14:textId="0B9B0D24" w:rsidTr="0081769D">
        <w:tc>
          <w:tcPr>
            <w:tcW w:w="363" w:type="pct"/>
          </w:tcPr>
          <w:p w14:paraId="4BCBCF2B" w14:textId="7861F23D" w:rsidR="008B68A4" w:rsidRPr="00170824" w:rsidRDefault="008B68A4" w:rsidP="00DE6B1E">
            <w:pPr>
              <w:jc w:val="both"/>
              <w:rPr>
                <w:rFonts w:ascii="Arial" w:hAnsi="Arial" w:cs="Arial"/>
                <w:sz w:val="16"/>
                <w:szCs w:val="16"/>
              </w:rPr>
            </w:pPr>
            <w:r>
              <w:rPr>
                <w:rFonts w:ascii="Arial" w:hAnsi="Arial" w:cs="Arial"/>
                <w:sz w:val="16"/>
                <w:szCs w:val="16"/>
              </w:rPr>
              <w:t>17</w:t>
            </w:r>
          </w:p>
        </w:tc>
        <w:tc>
          <w:tcPr>
            <w:tcW w:w="829" w:type="pct"/>
          </w:tcPr>
          <w:p w14:paraId="64D791DD" w14:textId="2E394CAD" w:rsidR="008B68A4" w:rsidRPr="00170824" w:rsidRDefault="008B68A4" w:rsidP="00DE6B1E">
            <w:pPr>
              <w:jc w:val="both"/>
              <w:rPr>
                <w:rFonts w:ascii="Arial" w:hAnsi="Arial" w:cs="Arial"/>
                <w:sz w:val="16"/>
                <w:szCs w:val="16"/>
              </w:rPr>
            </w:pPr>
            <w:r>
              <w:rPr>
                <w:rFonts w:ascii="Arial" w:hAnsi="Arial" w:cs="Arial"/>
                <w:sz w:val="16"/>
                <w:szCs w:val="16"/>
              </w:rPr>
              <w:t xml:space="preserve">General Surgery / Oncology </w:t>
            </w:r>
          </w:p>
        </w:tc>
        <w:tc>
          <w:tcPr>
            <w:tcW w:w="1851" w:type="pct"/>
          </w:tcPr>
          <w:p w14:paraId="3D03C50B" w14:textId="647D9EE0" w:rsidR="008B68A4" w:rsidRPr="00170824" w:rsidRDefault="008B68A4" w:rsidP="00DE6B1E">
            <w:pPr>
              <w:rPr>
                <w:rFonts w:ascii="Arial" w:hAnsi="Arial" w:cs="Arial"/>
                <w:sz w:val="16"/>
                <w:szCs w:val="16"/>
              </w:rPr>
            </w:pPr>
            <w:r w:rsidRPr="005A36C5">
              <w:rPr>
                <w:rFonts w:ascii="Arial" w:hAnsi="Arial" w:cs="Arial"/>
                <w:sz w:val="16"/>
                <w:szCs w:val="16"/>
              </w:rPr>
              <w:t xml:space="preserve">55-year-old Chinese </w:t>
            </w:r>
            <w:r>
              <w:rPr>
                <w:rFonts w:ascii="Arial" w:hAnsi="Arial" w:cs="Arial"/>
                <w:sz w:val="16"/>
                <w:szCs w:val="16"/>
              </w:rPr>
              <w:t>male</w:t>
            </w:r>
            <w:r w:rsidRPr="005A36C5">
              <w:rPr>
                <w:rFonts w:ascii="Arial" w:hAnsi="Arial" w:cs="Arial"/>
                <w:sz w:val="16"/>
                <w:szCs w:val="16"/>
              </w:rPr>
              <w:t xml:space="preserve"> with a history of perforated duodenal ulcer, epithelial carcinoma of the salivary gland with liver metastasis, and neutropenia sepsis. His current condition includes postoperative care following laparoscopic omental patch repair of </w:t>
            </w:r>
            <w:r>
              <w:rPr>
                <w:rFonts w:ascii="Arial" w:hAnsi="Arial" w:cs="Arial"/>
                <w:sz w:val="16"/>
                <w:szCs w:val="16"/>
              </w:rPr>
              <w:t>a perforated</w:t>
            </w:r>
            <w:r w:rsidRPr="005A36C5">
              <w:rPr>
                <w:rFonts w:ascii="Arial" w:hAnsi="Arial" w:cs="Arial"/>
                <w:sz w:val="16"/>
                <w:szCs w:val="16"/>
              </w:rPr>
              <w:t xml:space="preserve"> duodenal ulcer and chemotherapy for </w:t>
            </w:r>
            <w:r>
              <w:rPr>
                <w:rFonts w:ascii="Arial" w:hAnsi="Arial" w:cs="Arial"/>
                <w:sz w:val="16"/>
                <w:szCs w:val="16"/>
              </w:rPr>
              <w:t>his cancer</w:t>
            </w:r>
            <w:r w:rsidRPr="005A36C5">
              <w:rPr>
                <w:rFonts w:ascii="Arial" w:hAnsi="Arial" w:cs="Arial"/>
                <w:sz w:val="16"/>
                <w:szCs w:val="16"/>
              </w:rPr>
              <w:t>.</w:t>
            </w:r>
          </w:p>
        </w:tc>
        <w:tc>
          <w:tcPr>
            <w:tcW w:w="580" w:type="pct"/>
          </w:tcPr>
          <w:p w14:paraId="056B1C69" w14:textId="772889DB" w:rsidR="008B68A4" w:rsidRPr="00170824" w:rsidRDefault="00A24B8B" w:rsidP="001A6451">
            <w:pPr>
              <w:rPr>
                <w:rFonts w:ascii="Arial" w:hAnsi="Arial" w:cs="Arial"/>
                <w:sz w:val="16"/>
                <w:szCs w:val="16"/>
              </w:rPr>
            </w:pPr>
            <w:r>
              <w:rPr>
                <w:rFonts w:ascii="Arial" w:hAnsi="Arial" w:cs="Arial"/>
                <w:sz w:val="16"/>
                <w:szCs w:val="16"/>
              </w:rPr>
              <w:t>10</w:t>
            </w:r>
          </w:p>
        </w:tc>
        <w:tc>
          <w:tcPr>
            <w:tcW w:w="1377" w:type="pct"/>
          </w:tcPr>
          <w:p w14:paraId="44FC7C52" w14:textId="0C13C150" w:rsidR="005C0306" w:rsidRPr="005C0306" w:rsidRDefault="005C0306" w:rsidP="005C0306">
            <w:pPr>
              <w:rPr>
                <w:rFonts w:ascii="Arial" w:hAnsi="Arial" w:cs="Arial"/>
                <w:sz w:val="16"/>
                <w:szCs w:val="16"/>
              </w:rPr>
            </w:pPr>
            <w:r w:rsidRPr="005C0306">
              <w:rPr>
                <w:rFonts w:ascii="Arial" w:hAnsi="Arial" w:cs="Arial"/>
                <w:sz w:val="16"/>
                <w:szCs w:val="16"/>
              </w:rPr>
              <w:t>Insulins and analogues</w:t>
            </w:r>
            <w:r>
              <w:rPr>
                <w:rFonts w:ascii="Arial" w:hAnsi="Arial" w:cs="Arial"/>
                <w:sz w:val="16"/>
                <w:szCs w:val="16"/>
              </w:rPr>
              <w:t xml:space="preserve">, </w:t>
            </w:r>
            <w:r w:rsidRPr="005C0306">
              <w:rPr>
                <w:rFonts w:ascii="Arial" w:hAnsi="Arial" w:cs="Arial"/>
                <w:sz w:val="16"/>
                <w:szCs w:val="16"/>
              </w:rPr>
              <w:t>Echinocandins</w:t>
            </w:r>
            <w:r>
              <w:rPr>
                <w:rFonts w:ascii="Arial" w:hAnsi="Arial" w:cs="Arial"/>
                <w:sz w:val="16"/>
                <w:szCs w:val="16"/>
              </w:rPr>
              <w:t xml:space="preserve">, </w:t>
            </w:r>
            <w:r w:rsidRPr="005C0306">
              <w:rPr>
                <w:rFonts w:ascii="Arial" w:hAnsi="Arial" w:cs="Arial"/>
                <w:sz w:val="16"/>
                <w:szCs w:val="16"/>
              </w:rPr>
              <w:t>Colony-stimulating factors</w:t>
            </w:r>
            <w:r>
              <w:rPr>
                <w:rFonts w:ascii="Arial" w:hAnsi="Arial" w:cs="Arial"/>
                <w:sz w:val="16"/>
                <w:szCs w:val="16"/>
              </w:rPr>
              <w:t xml:space="preserve">, </w:t>
            </w:r>
            <w:r w:rsidRPr="005C0306">
              <w:rPr>
                <w:rFonts w:ascii="Arial" w:hAnsi="Arial" w:cs="Arial"/>
                <w:sz w:val="16"/>
                <w:szCs w:val="16"/>
              </w:rPr>
              <w:t>Proton pump inhibitors</w:t>
            </w:r>
            <w:r>
              <w:rPr>
                <w:rFonts w:ascii="Arial" w:hAnsi="Arial" w:cs="Arial"/>
                <w:sz w:val="16"/>
                <w:szCs w:val="16"/>
              </w:rPr>
              <w:t xml:space="preserve">, </w:t>
            </w:r>
            <w:r w:rsidRPr="005C0306">
              <w:rPr>
                <w:rFonts w:ascii="Arial" w:hAnsi="Arial" w:cs="Arial"/>
                <w:sz w:val="16"/>
                <w:szCs w:val="16"/>
              </w:rPr>
              <w:t xml:space="preserve"> Anilides</w:t>
            </w:r>
            <w:r>
              <w:rPr>
                <w:rFonts w:ascii="Arial" w:hAnsi="Arial" w:cs="Arial"/>
                <w:sz w:val="16"/>
                <w:szCs w:val="16"/>
              </w:rPr>
              <w:t xml:space="preserve">, </w:t>
            </w:r>
            <w:r w:rsidRPr="005C0306">
              <w:rPr>
                <w:rFonts w:ascii="Arial" w:hAnsi="Arial" w:cs="Arial"/>
                <w:sz w:val="16"/>
                <w:szCs w:val="16"/>
              </w:rPr>
              <w:t>Combination of penicillins, including beta-lactamase inhibitors</w:t>
            </w:r>
            <w:r>
              <w:rPr>
                <w:rFonts w:ascii="Arial" w:hAnsi="Arial" w:cs="Arial"/>
                <w:sz w:val="16"/>
                <w:szCs w:val="16"/>
              </w:rPr>
              <w:t xml:space="preserve">, </w:t>
            </w:r>
            <w:r w:rsidRPr="005C0306">
              <w:rPr>
                <w:rFonts w:ascii="Arial" w:hAnsi="Arial" w:cs="Arial"/>
                <w:sz w:val="16"/>
                <w:szCs w:val="16"/>
              </w:rPr>
              <w:t>Other opioids</w:t>
            </w:r>
            <w:r>
              <w:rPr>
                <w:rFonts w:ascii="Arial" w:hAnsi="Arial" w:cs="Arial"/>
                <w:sz w:val="16"/>
                <w:szCs w:val="16"/>
              </w:rPr>
              <w:t xml:space="preserve">, </w:t>
            </w:r>
            <w:r w:rsidRPr="005C0306">
              <w:rPr>
                <w:rFonts w:ascii="Arial" w:hAnsi="Arial" w:cs="Arial"/>
                <w:sz w:val="16"/>
                <w:szCs w:val="16"/>
              </w:rPr>
              <w:t>Glycopeptide antibacterials</w:t>
            </w:r>
            <w:r>
              <w:rPr>
                <w:rFonts w:ascii="Arial" w:hAnsi="Arial" w:cs="Arial"/>
                <w:sz w:val="16"/>
                <w:szCs w:val="16"/>
              </w:rPr>
              <w:t xml:space="preserve">, </w:t>
            </w:r>
            <w:r w:rsidRPr="005C0306">
              <w:rPr>
                <w:rFonts w:ascii="Arial" w:hAnsi="Arial" w:cs="Arial"/>
                <w:sz w:val="16"/>
                <w:szCs w:val="16"/>
              </w:rPr>
              <w:t>Nucleoside and nucleotide reverse transcriptase inhibitors</w:t>
            </w:r>
          </w:p>
          <w:p w14:paraId="5653E376" w14:textId="77777777" w:rsidR="008B68A4" w:rsidRPr="00170824" w:rsidRDefault="008B68A4" w:rsidP="001A6451">
            <w:pPr>
              <w:rPr>
                <w:rFonts w:ascii="Arial" w:hAnsi="Arial" w:cs="Arial"/>
                <w:sz w:val="16"/>
                <w:szCs w:val="16"/>
              </w:rPr>
            </w:pPr>
          </w:p>
        </w:tc>
      </w:tr>
      <w:tr w:rsidR="0081769D" w:rsidRPr="00170824" w14:paraId="0D6F2B69" w14:textId="6B4A12D9" w:rsidTr="0081769D">
        <w:tc>
          <w:tcPr>
            <w:tcW w:w="363" w:type="pct"/>
          </w:tcPr>
          <w:p w14:paraId="5A1664D4" w14:textId="1C628ABB" w:rsidR="008B68A4" w:rsidRPr="00170824" w:rsidRDefault="008B68A4" w:rsidP="00DE6B1E">
            <w:pPr>
              <w:jc w:val="both"/>
              <w:rPr>
                <w:rFonts w:ascii="Arial" w:hAnsi="Arial" w:cs="Arial"/>
                <w:sz w:val="16"/>
                <w:szCs w:val="16"/>
              </w:rPr>
            </w:pPr>
            <w:r>
              <w:rPr>
                <w:rFonts w:ascii="Arial" w:hAnsi="Arial" w:cs="Arial"/>
                <w:sz w:val="16"/>
                <w:szCs w:val="16"/>
              </w:rPr>
              <w:t>18</w:t>
            </w:r>
          </w:p>
        </w:tc>
        <w:tc>
          <w:tcPr>
            <w:tcW w:w="829" w:type="pct"/>
          </w:tcPr>
          <w:p w14:paraId="28270BF5" w14:textId="06CFBFD5" w:rsidR="008B68A4" w:rsidRPr="00170824" w:rsidRDefault="008B68A4" w:rsidP="00DE6B1E">
            <w:pPr>
              <w:jc w:val="both"/>
              <w:rPr>
                <w:rFonts w:ascii="Arial" w:hAnsi="Arial" w:cs="Arial"/>
                <w:sz w:val="16"/>
                <w:szCs w:val="16"/>
              </w:rPr>
            </w:pPr>
            <w:r>
              <w:rPr>
                <w:rFonts w:ascii="Arial" w:hAnsi="Arial" w:cs="Arial"/>
                <w:sz w:val="16"/>
                <w:szCs w:val="16"/>
              </w:rPr>
              <w:t xml:space="preserve">Vascular Surgery </w:t>
            </w:r>
          </w:p>
        </w:tc>
        <w:tc>
          <w:tcPr>
            <w:tcW w:w="1851" w:type="pct"/>
          </w:tcPr>
          <w:p w14:paraId="7D0281E7" w14:textId="668E52EC" w:rsidR="008B68A4" w:rsidRPr="00170824" w:rsidRDefault="008B68A4" w:rsidP="00DE6B1E">
            <w:pPr>
              <w:rPr>
                <w:rFonts w:ascii="Arial" w:hAnsi="Arial" w:cs="Arial"/>
                <w:sz w:val="16"/>
                <w:szCs w:val="16"/>
              </w:rPr>
            </w:pPr>
            <w:r w:rsidRPr="009828CB">
              <w:rPr>
                <w:rFonts w:ascii="Arial" w:hAnsi="Arial" w:cs="Arial"/>
                <w:sz w:val="16"/>
                <w:szCs w:val="16"/>
              </w:rPr>
              <w:t xml:space="preserve">71-year-old </w:t>
            </w:r>
            <w:r>
              <w:rPr>
                <w:rFonts w:ascii="Arial" w:hAnsi="Arial" w:cs="Arial"/>
                <w:sz w:val="16"/>
                <w:szCs w:val="16"/>
              </w:rPr>
              <w:t>Malay</w:t>
            </w:r>
            <w:r w:rsidRPr="009828CB">
              <w:rPr>
                <w:rFonts w:ascii="Arial" w:hAnsi="Arial" w:cs="Arial"/>
                <w:sz w:val="16"/>
                <w:szCs w:val="16"/>
              </w:rPr>
              <w:t xml:space="preserve"> </w:t>
            </w:r>
            <w:r>
              <w:rPr>
                <w:rFonts w:ascii="Arial" w:hAnsi="Arial" w:cs="Arial"/>
                <w:sz w:val="16"/>
                <w:szCs w:val="16"/>
              </w:rPr>
              <w:t>female</w:t>
            </w:r>
            <w:r w:rsidRPr="009828CB">
              <w:rPr>
                <w:rFonts w:ascii="Arial" w:hAnsi="Arial" w:cs="Arial"/>
                <w:sz w:val="16"/>
                <w:szCs w:val="16"/>
              </w:rPr>
              <w:t xml:space="preserve"> with a complex medical history including </w:t>
            </w:r>
            <w:r>
              <w:rPr>
                <w:rFonts w:ascii="Arial" w:hAnsi="Arial" w:cs="Arial"/>
                <w:sz w:val="16"/>
                <w:szCs w:val="16"/>
              </w:rPr>
              <w:t xml:space="preserve">end stage renal failure post living donor kidney transplant, complicated by </w:t>
            </w:r>
            <w:r w:rsidRPr="009828CB">
              <w:rPr>
                <w:rFonts w:ascii="Arial" w:hAnsi="Arial" w:cs="Arial"/>
                <w:sz w:val="16"/>
                <w:szCs w:val="16"/>
              </w:rPr>
              <w:t xml:space="preserve">chronic kidney disease of allograft, left renal cell carcinoma post radical nephrectomy, hyperparathyroidism with hypercalcemia, hypertension, type 2 diabetes mellitus, benign prostatic hyperplasia, and high cholesterol. </w:t>
            </w:r>
            <w:r>
              <w:rPr>
                <w:rFonts w:ascii="Arial" w:hAnsi="Arial" w:cs="Arial"/>
                <w:sz w:val="16"/>
                <w:szCs w:val="16"/>
              </w:rPr>
              <w:t>She</w:t>
            </w:r>
            <w:r w:rsidRPr="009828CB">
              <w:rPr>
                <w:rFonts w:ascii="Arial" w:hAnsi="Arial" w:cs="Arial"/>
                <w:sz w:val="16"/>
                <w:szCs w:val="16"/>
              </w:rPr>
              <w:t xml:space="preserve"> presents with right big toe pain and duskiness, leading to a diagnosis of dry gangrene of the right first toe</w:t>
            </w:r>
            <w:r>
              <w:rPr>
                <w:rFonts w:ascii="Arial" w:hAnsi="Arial" w:cs="Arial"/>
                <w:sz w:val="16"/>
                <w:szCs w:val="16"/>
              </w:rPr>
              <w:t xml:space="preserve">. </w:t>
            </w:r>
          </w:p>
        </w:tc>
        <w:tc>
          <w:tcPr>
            <w:tcW w:w="580" w:type="pct"/>
          </w:tcPr>
          <w:p w14:paraId="643F6560" w14:textId="7AF2E6D4" w:rsidR="008B68A4" w:rsidRPr="00170824" w:rsidRDefault="00A24B8B" w:rsidP="001A6451">
            <w:pPr>
              <w:rPr>
                <w:rFonts w:ascii="Arial" w:hAnsi="Arial" w:cs="Arial"/>
                <w:sz w:val="16"/>
                <w:szCs w:val="16"/>
              </w:rPr>
            </w:pPr>
            <w:r>
              <w:rPr>
                <w:rFonts w:ascii="Arial" w:hAnsi="Arial" w:cs="Arial"/>
                <w:sz w:val="16"/>
                <w:szCs w:val="16"/>
              </w:rPr>
              <w:t>18</w:t>
            </w:r>
          </w:p>
        </w:tc>
        <w:tc>
          <w:tcPr>
            <w:tcW w:w="1377" w:type="pct"/>
          </w:tcPr>
          <w:p w14:paraId="005E4C2A" w14:textId="37372177" w:rsidR="00C27EBE" w:rsidRPr="00C27EBE" w:rsidRDefault="00C27EBE" w:rsidP="00C27EBE">
            <w:pPr>
              <w:rPr>
                <w:rFonts w:ascii="Arial" w:hAnsi="Arial" w:cs="Arial"/>
                <w:sz w:val="16"/>
                <w:szCs w:val="16"/>
              </w:rPr>
            </w:pPr>
            <w:r w:rsidRPr="00C27EBE">
              <w:rPr>
                <w:rFonts w:ascii="Arial" w:hAnsi="Arial" w:cs="Arial"/>
                <w:sz w:val="16"/>
                <w:szCs w:val="16"/>
              </w:rPr>
              <w:t>Insulins and analogues</w:t>
            </w:r>
            <w:r>
              <w:rPr>
                <w:rFonts w:ascii="Arial" w:hAnsi="Arial" w:cs="Arial"/>
                <w:sz w:val="16"/>
                <w:szCs w:val="16"/>
              </w:rPr>
              <w:t xml:space="preserve">, </w:t>
            </w:r>
            <w:r w:rsidRPr="00C27EBE">
              <w:rPr>
                <w:rFonts w:ascii="Arial" w:hAnsi="Arial" w:cs="Arial"/>
                <w:sz w:val="16"/>
                <w:szCs w:val="16"/>
              </w:rPr>
              <w:t>Beta-blocking agents, selective</w:t>
            </w:r>
            <w:r>
              <w:rPr>
                <w:rFonts w:ascii="Arial" w:hAnsi="Arial" w:cs="Arial"/>
                <w:sz w:val="16"/>
                <w:szCs w:val="16"/>
              </w:rPr>
              <w:t xml:space="preserve">, </w:t>
            </w:r>
            <w:r w:rsidRPr="00C27EBE">
              <w:rPr>
                <w:rFonts w:ascii="Arial" w:hAnsi="Arial" w:cs="Arial"/>
                <w:sz w:val="16"/>
                <w:szCs w:val="16"/>
              </w:rPr>
              <w:t>HMG CoA reductase inhibitors</w:t>
            </w:r>
            <w:r>
              <w:rPr>
                <w:rFonts w:ascii="Arial" w:hAnsi="Arial" w:cs="Arial"/>
                <w:sz w:val="16"/>
                <w:szCs w:val="16"/>
              </w:rPr>
              <w:t xml:space="preserve">, </w:t>
            </w:r>
            <w:r w:rsidRPr="00C27EBE">
              <w:rPr>
                <w:rFonts w:ascii="Arial" w:hAnsi="Arial" w:cs="Arial"/>
                <w:sz w:val="16"/>
                <w:szCs w:val="16"/>
              </w:rPr>
              <w:t>Immunosuppressants</w:t>
            </w:r>
            <w:r>
              <w:rPr>
                <w:rFonts w:ascii="Arial" w:hAnsi="Arial" w:cs="Arial"/>
                <w:sz w:val="16"/>
                <w:szCs w:val="16"/>
              </w:rPr>
              <w:t xml:space="preserve">, </w:t>
            </w:r>
            <w:r w:rsidRPr="00C27EBE">
              <w:rPr>
                <w:rFonts w:ascii="Arial" w:hAnsi="Arial" w:cs="Arial"/>
                <w:sz w:val="16"/>
                <w:szCs w:val="16"/>
              </w:rPr>
              <w:t>Other calcimimetics</w:t>
            </w:r>
            <w:r>
              <w:rPr>
                <w:rFonts w:ascii="Arial" w:hAnsi="Arial" w:cs="Arial"/>
                <w:sz w:val="16"/>
                <w:szCs w:val="16"/>
              </w:rPr>
              <w:t xml:space="preserve">, </w:t>
            </w:r>
            <w:r w:rsidRPr="00C27EBE">
              <w:rPr>
                <w:rFonts w:ascii="Arial" w:hAnsi="Arial" w:cs="Arial"/>
                <w:sz w:val="16"/>
                <w:szCs w:val="16"/>
              </w:rPr>
              <w:t>Platelet aggregation inhibitors excl. heparin</w:t>
            </w:r>
            <w:r>
              <w:rPr>
                <w:rFonts w:ascii="Arial" w:hAnsi="Arial" w:cs="Arial"/>
                <w:sz w:val="16"/>
                <w:szCs w:val="16"/>
              </w:rPr>
              <w:t xml:space="preserve">, </w:t>
            </w:r>
            <w:r w:rsidRPr="00C27EBE">
              <w:rPr>
                <w:rFonts w:ascii="Arial" w:hAnsi="Arial" w:cs="Arial"/>
                <w:sz w:val="16"/>
                <w:szCs w:val="16"/>
              </w:rPr>
              <w:t>Trimethoprim and derivatives, combinations with sulfamethoxazole</w:t>
            </w:r>
            <w:r>
              <w:rPr>
                <w:rFonts w:ascii="Arial" w:hAnsi="Arial" w:cs="Arial"/>
                <w:sz w:val="16"/>
                <w:szCs w:val="16"/>
              </w:rPr>
              <w:t xml:space="preserve">, </w:t>
            </w:r>
            <w:r w:rsidRPr="00C27EBE">
              <w:rPr>
                <w:rFonts w:ascii="Arial" w:hAnsi="Arial" w:cs="Arial"/>
                <w:sz w:val="16"/>
                <w:szCs w:val="16"/>
              </w:rPr>
              <w:t>Other lipid modifying agents</w:t>
            </w:r>
            <w:r>
              <w:rPr>
                <w:rFonts w:ascii="Arial" w:hAnsi="Arial" w:cs="Arial"/>
                <w:sz w:val="16"/>
                <w:szCs w:val="16"/>
              </w:rPr>
              <w:t xml:space="preserve">, </w:t>
            </w:r>
            <w:r w:rsidRPr="00C27EBE">
              <w:rPr>
                <w:rFonts w:ascii="Arial" w:hAnsi="Arial" w:cs="Arial"/>
                <w:sz w:val="16"/>
                <w:szCs w:val="16"/>
              </w:rPr>
              <w:t>Folic acid</w:t>
            </w:r>
            <w:r>
              <w:rPr>
                <w:rFonts w:ascii="Arial" w:hAnsi="Arial" w:cs="Arial"/>
                <w:sz w:val="16"/>
                <w:szCs w:val="16"/>
              </w:rPr>
              <w:t xml:space="preserve">, </w:t>
            </w:r>
            <w:r w:rsidRPr="00C27EBE">
              <w:rPr>
                <w:rFonts w:ascii="Arial" w:hAnsi="Arial" w:cs="Arial"/>
                <w:sz w:val="16"/>
                <w:szCs w:val="16"/>
              </w:rPr>
              <w:t>High-ceiling diuretics</w:t>
            </w:r>
            <w:r>
              <w:rPr>
                <w:rFonts w:ascii="Arial" w:hAnsi="Arial" w:cs="Arial"/>
                <w:sz w:val="16"/>
                <w:szCs w:val="16"/>
              </w:rPr>
              <w:t xml:space="preserve">, </w:t>
            </w:r>
            <w:r w:rsidRPr="00C27EBE">
              <w:rPr>
                <w:rFonts w:ascii="Arial" w:hAnsi="Arial" w:cs="Arial"/>
                <w:sz w:val="16"/>
                <w:szCs w:val="16"/>
              </w:rPr>
              <w:t>Sulfonylureas</w:t>
            </w:r>
            <w:r>
              <w:rPr>
                <w:rFonts w:ascii="Arial" w:hAnsi="Arial" w:cs="Arial"/>
                <w:sz w:val="16"/>
                <w:szCs w:val="16"/>
              </w:rPr>
              <w:t xml:space="preserve">, </w:t>
            </w:r>
            <w:r w:rsidRPr="00C27EBE">
              <w:rPr>
                <w:rFonts w:ascii="Arial" w:hAnsi="Arial" w:cs="Arial"/>
                <w:sz w:val="16"/>
                <w:szCs w:val="16"/>
              </w:rPr>
              <w:t>Dipeptidyl peptidase 4 (DPP-4) inhibitors</w:t>
            </w:r>
            <w:r>
              <w:rPr>
                <w:rFonts w:ascii="Arial" w:hAnsi="Arial" w:cs="Arial"/>
                <w:sz w:val="16"/>
                <w:szCs w:val="16"/>
              </w:rPr>
              <w:t xml:space="preserve">, </w:t>
            </w:r>
            <w:r w:rsidRPr="00C27EBE">
              <w:rPr>
                <w:rFonts w:ascii="Arial" w:hAnsi="Arial" w:cs="Arial"/>
                <w:sz w:val="16"/>
                <w:szCs w:val="16"/>
              </w:rPr>
              <w:t>Angiotensin-converting enzyme inhibitors</w:t>
            </w:r>
            <w:r>
              <w:rPr>
                <w:rFonts w:ascii="Arial" w:hAnsi="Arial" w:cs="Arial"/>
                <w:sz w:val="16"/>
                <w:szCs w:val="16"/>
              </w:rPr>
              <w:t xml:space="preserve">, </w:t>
            </w:r>
            <w:r w:rsidRPr="00C27EBE">
              <w:rPr>
                <w:rFonts w:ascii="Arial" w:hAnsi="Arial" w:cs="Arial"/>
                <w:sz w:val="16"/>
                <w:szCs w:val="16"/>
              </w:rPr>
              <w:t>Magnesium</w:t>
            </w:r>
            <w:r>
              <w:rPr>
                <w:rFonts w:ascii="Arial" w:hAnsi="Arial" w:cs="Arial"/>
                <w:sz w:val="16"/>
                <w:szCs w:val="16"/>
              </w:rPr>
              <w:t xml:space="preserve">, </w:t>
            </w:r>
            <w:r w:rsidRPr="00C27EBE">
              <w:rPr>
                <w:rFonts w:ascii="Arial" w:hAnsi="Arial" w:cs="Arial"/>
                <w:sz w:val="16"/>
                <w:szCs w:val="16"/>
              </w:rPr>
              <w:t>Mycophenolic acid</w:t>
            </w:r>
            <w:r>
              <w:rPr>
                <w:rFonts w:ascii="Arial" w:hAnsi="Arial" w:cs="Arial"/>
                <w:sz w:val="16"/>
                <w:szCs w:val="16"/>
              </w:rPr>
              <w:t xml:space="preserve">, proton </w:t>
            </w:r>
            <w:r w:rsidRPr="00C27EBE">
              <w:rPr>
                <w:rFonts w:ascii="Arial" w:hAnsi="Arial" w:cs="Arial"/>
                <w:sz w:val="16"/>
                <w:szCs w:val="16"/>
              </w:rPr>
              <w:t>pump inhibitors</w:t>
            </w:r>
            <w:r>
              <w:rPr>
                <w:rFonts w:ascii="Arial" w:hAnsi="Arial" w:cs="Arial"/>
                <w:sz w:val="16"/>
                <w:szCs w:val="16"/>
              </w:rPr>
              <w:t xml:space="preserve">, </w:t>
            </w:r>
            <w:r w:rsidRPr="00C27EBE">
              <w:rPr>
                <w:rFonts w:ascii="Arial" w:hAnsi="Arial" w:cs="Arial"/>
                <w:sz w:val="16"/>
                <w:szCs w:val="16"/>
              </w:rPr>
              <w:t>Alpha-adrenoreceptor antagonists)</w:t>
            </w:r>
          </w:p>
          <w:p w14:paraId="13C2036C" w14:textId="77777777" w:rsidR="008B68A4" w:rsidRPr="00170824" w:rsidRDefault="008B68A4" w:rsidP="001A6451">
            <w:pPr>
              <w:rPr>
                <w:rFonts w:ascii="Arial" w:hAnsi="Arial" w:cs="Arial"/>
                <w:sz w:val="16"/>
                <w:szCs w:val="16"/>
              </w:rPr>
            </w:pPr>
          </w:p>
        </w:tc>
      </w:tr>
      <w:tr w:rsidR="0081769D" w:rsidRPr="00170824" w14:paraId="6D2DF5F1" w14:textId="150A11FD" w:rsidTr="0081769D">
        <w:tc>
          <w:tcPr>
            <w:tcW w:w="363" w:type="pct"/>
          </w:tcPr>
          <w:p w14:paraId="5499E729" w14:textId="03957D35" w:rsidR="008B68A4" w:rsidRDefault="008B68A4" w:rsidP="00DE6B1E">
            <w:pPr>
              <w:jc w:val="both"/>
              <w:rPr>
                <w:rFonts w:ascii="Arial" w:hAnsi="Arial" w:cs="Arial"/>
                <w:sz w:val="16"/>
                <w:szCs w:val="16"/>
              </w:rPr>
            </w:pPr>
            <w:r>
              <w:rPr>
                <w:rFonts w:ascii="Arial" w:hAnsi="Arial" w:cs="Arial"/>
                <w:sz w:val="16"/>
                <w:szCs w:val="16"/>
              </w:rPr>
              <w:t>19</w:t>
            </w:r>
          </w:p>
        </w:tc>
        <w:tc>
          <w:tcPr>
            <w:tcW w:w="829" w:type="pct"/>
          </w:tcPr>
          <w:p w14:paraId="2F45FC3E" w14:textId="289B0FBE" w:rsidR="008B68A4" w:rsidRPr="00170824" w:rsidRDefault="008B68A4" w:rsidP="00DE6B1E">
            <w:pPr>
              <w:jc w:val="both"/>
              <w:rPr>
                <w:rFonts w:ascii="Arial" w:hAnsi="Arial" w:cs="Arial"/>
                <w:sz w:val="16"/>
                <w:szCs w:val="16"/>
              </w:rPr>
            </w:pPr>
            <w:r>
              <w:rPr>
                <w:rFonts w:ascii="Arial" w:hAnsi="Arial" w:cs="Arial"/>
                <w:sz w:val="16"/>
                <w:szCs w:val="16"/>
              </w:rPr>
              <w:t xml:space="preserve">General Surgery / Colorectal Surgery  </w:t>
            </w:r>
          </w:p>
        </w:tc>
        <w:tc>
          <w:tcPr>
            <w:tcW w:w="1851" w:type="pct"/>
          </w:tcPr>
          <w:p w14:paraId="2AEAA307" w14:textId="27D6E6B7" w:rsidR="008B68A4" w:rsidRPr="00170824" w:rsidRDefault="008B68A4" w:rsidP="00DE6B1E">
            <w:pPr>
              <w:rPr>
                <w:rFonts w:ascii="Arial" w:hAnsi="Arial" w:cs="Arial"/>
                <w:sz w:val="16"/>
                <w:szCs w:val="16"/>
              </w:rPr>
            </w:pPr>
            <w:r w:rsidRPr="001B5366">
              <w:rPr>
                <w:rFonts w:ascii="Arial" w:hAnsi="Arial" w:cs="Arial"/>
                <w:sz w:val="16"/>
                <w:szCs w:val="16"/>
              </w:rPr>
              <w:t>60-year-old Chinese male with a history of diabetes, hypertension, hyperlipidemia, polycythemia rubra vera, end-stage renal failure on hemodialysis, diverticular disease, and past surgery for perforated jejunal diverticulitis. He presented with lower abdominal pain and constipation</w:t>
            </w:r>
            <w:r>
              <w:rPr>
                <w:rFonts w:ascii="Arial" w:hAnsi="Arial" w:cs="Arial"/>
                <w:sz w:val="16"/>
                <w:szCs w:val="16"/>
              </w:rPr>
              <w:t xml:space="preserve"> suspicious for intestinal obstruction</w:t>
            </w:r>
            <w:r w:rsidRPr="001B5366">
              <w:rPr>
                <w:rFonts w:ascii="Arial" w:hAnsi="Arial" w:cs="Arial"/>
                <w:sz w:val="16"/>
                <w:szCs w:val="16"/>
              </w:rPr>
              <w:t xml:space="preserve"> and later developed anal pain.</w:t>
            </w:r>
          </w:p>
        </w:tc>
        <w:tc>
          <w:tcPr>
            <w:tcW w:w="580" w:type="pct"/>
          </w:tcPr>
          <w:p w14:paraId="5DA85303" w14:textId="13C2980C" w:rsidR="008B68A4" w:rsidRPr="00170824" w:rsidRDefault="00A24B8B" w:rsidP="001A6451">
            <w:pPr>
              <w:rPr>
                <w:rFonts w:ascii="Arial" w:hAnsi="Arial" w:cs="Arial"/>
                <w:sz w:val="16"/>
                <w:szCs w:val="16"/>
              </w:rPr>
            </w:pPr>
            <w:r>
              <w:rPr>
                <w:rFonts w:ascii="Arial" w:hAnsi="Arial" w:cs="Arial"/>
                <w:sz w:val="16"/>
                <w:szCs w:val="16"/>
              </w:rPr>
              <w:t>17</w:t>
            </w:r>
          </w:p>
        </w:tc>
        <w:tc>
          <w:tcPr>
            <w:tcW w:w="1377" w:type="pct"/>
          </w:tcPr>
          <w:p w14:paraId="3E60E2E3" w14:textId="7CEDB26E" w:rsidR="008B68A4" w:rsidRPr="00170824" w:rsidRDefault="00C27EBE" w:rsidP="00C27EBE">
            <w:pPr>
              <w:rPr>
                <w:rFonts w:ascii="Arial" w:hAnsi="Arial" w:cs="Arial"/>
                <w:sz w:val="16"/>
                <w:szCs w:val="16"/>
              </w:rPr>
            </w:pPr>
            <w:r w:rsidRPr="00C27EBE">
              <w:rPr>
                <w:rFonts w:ascii="Arial" w:hAnsi="Arial" w:cs="Arial"/>
                <w:sz w:val="16"/>
                <w:szCs w:val="16"/>
              </w:rPr>
              <w:t>Osmotically acting laxatives</w:t>
            </w:r>
            <w:r>
              <w:rPr>
                <w:rFonts w:ascii="Arial" w:hAnsi="Arial" w:cs="Arial"/>
                <w:sz w:val="16"/>
                <w:szCs w:val="16"/>
              </w:rPr>
              <w:t xml:space="preserve">, </w:t>
            </w:r>
            <w:r w:rsidRPr="00C27EBE">
              <w:rPr>
                <w:rFonts w:ascii="Arial" w:hAnsi="Arial" w:cs="Arial"/>
                <w:sz w:val="16"/>
                <w:szCs w:val="16"/>
              </w:rPr>
              <w:t>Anilides</w:t>
            </w:r>
            <w:r>
              <w:rPr>
                <w:rFonts w:ascii="Arial" w:hAnsi="Arial" w:cs="Arial"/>
                <w:sz w:val="16"/>
                <w:szCs w:val="16"/>
              </w:rPr>
              <w:t xml:space="preserve">, </w:t>
            </w:r>
            <w:r w:rsidRPr="00C27EBE">
              <w:rPr>
                <w:rFonts w:ascii="Arial" w:hAnsi="Arial" w:cs="Arial"/>
                <w:sz w:val="16"/>
                <w:szCs w:val="16"/>
              </w:rPr>
              <w:t>Contact laxatives</w:t>
            </w:r>
            <w:r>
              <w:rPr>
                <w:rFonts w:ascii="Arial" w:hAnsi="Arial" w:cs="Arial"/>
                <w:sz w:val="16"/>
                <w:szCs w:val="16"/>
              </w:rPr>
              <w:t xml:space="preserve">, </w:t>
            </w:r>
            <w:r w:rsidRPr="00C27EBE">
              <w:rPr>
                <w:rFonts w:ascii="Arial" w:hAnsi="Arial" w:cs="Arial"/>
                <w:sz w:val="16"/>
                <w:szCs w:val="16"/>
              </w:rPr>
              <w:t>Local anesthetics</w:t>
            </w:r>
            <w:r>
              <w:rPr>
                <w:rFonts w:ascii="Arial" w:hAnsi="Arial" w:cs="Arial"/>
                <w:sz w:val="16"/>
                <w:szCs w:val="16"/>
              </w:rPr>
              <w:t xml:space="preserve">, </w:t>
            </w:r>
            <w:r w:rsidRPr="00C27EBE">
              <w:rPr>
                <w:rFonts w:ascii="Arial" w:hAnsi="Arial" w:cs="Arial"/>
                <w:sz w:val="16"/>
                <w:szCs w:val="16"/>
              </w:rPr>
              <w:t>Other opioids</w:t>
            </w:r>
            <w:r>
              <w:rPr>
                <w:rFonts w:ascii="Arial" w:hAnsi="Arial" w:cs="Arial"/>
                <w:sz w:val="16"/>
                <w:szCs w:val="16"/>
              </w:rPr>
              <w:t xml:space="preserve">, </w:t>
            </w:r>
            <w:r w:rsidRPr="00C27EBE">
              <w:rPr>
                <w:rFonts w:ascii="Arial" w:hAnsi="Arial" w:cs="Arial"/>
                <w:sz w:val="16"/>
                <w:szCs w:val="16"/>
              </w:rPr>
              <w:t>HMG CoA reductase inhibitors</w:t>
            </w:r>
            <w:r>
              <w:rPr>
                <w:rFonts w:ascii="Arial" w:hAnsi="Arial" w:cs="Arial"/>
                <w:sz w:val="16"/>
                <w:szCs w:val="16"/>
              </w:rPr>
              <w:t xml:space="preserve">, </w:t>
            </w:r>
            <w:r w:rsidRPr="00C27EBE">
              <w:rPr>
                <w:rFonts w:ascii="Arial" w:hAnsi="Arial" w:cs="Arial"/>
                <w:sz w:val="16"/>
                <w:szCs w:val="16"/>
              </w:rPr>
              <w:t>Other antiepileptics</w:t>
            </w:r>
            <w:r>
              <w:rPr>
                <w:rFonts w:ascii="Arial" w:hAnsi="Arial" w:cs="Arial"/>
                <w:sz w:val="16"/>
                <w:szCs w:val="16"/>
              </w:rPr>
              <w:t xml:space="preserve">, </w:t>
            </w:r>
            <w:r w:rsidRPr="00C27EBE">
              <w:rPr>
                <w:rFonts w:ascii="Arial" w:hAnsi="Arial" w:cs="Arial"/>
                <w:sz w:val="16"/>
                <w:szCs w:val="16"/>
              </w:rPr>
              <w:t>Dipeptidyl peptidase 4 (DPP-4) inhibitors</w:t>
            </w:r>
            <w:r>
              <w:rPr>
                <w:rFonts w:ascii="Arial" w:hAnsi="Arial" w:cs="Arial"/>
                <w:sz w:val="16"/>
                <w:szCs w:val="16"/>
              </w:rPr>
              <w:t xml:space="preserve">, </w:t>
            </w:r>
            <w:r w:rsidRPr="00C27EBE">
              <w:rPr>
                <w:rFonts w:ascii="Arial" w:hAnsi="Arial" w:cs="Arial"/>
                <w:sz w:val="16"/>
                <w:szCs w:val="16"/>
              </w:rPr>
              <w:t>Sulfonylureas</w:t>
            </w:r>
            <w:r>
              <w:rPr>
                <w:rFonts w:ascii="Arial" w:hAnsi="Arial" w:cs="Arial"/>
                <w:sz w:val="16"/>
                <w:szCs w:val="16"/>
              </w:rPr>
              <w:t xml:space="preserve">, </w:t>
            </w:r>
            <w:r w:rsidRPr="00C27EBE">
              <w:rPr>
                <w:rFonts w:ascii="Arial" w:hAnsi="Arial" w:cs="Arial"/>
                <w:sz w:val="16"/>
                <w:szCs w:val="16"/>
              </w:rPr>
              <w:t>Propulsives</w:t>
            </w:r>
            <w:r>
              <w:rPr>
                <w:rFonts w:ascii="Arial" w:hAnsi="Arial" w:cs="Arial"/>
                <w:sz w:val="16"/>
                <w:szCs w:val="16"/>
              </w:rPr>
              <w:t xml:space="preserve">, </w:t>
            </w:r>
            <w:r w:rsidRPr="00C27EBE">
              <w:rPr>
                <w:rFonts w:ascii="Arial" w:hAnsi="Arial" w:cs="Arial"/>
                <w:sz w:val="16"/>
                <w:szCs w:val="16"/>
              </w:rPr>
              <w:t>Other calcimimetics</w:t>
            </w:r>
            <w:r>
              <w:rPr>
                <w:rFonts w:ascii="Arial" w:hAnsi="Arial" w:cs="Arial"/>
                <w:sz w:val="16"/>
                <w:szCs w:val="16"/>
              </w:rPr>
              <w:t xml:space="preserve">, </w:t>
            </w:r>
            <w:r w:rsidRPr="00C27EBE">
              <w:rPr>
                <w:rFonts w:ascii="Arial" w:hAnsi="Arial" w:cs="Arial"/>
                <w:sz w:val="16"/>
                <w:szCs w:val="16"/>
              </w:rPr>
              <w:t>Vasodilators used in peripheral vascular diseases</w:t>
            </w:r>
            <w:r>
              <w:rPr>
                <w:rFonts w:ascii="Arial" w:hAnsi="Arial" w:cs="Arial"/>
                <w:sz w:val="16"/>
                <w:szCs w:val="16"/>
              </w:rPr>
              <w:t xml:space="preserve">, </w:t>
            </w:r>
            <w:r w:rsidRPr="00C27EBE">
              <w:rPr>
                <w:rFonts w:ascii="Arial" w:hAnsi="Arial" w:cs="Arial"/>
                <w:sz w:val="16"/>
                <w:szCs w:val="16"/>
              </w:rPr>
              <w:t>Phosphate binders</w:t>
            </w:r>
            <w:r>
              <w:rPr>
                <w:rFonts w:ascii="Arial" w:hAnsi="Arial" w:cs="Arial"/>
                <w:sz w:val="16"/>
                <w:szCs w:val="16"/>
              </w:rPr>
              <w:t xml:space="preserve">, </w:t>
            </w:r>
            <w:r w:rsidRPr="00C27EBE">
              <w:rPr>
                <w:rFonts w:ascii="Arial" w:hAnsi="Arial" w:cs="Arial"/>
                <w:sz w:val="16"/>
                <w:szCs w:val="16"/>
              </w:rPr>
              <w:t>Organic nitrates</w:t>
            </w:r>
            <w:r>
              <w:rPr>
                <w:rFonts w:ascii="Arial" w:hAnsi="Arial" w:cs="Arial"/>
                <w:sz w:val="16"/>
                <w:szCs w:val="16"/>
              </w:rPr>
              <w:t xml:space="preserve">, </w:t>
            </w:r>
            <w:r w:rsidRPr="00C27EBE">
              <w:rPr>
                <w:rFonts w:ascii="Arial" w:hAnsi="Arial" w:cs="Arial"/>
                <w:sz w:val="16"/>
                <w:szCs w:val="16"/>
              </w:rPr>
              <w:t>Quinolone antibacterials</w:t>
            </w:r>
          </w:p>
        </w:tc>
      </w:tr>
      <w:tr w:rsidR="0081769D" w:rsidRPr="00170824" w14:paraId="226548DD" w14:textId="25ECFF59" w:rsidTr="0081769D">
        <w:tc>
          <w:tcPr>
            <w:tcW w:w="363" w:type="pct"/>
          </w:tcPr>
          <w:p w14:paraId="1F0822C4" w14:textId="4723687E" w:rsidR="008B68A4" w:rsidRDefault="008B68A4" w:rsidP="00DE6B1E">
            <w:pPr>
              <w:jc w:val="both"/>
              <w:rPr>
                <w:rFonts w:ascii="Arial" w:hAnsi="Arial" w:cs="Arial"/>
                <w:sz w:val="16"/>
                <w:szCs w:val="16"/>
              </w:rPr>
            </w:pPr>
            <w:r>
              <w:rPr>
                <w:rFonts w:ascii="Arial" w:hAnsi="Arial" w:cs="Arial"/>
                <w:sz w:val="16"/>
                <w:szCs w:val="16"/>
              </w:rPr>
              <w:t>20</w:t>
            </w:r>
          </w:p>
        </w:tc>
        <w:tc>
          <w:tcPr>
            <w:tcW w:w="829" w:type="pct"/>
          </w:tcPr>
          <w:p w14:paraId="162A8735" w14:textId="59D5C909" w:rsidR="008B68A4" w:rsidRPr="00170824" w:rsidRDefault="008B68A4" w:rsidP="00DE6B1E">
            <w:pPr>
              <w:jc w:val="both"/>
              <w:rPr>
                <w:rFonts w:ascii="Arial" w:hAnsi="Arial" w:cs="Arial"/>
                <w:sz w:val="16"/>
                <w:szCs w:val="16"/>
              </w:rPr>
            </w:pPr>
            <w:r>
              <w:rPr>
                <w:rFonts w:ascii="Arial" w:hAnsi="Arial" w:cs="Arial"/>
                <w:sz w:val="16"/>
                <w:szCs w:val="16"/>
              </w:rPr>
              <w:t xml:space="preserve">General Surgery </w:t>
            </w:r>
          </w:p>
        </w:tc>
        <w:tc>
          <w:tcPr>
            <w:tcW w:w="1851" w:type="pct"/>
          </w:tcPr>
          <w:p w14:paraId="7891B319" w14:textId="04B01E69" w:rsidR="008B68A4" w:rsidRPr="00170824" w:rsidRDefault="008B68A4" w:rsidP="00DE6B1E">
            <w:pPr>
              <w:rPr>
                <w:rFonts w:ascii="Arial" w:hAnsi="Arial" w:cs="Arial"/>
                <w:sz w:val="16"/>
                <w:szCs w:val="16"/>
              </w:rPr>
            </w:pPr>
            <w:r w:rsidRPr="009644DB">
              <w:rPr>
                <w:rFonts w:ascii="Arial" w:hAnsi="Arial" w:cs="Arial"/>
                <w:sz w:val="16"/>
                <w:szCs w:val="16"/>
              </w:rPr>
              <w:t>46-year-old male with a history of adjustment disorder, lupus nephritis, hypertensive urgency, and chest pain. He presented with right lower abdominal pain associated with fever, diagnosed as perforated appendicitis. He underwent a laparotomy converted to open limited right hemicolectomy.</w:t>
            </w:r>
          </w:p>
        </w:tc>
        <w:tc>
          <w:tcPr>
            <w:tcW w:w="580" w:type="pct"/>
          </w:tcPr>
          <w:p w14:paraId="26E7DEAA" w14:textId="2ED32151" w:rsidR="008B68A4" w:rsidRPr="00170824" w:rsidRDefault="00A24B8B" w:rsidP="001A6451">
            <w:pPr>
              <w:rPr>
                <w:rFonts w:ascii="Arial" w:hAnsi="Arial" w:cs="Arial"/>
                <w:sz w:val="16"/>
                <w:szCs w:val="16"/>
              </w:rPr>
            </w:pPr>
            <w:r>
              <w:rPr>
                <w:rFonts w:ascii="Arial" w:hAnsi="Arial" w:cs="Arial"/>
                <w:sz w:val="16"/>
                <w:szCs w:val="16"/>
              </w:rPr>
              <w:t>12</w:t>
            </w:r>
          </w:p>
        </w:tc>
        <w:tc>
          <w:tcPr>
            <w:tcW w:w="1377" w:type="pct"/>
          </w:tcPr>
          <w:p w14:paraId="100CCDDB" w14:textId="59FB1DAE" w:rsidR="008B68A4" w:rsidRPr="00170824" w:rsidRDefault="009861E7" w:rsidP="001A6451">
            <w:pPr>
              <w:rPr>
                <w:rFonts w:ascii="Arial" w:hAnsi="Arial" w:cs="Arial"/>
                <w:sz w:val="16"/>
                <w:szCs w:val="16"/>
              </w:rPr>
            </w:pPr>
            <w:r w:rsidRPr="009861E7">
              <w:rPr>
                <w:rFonts w:ascii="Arial" w:hAnsi="Arial" w:cs="Arial"/>
                <w:sz w:val="16"/>
                <w:szCs w:val="16"/>
              </w:rPr>
              <w:t>Potassium</w:t>
            </w:r>
            <w:r>
              <w:rPr>
                <w:rFonts w:ascii="Arial" w:hAnsi="Arial" w:cs="Arial"/>
                <w:sz w:val="16"/>
                <w:szCs w:val="16"/>
              </w:rPr>
              <w:t xml:space="preserve">, Third </w:t>
            </w:r>
            <w:r w:rsidRPr="009861E7">
              <w:rPr>
                <w:rFonts w:ascii="Arial" w:hAnsi="Arial" w:cs="Arial"/>
                <w:sz w:val="16"/>
                <w:szCs w:val="16"/>
              </w:rPr>
              <w:t>-generation cephalosporins</w:t>
            </w:r>
            <w:r>
              <w:rPr>
                <w:rFonts w:ascii="Arial" w:hAnsi="Arial" w:cs="Arial"/>
                <w:sz w:val="16"/>
                <w:szCs w:val="16"/>
              </w:rPr>
              <w:t xml:space="preserve">, </w:t>
            </w:r>
            <w:r w:rsidRPr="009861E7">
              <w:rPr>
                <w:rFonts w:ascii="Arial" w:hAnsi="Arial" w:cs="Arial"/>
                <w:sz w:val="16"/>
                <w:szCs w:val="16"/>
              </w:rPr>
              <w:t>Imidazole derivatives</w:t>
            </w:r>
            <w:r>
              <w:rPr>
                <w:rFonts w:ascii="Arial" w:hAnsi="Arial" w:cs="Arial"/>
                <w:sz w:val="16"/>
                <w:szCs w:val="16"/>
              </w:rPr>
              <w:t xml:space="preserve">, </w:t>
            </w:r>
            <w:r w:rsidRPr="009861E7">
              <w:rPr>
                <w:rFonts w:ascii="Arial" w:hAnsi="Arial" w:cs="Arial"/>
                <w:sz w:val="16"/>
                <w:szCs w:val="16"/>
              </w:rPr>
              <w:t>Proton pump inhibitors</w:t>
            </w:r>
            <w:r>
              <w:rPr>
                <w:rFonts w:ascii="Arial" w:hAnsi="Arial" w:cs="Arial"/>
                <w:sz w:val="16"/>
                <w:szCs w:val="16"/>
              </w:rPr>
              <w:t xml:space="preserve">, </w:t>
            </w:r>
            <w:r w:rsidRPr="009861E7">
              <w:rPr>
                <w:rFonts w:ascii="Arial" w:hAnsi="Arial" w:cs="Arial"/>
                <w:sz w:val="16"/>
                <w:szCs w:val="16"/>
              </w:rPr>
              <w:t>Serotonin (5HT3) antagonists</w:t>
            </w:r>
            <w:r>
              <w:rPr>
                <w:rFonts w:ascii="Arial" w:hAnsi="Arial" w:cs="Arial"/>
                <w:sz w:val="16"/>
                <w:szCs w:val="16"/>
              </w:rPr>
              <w:t xml:space="preserve">, </w:t>
            </w:r>
            <w:r w:rsidRPr="009861E7">
              <w:rPr>
                <w:rFonts w:ascii="Arial" w:hAnsi="Arial" w:cs="Arial"/>
                <w:sz w:val="16"/>
                <w:szCs w:val="16"/>
              </w:rPr>
              <w:t>Propulsives</w:t>
            </w:r>
            <w:r>
              <w:rPr>
                <w:rFonts w:ascii="Arial" w:hAnsi="Arial" w:cs="Arial"/>
                <w:sz w:val="16"/>
                <w:szCs w:val="16"/>
              </w:rPr>
              <w:t xml:space="preserve">, </w:t>
            </w:r>
            <w:r w:rsidRPr="009861E7">
              <w:rPr>
                <w:rFonts w:ascii="Arial" w:hAnsi="Arial" w:cs="Arial"/>
                <w:sz w:val="16"/>
                <w:szCs w:val="16"/>
              </w:rPr>
              <w:t xml:space="preserve"> Anilides</w:t>
            </w:r>
            <w:r>
              <w:rPr>
                <w:rFonts w:ascii="Arial" w:hAnsi="Arial" w:cs="Arial"/>
                <w:sz w:val="16"/>
                <w:szCs w:val="16"/>
              </w:rPr>
              <w:t>,</w:t>
            </w:r>
            <w:r w:rsidRPr="009861E7">
              <w:rPr>
                <w:rFonts w:ascii="Arial" w:hAnsi="Arial" w:cs="Arial"/>
                <w:sz w:val="16"/>
                <w:szCs w:val="16"/>
              </w:rPr>
              <w:t xml:space="preserve"> Dihydropyridine derivatives</w:t>
            </w:r>
            <w:r>
              <w:rPr>
                <w:rFonts w:ascii="Arial" w:hAnsi="Arial" w:cs="Arial"/>
                <w:sz w:val="16"/>
                <w:szCs w:val="16"/>
              </w:rPr>
              <w:t xml:space="preserve">, </w:t>
            </w:r>
            <w:r w:rsidRPr="009861E7">
              <w:rPr>
                <w:rFonts w:ascii="Arial" w:hAnsi="Arial" w:cs="Arial"/>
                <w:sz w:val="16"/>
                <w:szCs w:val="16"/>
              </w:rPr>
              <w:t>Angiotensin-converting enzyme inhibitors</w:t>
            </w:r>
            <w:r>
              <w:rPr>
                <w:rFonts w:ascii="Arial" w:hAnsi="Arial" w:cs="Arial"/>
                <w:sz w:val="16"/>
                <w:szCs w:val="16"/>
              </w:rPr>
              <w:t xml:space="preserve">, </w:t>
            </w:r>
            <w:r w:rsidRPr="009861E7">
              <w:rPr>
                <w:rFonts w:ascii="Arial" w:hAnsi="Arial" w:cs="Arial"/>
                <w:sz w:val="16"/>
                <w:szCs w:val="16"/>
              </w:rPr>
              <w:t>Non-steroidal anti-inflammatory and antirheumatic products, coxibs</w:t>
            </w:r>
            <w:r>
              <w:rPr>
                <w:rFonts w:ascii="Arial" w:hAnsi="Arial" w:cs="Arial"/>
                <w:sz w:val="16"/>
                <w:szCs w:val="16"/>
              </w:rPr>
              <w:t xml:space="preserve">, </w:t>
            </w:r>
            <w:r w:rsidRPr="009861E7">
              <w:rPr>
                <w:rFonts w:ascii="Arial" w:hAnsi="Arial" w:cs="Arial"/>
                <w:sz w:val="16"/>
                <w:szCs w:val="16"/>
              </w:rPr>
              <w:t>Hydralazine and diuretics</w:t>
            </w:r>
            <w:r>
              <w:rPr>
                <w:rFonts w:ascii="Arial" w:hAnsi="Arial" w:cs="Arial"/>
                <w:sz w:val="16"/>
                <w:szCs w:val="16"/>
              </w:rPr>
              <w:t xml:space="preserve">, </w:t>
            </w:r>
            <w:r w:rsidRPr="009861E7">
              <w:rPr>
                <w:rFonts w:ascii="Arial" w:hAnsi="Arial" w:cs="Arial"/>
                <w:sz w:val="16"/>
                <w:szCs w:val="16"/>
              </w:rPr>
              <w:t>Selective COX-2 inhibitors</w:t>
            </w:r>
          </w:p>
        </w:tc>
      </w:tr>
      <w:tr w:rsidR="0081769D" w:rsidRPr="00170824" w14:paraId="4BAA04E8" w14:textId="5641F9D6" w:rsidTr="0081769D">
        <w:tc>
          <w:tcPr>
            <w:tcW w:w="363" w:type="pct"/>
          </w:tcPr>
          <w:p w14:paraId="166023E7" w14:textId="69CF8066" w:rsidR="008B68A4" w:rsidRDefault="008B68A4" w:rsidP="00DE6B1E">
            <w:pPr>
              <w:jc w:val="both"/>
              <w:rPr>
                <w:rFonts w:ascii="Arial" w:hAnsi="Arial" w:cs="Arial"/>
                <w:sz w:val="16"/>
                <w:szCs w:val="16"/>
              </w:rPr>
            </w:pPr>
            <w:r>
              <w:rPr>
                <w:rFonts w:ascii="Arial" w:hAnsi="Arial" w:cs="Arial"/>
                <w:sz w:val="16"/>
                <w:szCs w:val="16"/>
              </w:rPr>
              <w:t>2</w:t>
            </w:r>
            <w:r w:rsidR="00A24B8B">
              <w:rPr>
                <w:rFonts w:ascii="Arial" w:hAnsi="Arial" w:cs="Arial"/>
                <w:sz w:val="16"/>
                <w:szCs w:val="16"/>
              </w:rPr>
              <w:t>1</w:t>
            </w:r>
          </w:p>
        </w:tc>
        <w:tc>
          <w:tcPr>
            <w:tcW w:w="829" w:type="pct"/>
          </w:tcPr>
          <w:p w14:paraId="014E0447" w14:textId="32EAEE6D" w:rsidR="008B68A4" w:rsidRPr="00170824" w:rsidRDefault="008B68A4" w:rsidP="00DE6B1E">
            <w:pPr>
              <w:jc w:val="both"/>
              <w:rPr>
                <w:rFonts w:ascii="Arial" w:hAnsi="Arial" w:cs="Arial"/>
                <w:sz w:val="16"/>
                <w:szCs w:val="16"/>
              </w:rPr>
            </w:pPr>
            <w:r>
              <w:rPr>
                <w:rFonts w:ascii="Arial" w:hAnsi="Arial" w:cs="Arial"/>
                <w:sz w:val="16"/>
                <w:szCs w:val="16"/>
              </w:rPr>
              <w:t xml:space="preserve">General Surgery </w:t>
            </w:r>
          </w:p>
        </w:tc>
        <w:tc>
          <w:tcPr>
            <w:tcW w:w="1851" w:type="pct"/>
          </w:tcPr>
          <w:p w14:paraId="2906C37A" w14:textId="2CE25557" w:rsidR="008B68A4" w:rsidRPr="00170824" w:rsidRDefault="008B68A4" w:rsidP="00DE6B1E">
            <w:pPr>
              <w:rPr>
                <w:rFonts w:ascii="Arial" w:hAnsi="Arial" w:cs="Arial"/>
                <w:sz w:val="16"/>
                <w:szCs w:val="16"/>
              </w:rPr>
            </w:pPr>
            <w:r w:rsidRPr="009644DB">
              <w:rPr>
                <w:rFonts w:ascii="Arial" w:hAnsi="Arial" w:cs="Arial"/>
                <w:sz w:val="16"/>
                <w:szCs w:val="16"/>
              </w:rPr>
              <w:t>71-year-old male with a diagnosis of cecal diverticulitis and a small diverticular abscess. His past medical history includes benign prostatic hyperplasia, hypertension, and hyperlipidemia. The patient presented with right iliac fossa pain and had a history of abdominal pain</w:t>
            </w:r>
            <w:r>
              <w:rPr>
                <w:rFonts w:ascii="Arial" w:hAnsi="Arial" w:cs="Arial"/>
                <w:sz w:val="16"/>
                <w:szCs w:val="16"/>
              </w:rPr>
              <w:t>.</w:t>
            </w:r>
          </w:p>
        </w:tc>
        <w:tc>
          <w:tcPr>
            <w:tcW w:w="580" w:type="pct"/>
          </w:tcPr>
          <w:p w14:paraId="0394C86F" w14:textId="6C81FBF0" w:rsidR="008B68A4" w:rsidRPr="00170824" w:rsidRDefault="00A24B8B" w:rsidP="001A6451">
            <w:pPr>
              <w:rPr>
                <w:rFonts w:ascii="Arial" w:hAnsi="Arial" w:cs="Arial"/>
                <w:sz w:val="16"/>
                <w:szCs w:val="16"/>
              </w:rPr>
            </w:pPr>
            <w:r>
              <w:rPr>
                <w:rFonts w:ascii="Arial" w:hAnsi="Arial" w:cs="Arial"/>
                <w:sz w:val="16"/>
                <w:szCs w:val="16"/>
              </w:rPr>
              <w:t>11</w:t>
            </w:r>
          </w:p>
        </w:tc>
        <w:tc>
          <w:tcPr>
            <w:tcW w:w="1377" w:type="pct"/>
          </w:tcPr>
          <w:p w14:paraId="3C1A782F" w14:textId="56E866D7" w:rsidR="008B68A4" w:rsidRPr="00170824" w:rsidRDefault="008B3174" w:rsidP="008B3174">
            <w:pPr>
              <w:rPr>
                <w:rFonts w:ascii="Arial" w:hAnsi="Arial" w:cs="Arial"/>
                <w:sz w:val="16"/>
                <w:szCs w:val="16"/>
              </w:rPr>
            </w:pPr>
            <w:r w:rsidRPr="008B3174">
              <w:rPr>
                <w:rFonts w:ascii="Arial" w:hAnsi="Arial" w:cs="Arial"/>
                <w:sz w:val="16"/>
                <w:szCs w:val="16"/>
              </w:rPr>
              <w:t>Potassium</w:t>
            </w:r>
            <w:r>
              <w:rPr>
                <w:rFonts w:ascii="Arial" w:hAnsi="Arial" w:cs="Arial"/>
                <w:sz w:val="16"/>
                <w:szCs w:val="16"/>
              </w:rPr>
              <w:t>, Third</w:t>
            </w:r>
            <w:r w:rsidRPr="008B3174">
              <w:rPr>
                <w:rFonts w:ascii="Arial" w:hAnsi="Arial" w:cs="Arial"/>
                <w:sz w:val="16"/>
                <w:szCs w:val="16"/>
              </w:rPr>
              <w:t>-generation cephalosporins</w:t>
            </w:r>
            <w:r>
              <w:rPr>
                <w:rFonts w:ascii="Arial" w:hAnsi="Arial" w:cs="Arial"/>
                <w:sz w:val="16"/>
                <w:szCs w:val="16"/>
              </w:rPr>
              <w:t xml:space="preserve">, </w:t>
            </w:r>
            <w:r w:rsidRPr="008B3174">
              <w:rPr>
                <w:rFonts w:ascii="Arial" w:hAnsi="Arial" w:cs="Arial"/>
                <w:sz w:val="16"/>
                <w:szCs w:val="16"/>
              </w:rPr>
              <w:t>Imidazole derivatives</w:t>
            </w:r>
            <w:r>
              <w:rPr>
                <w:rFonts w:ascii="Arial" w:hAnsi="Arial" w:cs="Arial"/>
                <w:sz w:val="16"/>
                <w:szCs w:val="16"/>
              </w:rPr>
              <w:t xml:space="preserve">, </w:t>
            </w:r>
            <w:r w:rsidRPr="008B3174">
              <w:rPr>
                <w:rFonts w:ascii="Arial" w:hAnsi="Arial" w:cs="Arial"/>
                <w:sz w:val="16"/>
                <w:szCs w:val="16"/>
              </w:rPr>
              <w:t>Proton pump inhibitors</w:t>
            </w:r>
            <w:r>
              <w:rPr>
                <w:rFonts w:ascii="Arial" w:hAnsi="Arial" w:cs="Arial"/>
                <w:sz w:val="16"/>
                <w:szCs w:val="16"/>
              </w:rPr>
              <w:t xml:space="preserve">, </w:t>
            </w:r>
            <w:r w:rsidRPr="008B3174">
              <w:rPr>
                <w:rFonts w:ascii="Arial" w:hAnsi="Arial" w:cs="Arial"/>
                <w:sz w:val="16"/>
                <w:szCs w:val="16"/>
              </w:rPr>
              <w:t>Propulsives</w:t>
            </w:r>
            <w:r>
              <w:rPr>
                <w:rFonts w:ascii="Arial" w:hAnsi="Arial" w:cs="Arial"/>
                <w:sz w:val="16"/>
                <w:szCs w:val="16"/>
              </w:rPr>
              <w:t xml:space="preserve">, </w:t>
            </w:r>
            <w:r w:rsidRPr="008B3174">
              <w:rPr>
                <w:rFonts w:ascii="Arial" w:hAnsi="Arial" w:cs="Arial"/>
                <w:sz w:val="16"/>
                <w:szCs w:val="16"/>
              </w:rPr>
              <w:t>5-alpha-reductase inhibitors</w:t>
            </w:r>
            <w:r>
              <w:rPr>
                <w:rFonts w:ascii="Arial" w:hAnsi="Arial" w:cs="Arial"/>
                <w:sz w:val="16"/>
                <w:szCs w:val="16"/>
              </w:rPr>
              <w:t xml:space="preserve">, </w:t>
            </w:r>
            <w:r w:rsidRPr="008B3174">
              <w:rPr>
                <w:rFonts w:ascii="Arial" w:hAnsi="Arial" w:cs="Arial"/>
                <w:sz w:val="16"/>
                <w:szCs w:val="16"/>
              </w:rPr>
              <w:t>Alpha-adrenoreceptor antagonists</w:t>
            </w:r>
            <w:r>
              <w:rPr>
                <w:rFonts w:ascii="Arial" w:hAnsi="Arial" w:cs="Arial"/>
                <w:sz w:val="16"/>
                <w:szCs w:val="16"/>
              </w:rPr>
              <w:t xml:space="preserve">, </w:t>
            </w:r>
            <w:r w:rsidRPr="008B3174">
              <w:rPr>
                <w:rFonts w:ascii="Arial" w:hAnsi="Arial" w:cs="Arial"/>
                <w:sz w:val="16"/>
                <w:szCs w:val="16"/>
              </w:rPr>
              <w:t>Anilides</w:t>
            </w:r>
            <w:r>
              <w:rPr>
                <w:rFonts w:ascii="Arial" w:hAnsi="Arial" w:cs="Arial"/>
                <w:sz w:val="16"/>
                <w:szCs w:val="16"/>
              </w:rPr>
              <w:t xml:space="preserve">, </w:t>
            </w:r>
            <w:r w:rsidRPr="008B3174">
              <w:rPr>
                <w:rFonts w:ascii="Arial" w:hAnsi="Arial" w:cs="Arial"/>
                <w:sz w:val="16"/>
                <w:szCs w:val="16"/>
              </w:rPr>
              <w:t>Other opioids</w:t>
            </w:r>
            <w:r>
              <w:rPr>
                <w:rFonts w:ascii="Arial" w:hAnsi="Arial" w:cs="Arial"/>
                <w:sz w:val="16"/>
                <w:szCs w:val="16"/>
              </w:rPr>
              <w:t xml:space="preserve">, </w:t>
            </w:r>
            <w:r w:rsidRPr="008B3174">
              <w:rPr>
                <w:rFonts w:ascii="Arial" w:hAnsi="Arial" w:cs="Arial"/>
                <w:sz w:val="16"/>
                <w:szCs w:val="16"/>
              </w:rPr>
              <w:t>Sulfonamides, plain</w:t>
            </w:r>
            <w:r>
              <w:rPr>
                <w:rFonts w:ascii="Arial" w:hAnsi="Arial" w:cs="Arial"/>
                <w:sz w:val="16"/>
                <w:szCs w:val="16"/>
              </w:rPr>
              <w:t xml:space="preserve">, </w:t>
            </w:r>
            <w:r w:rsidRPr="008B3174">
              <w:rPr>
                <w:rFonts w:ascii="Arial" w:hAnsi="Arial" w:cs="Arial"/>
                <w:sz w:val="16"/>
                <w:szCs w:val="16"/>
              </w:rPr>
              <w:t>Phenothiazines with aliphatic side-chain</w:t>
            </w:r>
          </w:p>
        </w:tc>
      </w:tr>
      <w:tr w:rsidR="0081769D" w:rsidRPr="00170824" w14:paraId="02D5977A" w14:textId="5E817D10" w:rsidTr="0081769D">
        <w:tc>
          <w:tcPr>
            <w:tcW w:w="363" w:type="pct"/>
          </w:tcPr>
          <w:p w14:paraId="4F46D85F" w14:textId="382F6985" w:rsidR="008B68A4" w:rsidRDefault="008B68A4" w:rsidP="00DE6B1E">
            <w:pPr>
              <w:jc w:val="both"/>
              <w:rPr>
                <w:rFonts w:ascii="Arial" w:hAnsi="Arial" w:cs="Arial"/>
                <w:sz w:val="16"/>
                <w:szCs w:val="16"/>
              </w:rPr>
            </w:pPr>
            <w:r>
              <w:rPr>
                <w:rFonts w:ascii="Arial" w:hAnsi="Arial" w:cs="Arial"/>
                <w:sz w:val="16"/>
                <w:szCs w:val="16"/>
              </w:rPr>
              <w:t>22</w:t>
            </w:r>
          </w:p>
        </w:tc>
        <w:tc>
          <w:tcPr>
            <w:tcW w:w="829" w:type="pct"/>
          </w:tcPr>
          <w:p w14:paraId="6BE79CCF" w14:textId="283412D8" w:rsidR="008B68A4" w:rsidRDefault="008B68A4" w:rsidP="00DE6B1E">
            <w:pPr>
              <w:jc w:val="both"/>
              <w:rPr>
                <w:rFonts w:ascii="Arial" w:hAnsi="Arial" w:cs="Arial"/>
                <w:sz w:val="16"/>
                <w:szCs w:val="16"/>
              </w:rPr>
            </w:pPr>
            <w:r>
              <w:rPr>
                <w:rFonts w:ascii="Arial" w:hAnsi="Arial" w:cs="Arial"/>
                <w:sz w:val="16"/>
                <w:szCs w:val="16"/>
              </w:rPr>
              <w:t>Urology</w:t>
            </w:r>
          </w:p>
        </w:tc>
        <w:tc>
          <w:tcPr>
            <w:tcW w:w="1851" w:type="pct"/>
          </w:tcPr>
          <w:p w14:paraId="2F77AB69" w14:textId="70C3C394" w:rsidR="008B68A4" w:rsidRPr="009644DB" w:rsidRDefault="008B68A4" w:rsidP="00DE6B1E">
            <w:pPr>
              <w:rPr>
                <w:rFonts w:ascii="Arial" w:hAnsi="Arial" w:cs="Arial"/>
                <w:sz w:val="16"/>
                <w:szCs w:val="16"/>
              </w:rPr>
            </w:pPr>
            <w:r>
              <w:rPr>
                <w:rFonts w:ascii="Arial" w:hAnsi="Arial" w:cs="Arial"/>
                <w:sz w:val="16"/>
                <w:szCs w:val="16"/>
              </w:rPr>
              <w:t>7</w:t>
            </w:r>
            <w:r w:rsidRPr="00BD1455">
              <w:rPr>
                <w:rFonts w:ascii="Arial" w:hAnsi="Arial" w:cs="Arial"/>
                <w:sz w:val="16"/>
                <w:szCs w:val="16"/>
              </w:rPr>
              <w:t>5-year-old male with a history of ischemic colitis, hemorrhoids, benign prostatic hyperplasia (BPH), asthma, hypertension, gastritis, ischemic cardiomyopathy, and prostate cancer. He was admitted for gross hematuria and underwent bladder cystoscopy and cystodiathermy. His current issues include gross hematuria likely from prostate cancer and a urinary tract infection</w:t>
            </w:r>
          </w:p>
        </w:tc>
        <w:tc>
          <w:tcPr>
            <w:tcW w:w="580" w:type="pct"/>
          </w:tcPr>
          <w:p w14:paraId="2D74C3F5" w14:textId="2E4897F0" w:rsidR="008B68A4" w:rsidRPr="00170824" w:rsidRDefault="00A24B8B" w:rsidP="001A6451">
            <w:pPr>
              <w:rPr>
                <w:rFonts w:ascii="Arial" w:hAnsi="Arial" w:cs="Arial"/>
                <w:sz w:val="16"/>
                <w:szCs w:val="16"/>
              </w:rPr>
            </w:pPr>
            <w:r>
              <w:rPr>
                <w:rFonts w:ascii="Arial" w:hAnsi="Arial" w:cs="Arial"/>
                <w:sz w:val="16"/>
                <w:szCs w:val="16"/>
              </w:rPr>
              <w:t>14</w:t>
            </w:r>
          </w:p>
        </w:tc>
        <w:tc>
          <w:tcPr>
            <w:tcW w:w="1377" w:type="pct"/>
          </w:tcPr>
          <w:p w14:paraId="4300A371" w14:textId="3D4BCBA1" w:rsidR="008B3174" w:rsidRPr="008B3174" w:rsidRDefault="008B3174" w:rsidP="008B3174">
            <w:pPr>
              <w:rPr>
                <w:rFonts w:ascii="Arial" w:hAnsi="Arial" w:cs="Arial"/>
                <w:sz w:val="16"/>
                <w:szCs w:val="16"/>
              </w:rPr>
            </w:pPr>
            <w:r>
              <w:rPr>
                <w:rFonts w:ascii="Arial" w:hAnsi="Arial" w:cs="Arial"/>
                <w:sz w:val="16"/>
                <w:szCs w:val="16"/>
              </w:rPr>
              <w:t xml:space="preserve">Potassium, </w:t>
            </w:r>
            <w:r w:rsidRPr="008B3174">
              <w:rPr>
                <w:rFonts w:ascii="Arial" w:hAnsi="Arial" w:cs="Arial"/>
                <w:sz w:val="16"/>
                <w:szCs w:val="16"/>
              </w:rPr>
              <w:t>Combination of penicillins, including beta-lactamase inhibitors</w:t>
            </w:r>
            <w:r>
              <w:rPr>
                <w:rFonts w:ascii="Arial" w:hAnsi="Arial" w:cs="Arial"/>
                <w:sz w:val="16"/>
                <w:szCs w:val="16"/>
              </w:rPr>
              <w:t xml:space="preserve">, </w:t>
            </w:r>
            <w:r w:rsidRPr="008B3174">
              <w:rPr>
                <w:rFonts w:ascii="Arial" w:hAnsi="Arial" w:cs="Arial"/>
                <w:sz w:val="16"/>
                <w:szCs w:val="16"/>
              </w:rPr>
              <w:t>Other antineoplastic agents</w:t>
            </w:r>
            <w:r>
              <w:rPr>
                <w:rFonts w:ascii="Arial" w:hAnsi="Arial" w:cs="Arial"/>
                <w:sz w:val="16"/>
                <w:szCs w:val="16"/>
              </w:rPr>
              <w:t xml:space="preserve">, </w:t>
            </w:r>
            <w:r w:rsidRPr="008B3174">
              <w:rPr>
                <w:rFonts w:ascii="Arial" w:hAnsi="Arial" w:cs="Arial"/>
                <w:sz w:val="16"/>
                <w:szCs w:val="16"/>
              </w:rPr>
              <w:t>Platelet aggregation inhibitors excl. heparin</w:t>
            </w:r>
            <w:r>
              <w:rPr>
                <w:rFonts w:ascii="Arial" w:hAnsi="Arial" w:cs="Arial"/>
                <w:sz w:val="16"/>
                <w:szCs w:val="16"/>
              </w:rPr>
              <w:t xml:space="preserve">, </w:t>
            </w:r>
            <w:r w:rsidRPr="008B3174">
              <w:rPr>
                <w:rFonts w:ascii="Arial" w:hAnsi="Arial" w:cs="Arial"/>
                <w:sz w:val="16"/>
                <w:szCs w:val="16"/>
              </w:rPr>
              <w:t>Beta-blocking agents, selective</w:t>
            </w:r>
            <w:r>
              <w:rPr>
                <w:rFonts w:ascii="Arial" w:hAnsi="Arial" w:cs="Arial"/>
                <w:sz w:val="16"/>
                <w:szCs w:val="16"/>
              </w:rPr>
              <w:t xml:space="preserve">, </w:t>
            </w:r>
            <w:r w:rsidRPr="008B3174">
              <w:rPr>
                <w:rFonts w:ascii="Arial" w:hAnsi="Arial" w:cs="Arial"/>
                <w:sz w:val="16"/>
                <w:szCs w:val="16"/>
              </w:rPr>
              <w:t>5-alpha-reductase inhibitors</w:t>
            </w:r>
            <w:r>
              <w:rPr>
                <w:rFonts w:ascii="Arial" w:hAnsi="Arial" w:cs="Arial"/>
                <w:sz w:val="16"/>
                <w:szCs w:val="16"/>
              </w:rPr>
              <w:t xml:space="preserve">, </w:t>
            </w:r>
            <w:r w:rsidRPr="008B3174">
              <w:rPr>
                <w:rFonts w:ascii="Arial" w:hAnsi="Arial" w:cs="Arial"/>
                <w:sz w:val="16"/>
                <w:szCs w:val="16"/>
              </w:rPr>
              <w:t>Anilides</w:t>
            </w:r>
            <w:r>
              <w:rPr>
                <w:rFonts w:ascii="Arial" w:hAnsi="Arial" w:cs="Arial"/>
                <w:sz w:val="16"/>
                <w:szCs w:val="16"/>
              </w:rPr>
              <w:t xml:space="preserve">, </w:t>
            </w:r>
            <w:r w:rsidRPr="008B3174">
              <w:rPr>
                <w:rFonts w:ascii="Arial" w:hAnsi="Arial" w:cs="Arial"/>
                <w:sz w:val="16"/>
                <w:szCs w:val="16"/>
              </w:rPr>
              <w:t>Alpha-adrenoreceptor antagonists</w:t>
            </w:r>
            <w:r>
              <w:rPr>
                <w:rFonts w:ascii="Arial" w:hAnsi="Arial" w:cs="Arial"/>
                <w:sz w:val="16"/>
                <w:szCs w:val="16"/>
              </w:rPr>
              <w:t xml:space="preserve">, </w:t>
            </w:r>
            <w:r w:rsidRPr="008B3174">
              <w:rPr>
                <w:rFonts w:ascii="Arial" w:hAnsi="Arial" w:cs="Arial"/>
                <w:sz w:val="16"/>
                <w:szCs w:val="16"/>
              </w:rPr>
              <w:t xml:space="preserve">Acetic </w:t>
            </w:r>
            <w:r w:rsidRPr="008B3174">
              <w:rPr>
                <w:rFonts w:ascii="Arial" w:hAnsi="Arial" w:cs="Arial"/>
                <w:sz w:val="16"/>
                <w:szCs w:val="16"/>
              </w:rPr>
              <w:lastRenderedPageBreak/>
              <w:t>acid derivatives and related substances</w:t>
            </w:r>
            <w:r>
              <w:rPr>
                <w:rFonts w:ascii="Arial" w:hAnsi="Arial" w:cs="Arial"/>
                <w:sz w:val="16"/>
                <w:szCs w:val="16"/>
              </w:rPr>
              <w:t xml:space="preserve">, </w:t>
            </w:r>
            <w:r w:rsidRPr="008B3174">
              <w:rPr>
                <w:rFonts w:ascii="Arial" w:hAnsi="Arial" w:cs="Arial"/>
                <w:sz w:val="16"/>
                <w:szCs w:val="16"/>
              </w:rPr>
              <w:t>Organic nitrates</w:t>
            </w:r>
            <w:r>
              <w:rPr>
                <w:rFonts w:ascii="Arial" w:hAnsi="Arial" w:cs="Arial"/>
                <w:sz w:val="16"/>
                <w:szCs w:val="16"/>
              </w:rPr>
              <w:t xml:space="preserve">, </w:t>
            </w:r>
            <w:r w:rsidRPr="008B3174">
              <w:rPr>
                <w:rFonts w:ascii="Arial" w:hAnsi="Arial" w:cs="Arial"/>
                <w:sz w:val="16"/>
                <w:szCs w:val="16"/>
              </w:rPr>
              <w:t>High-ceiling diuretics</w:t>
            </w:r>
            <w:r>
              <w:rPr>
                <w:rFonts w:ascii="Arial" w:hAnsi="Arial" w:cs="Arial"/>
                <w:sz w:val="16"/>
                <w:szCs w:val="16"/>
              </w:rPr>
              <w:t xml:space="preserve">, </w:t>
            </w:r>
            <w:r w:rsidRPr="008B3174">
              <w:rPr>
                <w:rFonts w:ascii="Arial" w:hAnsi="Arial" w:cs="Arial"/>
                <w:sz w:val="16"/>
                <w:szCs w:val="16"/>
              </w:rPr>
              <w:t>Osmotically acting laxatives</w:t>
            </w:r>
            <w:r>
              <w:rPr>
                <w:rFonts w:ascii="Arial" w:hAnsi="Arial" w:cs="Arial"/>
                <w:sz w:val="16"/>
                <w:szCs w:val="16"/>
              </w:rPr>
              <w:t xml:space="preserve">, </w:t>
            </w:r>
            <w:r w:rsidRPr="008B3174">
              <w:rPr>
                <w:rFonts w:ascii="Arial" w:hAnsi="Arial" w:cs="Arial"/>
                <w:sz w:val="16"/>
                <w:szCs w:val="16"/>
              </w:rPr>
              <w:t>HMG CoA reductase inhibitors</w:t>
            </w:r>
          </w:p>
          <w:p w14:paraId="28A7AE6C" w14:textId="77777777" w:rsidR="008B68A4" w:rsidRPr="00170824" w:rsidRDefault="008B68A4" w:rsidP="001A6451">
            <w:pPr>
              <w:rPr>
                <w:rFonts w:ascii="Arial" w:hAnsi="Arial" w:cs="Arial"/>
                <w:sz w:val="16"/>
                <w:szCs w:val="16"/>
              </w:rPr>
            </w:pPr>
          </w:p>
        </w:tc>
      </w:tr>
      <w:tr w:rsidR="0081769D" w:rsidRPr="00170824" w14:paraId="61C87C64" w14:textId="43DB3662" w:rsidTr="0081769D">
        <w:tc>
          <w:tcPr>
            <w:tcW w:w="363" w:type="pct"/>
          </w:tcPr>
          <w:p w14:paraId="3B51E225" w14:textId="47C61093" w:rsidR="008B68A4" w:rsidRDefault="008B68A4" w:rsidP="00DE6B1E">
            <w:pPr>
              <w:jc w:val="both"/>
              <w:rPr>
                <w:rFonts w:ascii="Arial" w:hAnsi="Arial" w:cs="Arial"/>
                <w:sz w:val="16"/>
                <w:szCs w:val="16"/>
              </w:rPr>
            </w:pPr>
            <w:r>
              <w:rPr>
                <w:rFonts w:ascii="Arial" w:hAnsi="Arial" w:cs="Arial"/>
                <w:sz w:val="16"/>
                <w:szCs w:val="16"/>
              </w:rPr>
              <w:t>23</w:t>
            </w:r>
          </w:p>
        </w:tc>
        <w:tc>
          <w:tcPr>
            <w:tcW w:w="829" w:type="pct"/>
          </w:tcPr>
          <w:p w14:paraId="4F5D777D" w14:textId="3CD482B2" w:rsidR="008B68A4" w:rsidRDefault="008B68A4" w:rsidP="00DE6B1E">
            <w:pPr>
              <w:jc w:val="both"/>
              <w:rPr>
                <w:rFonts w:ascii="Arial" w:hAnsi="Arial" w:cs="Arial"/>
                <w:sz w:val="16"/>
                <w:szCs w:val="16"/>
              </w:rPr>
            </w:pPr>
            <w:r>
              <w:rPr>
                <w:rFonts w:ascii="Arial" w:hAnsi="Arial" w:cs="Arial"/>
                <w:sz w:val="16"/>
                <w:szCs w:val="16"/>
              </w:rPr>
              <w:t xml:space="preserve">Urology </w:t>
            </w:r>
          </w:p>
        </w:tc>
        <w:tc>
          <w:tcPr>
            <w:tcW w:w="1851" w:type="pct"/>
          </w:tcPr>
          <w:p w14:paraId="4FBDCC47" w14:textId="48579CD2" w:rsidR="008B68A4" w:rsidRPr="009644DB" w:rsidRDefault="008B68A4" w:rsidP="00DE6B1E">
            <w:pPr>
              <w:rPr>
                <w:rFonts w:ascii="Arial" w:hAnsi="Arial" w:cs="Arial"/>
                <w:sz w:val="16"/>
                <w:szCs w:val="16"/>
              </w:rPr>
            </w:pPr>
            <w:r w:rsidRPr="00BD1455">
              <w:rPr>
                <w:rFonts w:ascii="Arial" w:hAnsi="Arial" w:cs="Arial"/>
                <w:sz w:val="16"/>
                <w:szCs w:val="16"/>
              </w:rPr>
              <w:t>67-year-old male with a history of hypertension, type 2 diabetes mellitus, ischemic heart disease, benign prostatic hyperplasia, and pyelonephritis. He was admitted for pyelonephritis with persistent purulent discharge from the left loin and underwent percutaneous drainage.</w:t>
            </w:r>
          </w:p>
        </w:tc>
        <w:tc>
          <w:tcPr>
            <w:tcW w:w="580" w:type="pct"/>
          </w:tcPr>
          <w:p w14:paraId="38ED9E3F" w14:textId="50BF8BEF" w:rsidR="008B68A4" w:rsidRPr="00170824" w:rsidRDefault="00A24B8B" w:rsidP="001A6451">
            <w:pPr>
              <w:rPr>
                <w:rFonts w:ascii="Arial" w:hAnsi="Arial" w:cs="Arial"/>
                <w:sz w:val="16"/>
                <w:szCs w:val="16"/>
              </w:rPr>
            </w:pPr>
            <w:r>
              <w:rPr>
                <w:rFonts w:ascii="Arial" w:hAnsi="Arial" w:cs="Arial"/>
                <w:sz w:val="16"/>
                <w:szCs w:val="16"/>
              </w:rPr>
              <w:t>12</w:t>
            </w:r>
          </w:p>
        </w:tc>
        <w:tc>
          <w:tcPr>
            <w:tcW w:w="1377" w:type="pct"/>
          </w:tcPr>
          <w:p w14:paraId="1461B603" w14:textId="7B271AE4" w:rsidR="00D2445C" w:rsidRPr="00D2445C" w:rsidRDefault="00D2445C" w:rsidP="00D2445C">
            <w:pPr>
              <w:rPr>
                <w:rFonts w:ascii="Arial" w:hAnsi="Arial" w:cs="Arial"/>
                <w:sz w:val="16"/>
                <w:szCs w:val="16"/>
              </w:rPr>
            </w:pPr>
            <w:r w:rsidRPr="00D2445C">
              <w:rPr>
                <w:rFonts w:ascii="Arial" w:hAnsi="Arial" w:cs="Arial"/>
                <w:sz w:val="16"/>
                <w:szCs w:val="16"/>
              </w:rPr>
              <w:t>Insulins and analogues</w:t>
            </w:r>
            <w:r>
              <w:rPr>
                <w:rFonts w:ascii="Arial" w:hAnsi="Arial" w:cs="Arial"/>
                <w:sz w:val="16"/>
                <w:szCs w:val="16"/>
              </w:rPr>
              <w:t xml:space="preserve">, </w:t>
            </w:r>
            <w:r w:rsidRPr="00D2445C">
              <w:rPr>
                <w:rFonts w:ascii="Arial" w:hAnsi="Arial" w:cs="Arial"/>
                <w:sz w:val="16"/>
                <w:szCs w:val="16"/>
              </w:rPr>
              <w:t>Platelet aggregation inhibitors excl. heparin</w:t>
            </w:r>
            <w:r>
              <w:rPr>
                <w:rFonts w:ascii="Arial" w:hAnsi="Arial" w:cs="Arial"/>
                <w:sz w:val="16"/>
                <w:szCs w:val="16"/>
              </w:rPr>
              <w:t xml:space="preserve">, </w:t>
            </w:r>
            <w:r w:rsidRPr="00D2445C">
              <w:rPr>
                <w:rFonts w:ascii="Arial" w:hAnsi="Arial" w:cs="Arial"/>
                <w:sz w:val="16"/>
                <w:szCs w:val="16"/>
              </w:rPr>
              <w:t>Beta-blocking agents, selective</w:t>
            </w:r>
            <w:r>
              <w:rPr>
                <w:rFonts w:ascii="Arial" w:hAnsi="Arial" w:cs="Arial"/>
                <w:sz w:val="16"/>
                <w:szCs w:val="16"/>
              </w:rPr>
              <w:t xml:space="preserve">, </w:t>
            </w:r>
            <w:r w:rsidRPr="00D2445C">
              <w:rPr>
                <w:rFonts w:ascii="Arial" w:hAnsi="Arial" w:cs="Arial"/>
                <w:sz w:val="16"/>
                <w:szCs w:val="16"/>
              </w:rPr>
              <w:t>Combination of penicillins, including beta-lactamase inhibitors</w:t>
            </w:r>
            <w:r>
              <w:rPr>
                <w:rFonts w:ascii="Arial" w:hAnsi="Arial" w:cs="Arial"/>
                <w:sz w:val="16"/>
                <w:szCs w:val="16"/>
              </w:rPr>
              <w:t>,</w:t>
            </w:r>
            <w:r w:rsidRPr="00D2445C">
              <w:rPr>
                <w:rFonts w:ascii="Arial" w:hAnsi="Arial" w:cs="Arial"/>
                <w:sz w:val="16"/>
                <w:szCs w:val="16"/>
              </w:rPr>
              <w:t xml:space="preserve"> Other antiepileptics</w:t>
            </w:r>
            <w:r>
              <w:rPr>
                <w:rFonts w:ascii="Arial" w:hAnsi="Arial" w:cs="Arial"/>
                <w:sz w:val="16"/>
                <w:szCs w:val="16"/>
              </w:rPr>
              <w:t xml:space="preserve">, </w:t>
            </w:r>
            <w:r w:rsidRPr="00D2445C">
              <w:rPr>
                <w:rFonts w:ascii="Arial" w:hAnsi="Arial" w:cs="Arial"/>
                <w:sz w:val="16"/>
                <w:szCs w:val="16"/>
              </w:rPr>
              <w:t>Osmotically acting laxatives</w:t>
            </w:r>
            <w:r>
              <w:rPr>
                <w:rFonts w:ascii="Arial" w:hAnsi="Arial" w:cs="Arial"/>
                <w:sz w:val="16"/>
                <w:szCs w:val="16"/>
              </w:rPr>
              <w:t xml:space="preserve">, </w:t>
            </w:r>
            <w:r w:rsidRPr="00D2445C">
              <w:rPr>
                <w:rFonts w:ascii="Arial" w:hAnsi="Arial" w:cs="Arial"/>
                <w:sz w:val="16"/>
                <w:szCs w:val="16"/>
              </w:rPr>
              <w:t>Anilides</w:t>
            </w:r>
            <w:r>
              <w:rPr>
                <w:rFonts w:ascii="Arial" w:hAnsi="Arial" w:cs="Arial"/>
                <w:sz w:val="16"/>
                <w:szCs w:val="16"/>
              </w:rPr>
              <w:t xml:space="preserve">, </w:t>
            </w:r>
            <w:r w:rsidRPr="00D2445C">
              <w:rPr>
                <w:rFonts w:ascii="Arial" w:hAnsi="Arial" w:cs="Arial"/>
                <w:sz w:val="16"/>
                <w:szCs w:val="16"/>
              </w:rPr>
              <w:t>Other opioids</w:t>
            </w:r>
            <w:r>
              <w:rPr>
                <w:rFonts w:ascii="Arial" w:hAnsi="Arial" w:cs="Arial"/>
                <w:sz w:val="16"/>
                <w:szCs w:val="16"/>
              </w:rPr>
              <w:t xml:space="preserve">, </w:t>
            </w:r>
            <w:r w:rsidRPr="00D2445C">
              <w:rPr>
                <w:rFonts w:ascii="Arial" w:hAnsi="Arial" w:cs="Arial"/>
                <w:sz w:val="16"/>
                <w:szCs w:val="16"/>
              </w:rPr>
              <w:t>Alpha-adrenoreceptor antagonists</w:t>
            </w:r>
            <w:r>
              <w:rPr>
                <w:rFonts w:ascii="Arial" w:hAnsi="Arial" w:cs="Arial"/>
                <w:sz w:val="16"/>
                <w:szCs w:val="16"/>
              </w:rPr>
              <w:t xml:space="preserve">, </w:t>
            </w:r>
          </w:p>
          <w:p w14:paraId="4BC21C93" w14:textId="77777777" w:rsidR="008B68A4" w:rsidRPr="00170824" w:rsidRDefault="008B68A4" w:rsidP="001A6451">
            <w:pPr>
              <w:rPr>
                <w:rFonts w:ascii="Arial" w:hAnsi="Arial" w:cs="Arial"/>
                <w:sz w:val="16"/>
                <w:szCs w:val="16"/>
              </w:rPr>
            </w:pPr>
          </w:p>
        </w:tc>
      </w:tr>
    </w:tbl>
    <w:p w14:paraId="756F1FBF" w14:textId="77777777" w:rsidR="00E4007F" w:rsidRDefault="00E4007F"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70F86DD2" w14:textId="030B34CC" w:rsidR="001A6451" w:rsidRDefault="001A6451" w:rsidP="004C6411">
      <w:pPr>
        <w:pBdr>
          <w:top w:val="nil"/>
          <w:left w:val="nil"/>
          <w:bottom w:val="nil"/>
          <w:right w:val="nil"/>
          <w:between w:val="nil"/>
        </w:pBdr>
        <w:spacing w:after="300" w:line="360" w:lineRule="auto"/>
        <w:jc w:val="both"/>
        <w:rPr>
          <w:rFonts w:ascii="Arial" w:eastAsia="Arial" w:hAnsi="Arial" w:cs="Arial"/>
          <w:b/>
          <w:bCs/>
          <w:color w:val="333333"/>
          <w:sz w:val="16"/>
          <w:szCs w:val="16"/>
        </w:rPr>
      </w:pPr>
      <w:r w:rsidRPr="00E4007F">
        <w:rPr>
          <w:rFonts w:ascii="Arial" w:eastAsia="Arial" w:hAnsi="Arial" w:cs="Arial"/>
          <w:b/>
          <w:bCs/>
          <w:color w:val="333333"/>
          <w:sz w:val="16"/>
          <w:szCs w:val="16"/>
        </w:rPr>
        <w:t>Supplement 2: DRPs and Risk / Potential for Harm Categories</w:t>
      </w:r>
    </w:p>
    <w:tbl>
      <w:tblPr>
        <w:tblStyle w:val="TableGrid"/>
        <w:tblW w:w="9782" w:type="dxa"/>
        <w:tblInd w:w="-289" w:type="dxa"/>
        <w:tblLook w:val="04A0" w:firstRow="1" w:lastRow="0" w:firstColumn="1" w:lastColumn="0" w:noHBand="0" w:noVBand="1"/>
      </w:tblPr>
      <w:tblGrid>
        <w:gridCol w:w="851"/>
        <w:gridCol w:w="6379"/>
        <w:gridCol w:w="2552"/>
      </w:tblGrid>
      <w:tr w:rsidR="00AE3963" w:rsidRPr="00AE3963" w14:paraId="5339D73D" w14:textId="77777777" w:rsidTr="00AE3963">
        <w:trPr>
          <w:trHeight w:val="402"/>
        </w:trPr>
        <w:tc>
          <w:tcPr>
            <w:tcW w:w="851" w:type="dxa"/>
            <w:hideMark/>
          </w:tcPr>
          <w:p w14:paraId="500CE8D2"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Case No</w:t>
            </w:r>
          </w:p>
        </w:tc>
        <w:tc>
          <w:tcPr>
            <w:tcW w:w="6379" w:type="dxa"/>
            <w:noWrap/>
            <w:hideMark/>
          </w:tcPr>
          <w:p w14:paraId="06ECFF3C"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DRP(s) Category and Description</w:t>
            </w:r>
          </w:p>
        </w:tc>
        <w:tc>
          <w:tcPr>
            <w:tcW w:w="2552" w:type="dxa"/>
            <w:noWrap/>
            <w:hideMark/>
          </w:tcPr>
          <w:p w14:paraId="4D0851E0"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 xml:space="preserve">Severity / Potential for Harm  </w:t>
            </w:r>
          </w:p>
        </w:tc>
      </w:tr>
      <w:tr w:rsidR="00AE3963" w:rsidRPr="00AE3963" w14:paraId="23E21E24" w14:textId="77777777" w:rsidTr="00AE3963">
        <w:trPr>
          <w:trHeight w:val="600"/>
        </w:trPr>
        <w:tc>
          <w:tcPr>
            <w:tcW w:w="851" w:type="dxa"/>
            <w:vMerge w:val="restart"/>
            <w:hideMark/>
          </w:tcPr>
          <w:p w14:paraId="6D03295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w:t>
            </w:r>
          </w:p>
        </w:tc>
        <w:tc>
          <w:tcPr>
            <w:tcW w:w="6379" w:type="dxa"/>
            <w:noWrap/>
            <w:hideMark/>
          </w:tcPr>
          <w:p w14:paraId="45AE5A0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Drug allergy: Background of NSAIDS allergy (rash) but prescribed with aspirin without any challenge or test dose </w:t>
            </w:r>
          </w:p>
        </w:tc>
        <w:tc>
          <w:tcPr>
            <w:tcW w:w="2552" w:type="dxa"/>
            <w:hideMark/>
          </w:tcPr>
          <w:p w14:paraId="4CC104CE"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1BA5A951" w14:textId="77777777" w:rsidTr="00AE3963">
        <w:trPr>
          <w:trHeight w:val="600"/>
        </w:trPr>
        <w:tc>
          <w:tcPr>
            <w:tcW w:w="851" w:type="dxa"/>
            <w:vMerge/>
            <w:hideMark/>
          </w:tcPr>
          <w:p w14:paraId="34AB139C"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2B417BA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Inappropriate dosage regimen: Enoxaparin dosed at 60mg BD in obese patient of 90kg, no bleeding. </w:t>
            </w:r>
          </w:p>
        </w:tc>
        <w:tc>
          <w:tcPr>
            <w:tcW w:w="2552" w:type="dxa"/>
            <w:hideMark/>
          </w:tcPr>
          <w:p w14:paraId="0A312D5B"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419E619A" w14:textId="77777777" w:rsidTr="00AE3963">
        <w:trPr>
          <w:trHeight w:val="600"/>
        </w:trPr>
        <w:tc>
          <w:tcPr>
            <w:tcW w:w="851" w:type="dxa"/>
            <w:vMerge/>
            <w:hideMark/>
          </w:tcPr>
          <w:p w14:paraId="3D5D572D"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9B9B07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Omission of therapy: Omission of statin therapy in patient presenting with myocardial infarction </w:t>
            </w:r>
          </w:p>
        </w:tc>
        <w:tc>
          <w:tcPr>
            <w:tcW w:w="2552" w:type="dxa"/>
            <w:hideMark/>
          </w:tcPr>
          <w:p w14:paraId="43B2E8EB"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5A2FE368" w14:textId="77777777" w:rsidTr="00AE3963">
        <w:trPr>
          <w:trHeight w:val="600"/>
        </w:trPr>
        <w:tc>
          <w:tcPr>
            <w:tcW w:w="851" w:type="dxa"/>
            <w:vMerge/>
            <w:hideMark/>
          </w:tcPr>
          <w:p w14:paraId="74132FCD"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4DC407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(4)    Adverse drug reaction: Borderline blood pressure but prescribed with perindopril and bisoprolol</w:t>
            </w:r>
          </w:p>
        </w:tc>
        <w:tc>
          <w:tcPr>
            <w:tcW w:w="2552" w:type="dxa"/>
            <w:hideMark/>
          </w:tcPr>
          <w:p w14:paraId="20A0F6FC"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07212B7E" w14:textId="77777777" w:rsidTr="00AE3963">
        <w:trPr>
          <w:trHeight w:val="600"/>
        </w:trPr>
        <w:tc>
          <w:tcPr>
            <w:tcW w:w="851" w:type="dxa"/>
            <w:vMerge w:val="restart"/>
            <w:hideMark/>
          </w:tcPr>
          <w:p w14:paraId="7A34000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2</w:t>
            </w:r>
          </w:p>
        </w:tc>
        <w:tc>
          <w:tcPr>
            <w:tcW w:w="6379" w:type="dxa"/>
            <w:noWrap/>
            <w:hideMark/>
          </w:tcPr>
          <w:p w14:paraId="4CB73BB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(1)    Drug Drug Interaction: Significant Interaction between atorvastatin and clarithromycin</w:t>
            </w:r>
          </w:p>
        </w:tc>
        <w:tc>
          <w:tcPr>
            <w:tcW w:w="2552" w:type="dxa"/>
            <w:hideMark/>
          </w:tcPr>
          <w:p w14:paraId="2C7B095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3898CA67" w14:textId="77777777" w:rsidTr="00AE3963">
        <w:trPr>
          <w:trHeight w:val="600"/>
        </w:trPr>
        <w:tc>
          <w:tcPr>
            <w:tcW w:w="851" w:type="dxa"/>
            <w:vMerge/>
            <w:hideMark/>
          </w:tcPr>
          <w:p w14:paraId="1E8E23B1"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905694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Inappropriate dosage regimen: Colchicine dosed in MG instead of MCG </w:t>
            </w:r>
          </w:p>
        </w:tc>
        <w:tc>
          <w:tcPr>
            <w:tcW w:w="2552" w:type="dxa"/>
            <w:hideMark/>
          </w:tcPr>
          <w:p w14:paraId="3FA5040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429452DC" w14:textId="77777777" w:rsidTr="00AE3963">
        <w:trPr>
          <w:trHeight w:val="600"/>
        </w:trPr>
        <w:tc>
          <w:tcPr>
            <w:tcW w:w="851" w:type="dxa"/>
            <w:vMerge/>
            <w:hideMark/>
          </w:tcPr>
          <w:p w14:paraId="589991EE"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131EEA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(3)    Adverse drug reaction: Bradycardia but prescribed with both bisoprolol and ticagrelor</w:t>
            </w:r>
          </w:p>
        </w:tc>
        <w:tc>
          <w:tcPr>
            <w:tcW w:w="2552" w:type="dxa"/>
            <w:hideMark/>
          </w:tcPr>
          <w:p w14:paraId="039D3F5C"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55F82B36" w14:textId="77777777" w:rsidTr="00AE3963">
        <w:trPr>
          <w:trHeight w:val="600"/>
        </w:trPr>
        <w:tc>
          <w:tcPr>
            <w:tcW w:w="851" w:type="dxa"/>
            <w:vMerge w:val="restart"/>
            <w:hideMark/>
          </w:tcPr>
          <w:p w14:paraId="4F3BA2BB"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3</w:t>
            </w:r>
          </w:p>
        </w:tc>
        <w:tc>
          <w:tcPr>
            <w:tcW w:w="6379" w:type="dxa"/>
            <w:noWrap/>
            <w:hideMark/>
          </w:tcPr>
          <w:p w14:paraId="22B247D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Wrong indication: Wrong drug of clarithromycin instead of clindamycin for cellulitis in patient with penicillin allergy </w:t>
            </w:r>
          </w:p>
        </w:tc>
        <w:tc>
          <w:tcPr>
            <w:tcW w:w="2552" w:type="dxa"/>
            <w:hideMark/>
          </w:tcPr>
          <w:p w14:paraId="2C79C14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382F731B" w14:textId="77777777" w:rsidTr="00AE3963">
        <w:trPr>
          <w:trHeight w:val="600"/>
        </w:trPr>
        <w:tc>
          <w:tcPr>
            <w:tcW w:w="851" w:type="dxa"/>
            <w:vMerge/>
            <w:hideMark/>
          </w:tcPr>
          <w:p w14:paraId="2C9EAAD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2016F34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Inappropriate dosage regimen: Wrong dose of enoxaparin (dosed 1mg/kg BD) in patient with renal failure  </w:t>
            </w:r>
          </w:p>
        </w:tc>
        <w:tc>
          <w:tcPr>
            <w:tcW w:w="2552" w:type="dxa"/>
            <w:hideMark/>
          </w:tcPr>
          <w:p w14:paraId="2B7EBD43"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05507D27" w14:textId="77777777" w:rsidTr="00AE3963">
        <w:trPr>
          <w:trHeight w:val="600"/>
        </w:trPr>
        <w:tc>
          <w:tcPr>
            <w:tcW w:w="851" w:type="dxa"/>
            <w:vMerge/>
            <w:hideMark/>
          </w:tcPr>
          <w:p w14:paraId="0F5F9C64"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1E93E6F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Drug drug interaction: Significant drug interaction (contraindicated) between sildenafil and isosorbide mononitrate </w:t>
            </w:r>
          </w:p>
        </w:tc>
        <w:tc>
          <w:tcPr>
            <w:tcW w:w="2552" w:type="dxa"/>
            <w:hideMark/>
          </w:tcPr>
          <w:p w14:paraId="2B0F4ED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76A9DE90" w14:textId="77777777" w:rsidTr="00AE3963">
        <w:trPr>
          <w:trHeight w:val="408"/>
        </w:trPr>
        <w:tc>
          <w:tcPr>
            <w:tcW w:w="851" w:type="dxa"/>
            <w:hideMark/>
          </w:tcPr>
          <w:p w14:paraId="7BDDFBFC"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4</w:t>
            </w:r>
          </w:p>
        </w:tc>
        <w:tc>
          <w:tcPr>
            <w:tcW w:w="6379" w:type="dxa"/>
            <w:noWrap/>
            <w:hideMark/>
          </w:tcPr>
          <w:p w14:paraId="6BC6FCB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Control Case </w:t>
            </w:r>
          </w:p>
        </w:tc>
        <w:tc>
          <w:tcPr>
            <w:tcW w:w="2552" w:type="dxa"/>
            <w:hideMark/>
          </w:tcPr>
          <w:p w14:paraId="4BD99EB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NA</w:t>
            </w:r>
          </w:p>
        </w:tc>
      </w:tr>
      <w:tr w:rsidR="00AE3963" w:rsidRPr="00AE3963" w14:paraId="570271B9" w14:textId="77777777" w:rsidTr="00AE3963">
        <w:trPr>
          <w:trHeight w:val="600"/>
        </w:trPr>
        <w:tc>
          <w:tcPr>
            <w:tcW w:w="851" w:type="dxa"/>
            <w:vMerge w:val="restart"/>
            <w:hideMark/>
          </w:tcPr>
          <w:p w14:paraId="6DCC3A96"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5</w:t>
            </w:r>
          </w:p>
        </w:tc>
        <w:tc>
          <w:tcPr>
            <w:tcW w:w="6379" w:type="dxa"/>
            <w:noWrap/>
            <w:hideMark/>
          </w:tcPr>
          <w:p w14:paraId="7D245C7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Adverse drug reaction: Patient presented with hypokalemia, on intensive furosemide therapy without electrolyte replacement </w:t>
            </w:r>
          </w:p>
        </w:tc>
        <w:tc>
          <w:tcPr>
            <w:tcW w:w="2552" w:type="dxa"/>
            <w:hideMark/>
          </w:tcPr>
          <w:p w14:paraId="76FCB04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4DD077C4" w14:textId="77777777" w:rsidTr="00AE3963">
        <w:trPr>
          <w:trHeight w:val="600"/>
        </w:trPr>
        <w:tc>
          <w:tcPr>
            <w:tcW w:w="851" w:type="dxa"/>
            <w:vMerge/>
            <w:hideMark/>
          </w:tcPr>
          <w:p w14:paraId="13D1A46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497C0FF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Adverse drug reaction: Patient presenting with acute pulmonary edema but continued on beta-blocker therapy </w:t>
            </w:r>
          </w:p>
        </w:tc>
        <w:tc>
          <w:tcPr>
            <w:tcW w:w="2552" w:type="dxa"/>
            <w:hideMark/>
          </w:tcPr>
          <w:p w14:paraId="377CE7AC"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02E5AE44" w14:textId="77777777" w:rsidTr="00AE3963">
        <w:trPr>
          <w:trHeight w:val="860"/>
        </w:trPr>
        <w:tc>
          <w:tcPr>
            <w:tcW w:w="851" w:type="dxa"/>
            <w:vMerge/>
            <w:hideMark/>
          </w:tcPr>
          <w:p w14:paraId="518F8294"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24B4074D"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No indication for medication: Patient on triple antithrombotic therapy with aspirin / clopidogrel / enoxaparin post myocardial infarction, also continued on dipyridamole (chronic medication for previous history of CVA) </w:t>
            </w:r>
          </w:p>
        </w:tc>
        <w:tc>
          <w:tcPr>
            <w:tcW w:w="2552" w:type="dxa"/>
            <w:hideMark/>
          </w:tcPr>
          <w:p w14:paraId="2988DF2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10CB76B7" w14:textId="77777777" w:rsidTr="00AE3963">
        <w:trPr>
          <w:trHeight w:val="600"/>
        </w:trPr>
        <w:tc>
          <w:tcPr>
            <w:tcW w:w="851" w:type="dxa"/>
            <w:vMerge w:val="restart"/>
            <w:hideMark/>
          </w:tcPr>
          <w:p w14:paraId="405B2B0A"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6</w:t>
            </w:r>
          </w:p>
        </w:tc>
        <w:tc>
          <w:tcPr>
            <w:tcW w:w="6379" w:type="dxa"/>
            <w:noWrap/>
            <w:hideMark/>
          </w:tcPr>
          <w:p w14:paraId="79E5396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Duplication of therapy: Duplication between Simvastatin and Atorvastatin. Both belong to the same category of HMG-CoA reductase inhibitor </w:t>
            </w:r>
          </w:p>
        </w:tc>
        <w:tc>
          <w:tcPr>
            <w:tcW w:w="2552" w:type="dxa"/>
            <w:hideMark/>
          </w:tcPr>
          <w:p w14:paraId="69D7A46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3A9A8393" w14:textId="77777777" w:rsidTr="00AE3963">
        <w:trPr>
          <w:trHeight w:val="600"/>
        </w:trPr>
        <w:tc>
          <w:tcPr>
            <w:tcW w:w="851" w:type="dxa"/>
            <w:vMerge/>
            <w:hideMark/>
          </w:tcPr>
          <w:p w14:paraId="6895F5C9"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7EE6BD2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Inappropriate dosing frequency for atorvastatin. It is usually given once daily, but does not exceed max daily dose </w:t>
            </w:r>
          </w:p>
        </w:tc>
        <w:tc>
          <w:tcPr>
            <w:tcW w:w="2552" w:type="dxa"/>
            <w:hideMark/>
          </w:tcPr>
          <w:p w14:paraId="74F3734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46DFB7B5" w14:textId="77777777" w:rsidTr="00AE3963">
        <w:trPr>
          <w:trHeight w:val="600"/>
        </w:trPr>
        <w:tc>
          <w:tcPr>
            <w:tcW w:w="851" w:type="dxa"/>
            <w:vMerge/>
            <w:hideMark/>
          </w:tcPr>
          <w:p w14:paraId="54B65FF7"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B02B6F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(3)  Adverse Drug Reaction:  Patient has allergy to amoxicillin (rash) but was prescribed with Co-amoxiclav which contains amoxicillin</w:t>
            </w:r>
          </w:p>
        </w:tc>
        <w:tc>
          <w:tcPr>
            <w:tcW w:w="2552" w:type="dxa"/>
            <w:hideMark/>
          </w:tcPr>
          <w:p w14:paraId="6232833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6B1213FA" w14:textId="77777777" w:rsidTr="00AE3963">
        <w:trPr>
          <w:trHeight w:val="617"/>
        </w:trPr>
        <w:tc>
          <w:tcPr>
            <w:tcW w:w="851" w:type="dxa"/>
            <w:vMerge w:val="restart"/>
            <w:hideMark/>
          </w:tcPr>
          <w:p w14:paraId="0F976A7B"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7</w:t>
            </w:r>
          </w:p>
        </w:tc>
        <w:tc>
          <w:tcPr>
            <w:tcW w:w="6379" w:type="dxa"/>
            <w:noWrap/>
            <w:hideMark/>
          </w:tcPr>
          <w:p w14:paraId="331978FB"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(4)    Adverse Drug Reaction: Acute kidney injury with hyperkalemia but continued on enalapril </w:t>
            </w:r>
          </w:p>
        </w:tc>
        <w:tc>
          <w:tcPr>
            <w:tcW w:w="2552" w:type="dxa"/>
            <w:hideMark/>
          </w:tcPr>
          <w:p w14:paraId="7342F73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1F37FEFF" w14:textId="77777777" w:rsidTr="00AE3963">
        <w:trPr>
          <w:trHeight w:val="600"/>
        </w:trPr>
        <w:tc>
          <w:tcPr>
            <w:tcW w:w="851" w:type="dxa"/>
            <w:vMerge/>
            <w:hideMark/>
          </w:tcPr>
          <w:p w14:paraId="2F953D5B"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D16552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(5)    Adverse drug reaction: Acute kidney injury but prescribed with NSAID</w:t>
            </w:r>
          </w:p>
        </w:tc>
        <w:tc>
          <w:tcPr>
            <w:tcW w:w="2552" w:type="dxa"/>
            <w:hideMark/>
          </w:tcPr>
          <w:p w14:paraId="0CCC933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4D0DB71B" w14:textId="77777777" w:rsidTr="00AE3963">
        <w:trPr>
          <w:trHeight w:val="600"/>
        </w:trPr>
        <w:tc>
          <w:tcPr>
            <w:tcW w:w="851" w:type="dxa"/>
            <w:vMerge/>
            <w:hideMark/>
          </w:tcPr>
          <w:p w14:paraId="423E2C97"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79E34BC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(6)    Adverse drug reaction: Presented with hypoglycemia but continued on glipizide </w:t>
            </w:r>
          </w:p>
        </w:tc>
        <w:tc>
          <w:tcPr>
            <w:tcW w:w="2552" w:type="dxa"/>
            <w:hideMark/>
          </w:tcPr>
          <w:p w14:paraId="1FDF1AA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4217C366" w14:textId="77777777" w:rsidTr="00AE3963">
        <w:trPr>
          <w:trHeight w:val="600"/>
        </w:trPr>
        <w:tc>
          <w:tcPr>
            <w:tcW w:w="851" w:type="dxa"/>
            <w:vMerge w:val="restart"/>
            <w:hideMark/>
          </w:tcPr>
          <w:p w14:paraId="2236631F"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8</w:t>
            </w:r>
          </w:p>
        </w:tc>
        <w:tc>
          <w:tcPr>
            <w:tcW w:w="6379" w:type="dxa"/>
            <w:noWrap/>
            <w:hideMark/>
          </w:tcPr>
          <w:p w14:paraId="68CEA39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Inappropriate dosage regimen: Wrong weight-based dose of calcitonin prescribed for patient with hypercalcemia of malignancy </w:t>
            </w:r>
          </w:p>
        </w:tc>
        <w:tc>
          <w:tcPr>
            <w:tcW w:w="2552" w:type="dxa"/>
            <w:hideMark/>
          </w:tcPr>
          <w:p w14:paraId="5A67258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6505716B" w14:textId="77777777" w:rsidTr="00AE3963">
        <w:trPr>
          <w:trHeight w:val="600"/>
        </w:trPr>
        <w:tc>
          <w:tcPr>
            <w:tcW w:w="851" w:type="dxa"/>
            <w:vMerge/>
            <w:hideMark/>
          </w:tcPr>
          <w:p w14:paraId="24AFF699"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063E9F7D"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(2)    Adverse drug reaction: Colecalciferol not held off despite hypercalcemia</w:t>
            </w:r>
          </w:p>
        </w:tc>
        <w:tc>
          <w:tcPr>
            <w:tcW w:w="2552" w:type="dxa"/>
            <w:hideMark/>
          </w:tcPr>
          <w:p w14:paraId="2B793C2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103B2C94" w14:textId="77777777" w:rsidTr="00AE3963">
        <w:trPr>
          <w:trHeight w:val="600"/>
        </w:trPr>
        <w:tc>
          <w:tcPr>
            <w:tcW w:w="851" w:type="dxa"/>
            <w:vMerge/>
            <w:hideMark/>
          </w:tcPr>
          <w:p w14:paraId="1CDCFA21"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34B9F93"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No indication: Wrong drug of cinnarizine prescribed instead of cinacalcet for patient with b/g secondary hyperparathyroidism </w:t>
            </w:r>
          </w:p>
        </w:tc>
        <w:tc>
          <w:tcPr>
            <w:tcW w:w="2552" w:type="dxa"/>
            <w:hideMark/>
          </w:tcPr>
          <w:p w14:paraId="6735A65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07FD76A1" w14:textId="77777777" w:rsidTr="00AE3963">
        <w:trPr>
          <w:trHeight w:val="600"/>
        </w:trPr>
        <w:tc>
          <w:tcPr>
            <w:tcW w:w="851" w:type="dxa"/>
            <w:vMerge w:val="restart"/>
            <w:hideMark/>
          </w:tcPr>
          <w:p w14:paraId="4929DC7E"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9</w:t>
            </w:r>
          </w:p>
        </w:tc>
        <w:tc>
          <w:tcPr>
            <w:tcW w:w="6379" w:type="dxa"/>
            <w:noWrap/>
            <w:hideMark/>
          </w:tcPr>
          <w:p w14:paraId="288BE5A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Duplication of therapy: Patient with poorly controlled diabetes on both ultra-short-acting insulin Aspart and short-acting insulin Actrapid. </w:t>
            </w:r>
          </w:p>
        </w:tc>
        <w:tc>
          <w:tcPr>
            <w:tcW w:w="2552" w:type="dxa"/>
            <w:hideMark/>
          </w:tcPr>
          <w:p w14:paraId="19F5DBC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1A802F33" w14:textId="77777777" w:rsidTr="00AE3963">
        <w:trPr>
          <w:trHeight w:val="600"/>
        </w:trPr>
        <w:tc>
          <w:tcPr>
            <w:tcW w:w="851" w:type="dxa"/>
            <w:vMerge/>
            <w:hideMark/>
          </w:tcPr>
          <w:p w14:paraId="21BCB257"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408B44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Omission of therapy: Omisson of basal insulin such as insulatard in patient with poorly controlled diabetes </w:t>
            </w:r>
          </w:p>
        </w:tc>
        <w:tc>
          <w:tcPr>
            <w:tcW w:w="2552" w:type="dxa"/>
            <w:hideMark/>
          </w:tcPr>
          <w:p w14:paraId="3CF83E7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0216C088" w14:textId="77777777" w:rsidTr="00AE3963">
        <w:trPr>
          <w:trHeight w:val="540"/>
        </w:trPr>
        <w:tc>
          <w:tcPr>
            <w:tcW w:w="851" w:type="dxa"/>
            <w:vMerge/>
            <w:hideMark/>
          </w:tcPr>
          <w:p w14:paraId="429F6934"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B24604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(3)    Omission of therapy: Antibiotics not ordered for patient with suspected sepsis</w:t>
            </w:r>
          </w:p>
        </w:tc>
        <w:tc>
          <w:tcPr>
            <w:tcW w:w="2552" w:type="dxa"/>
            <w:hideMark/>
          </w:tcPr>
          <w:p w14:paraId="1D8E95D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4D33BD58" w14:textId="77777777" w:rsidTr="00AE3963">
        <w:trPr>
          <w:trHeight w:val="600"/>
        </w:trPr>
        <w:tc>
          <w:tcPr>
            <w:tcW w:w="851" w:type="dxa"/>
            <w:vMerge w:val="restart"/>
            <w:hideMark/>
          </w:tcPr>
          <w:p w14:paraId="3DE4E511"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10</w:t>
            </w:r>
          </w:p>
        </w:tc>
        <w:tc>
          <w:tcPr>
            <w:tcW w:w="6379" w:type="dxa"/>
            <w:noWrap/>
            <w:hideMark/>
          </w:tcPr>
          <w:p w14:paraId="29B1FBB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(1)    Adverse drug reaction: Laboratory results demonstrating non-anion gap metabolic acidosis with respiratory compensation, continued on acetazolamide</w:t>
            </w:r>
          </w:p>
        </w:tc>
        <w:tc>
          <w:tcPr>
            <w:tcW w:w="2552" w:type="dxa"/>
            <w:hideMark/>
          </w:tcPr>
          <w:p w14:paraId="2C12181C"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2BB75D1C" w14:textId="77777777" w:rsidTr="00AE3963">
        <w:trPr>
          <w:trHeight w:val="600"/>
        </w:trPr>
        <w:tc>
          <w:tcPr>
            <w:tcW w:w="851" w:type="dxa"/>
            <w:vMerge/>
            <w:hideMark/>
          </w:tcPr>
          <w:p w14:paraId="54F3A44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643859D"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(2)    Adverse drug reaction: Hydroxyzine (first generation antihistamine with significant anticholinergic effects) contraindicated in acute-angled glaucoma</w:t>
            </w:r>
          </w:p>
        </w:tc>
        <w:tc>
          <w:tcPr>
            <w:tcW w:w="2552" w:type="dxa"/>
            <w:hideMark/>
          </w:tcPr>
          <w:p w14:paraId="7769AA4E"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167C6EE4" w14:textId="77777777" w:rsidTr="00AE3963">
        <w:trPr>
          <w:trHeight w:val="600"/>
        </w:trPr>
        <w:tc>
          <w:tcPr>
            <w:tcW w:w="851" w:type="dxa"/>
            <w:vMerge/>
            <w:hideMark/>
          </w:tcPr>
          <w:p w14:paraId="347BCEDE"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2101183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Adverse drug reaction: Patient with frequent urinary tract infection but continued on dapaglifozin, an SGLT-2 inhibitor </w:t>
            </w:r>
          </w:p>
        </w:tc>
        <w:tc>
          <w:tcPr>
            <w:tcW w:w="2552" w:type="dxa"/>
            <w:hideMark/>
          </w:tcPr>
          <w:p w14:paraId="420A0C0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6D08A028" w14:textId="77777777" w:rsidTr="00AE3963">
        <w:trPr>
          <w:trHeight w:val="600"/>
        </w:trPr>
        <w:tc>
          <w:tcPr>
            <w:tcW w:w="851" w:type="dxa"/>
            <w:vMerge w:val="restart"/>
            <w:hideMark/>
          </w:tcPr>
          <w:p w14:paraId="3EB6EE74"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11</w:t>
            </w:r>
          </w:p>
        </w:tc>
        <w:tc>
          <w:tcPr>
            <w:tcW w:w="6379" w:type="dxa"/>
            <w:noWrap/>
            <w:hideMark/>
          </w:tcPr>
          <w:p w14:paraId="504F2FF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Duplication of therapy: Patient prescribed with PO prednisolone and IV Methylprednisolone (high-intensity) concurrently </w:t>
            </w:r>
          </w:p>
        </w:tc>
        <w:tc>
          <w:tcPr>
            <w:tcW w:w="2552" w:type="dxa"/>
            <w:hideMark/>
          </w:tcPr>
          <w:p w14:paraId="08EFA7E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6784CAC5" w14:textId="77777777" w:rsidTr="00AE3963">
        <w:trPr>
          <w:trHeight w:val="600"/>
        </w:trPr>
        <w:tc>
          <w:tcPr>
            <w:tcW w:w="851" w:type="dxa"/>
            <w:vMerge/>
            <w:hideMark/>
          </w:tcPr>
          <w:p w14:paraId="7EF4FF8F"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3D547E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(2)    Inappropriate dosage regimen: Levothyroxine prescribed in MG instead of MCG</w:t>
            </w:r>
          </w:p>
        </w:tc>
        <w:tc>
          <w:tcPr>
            <w:tcW w:w="2552" w:type="dxa"/>
            <w:hideMark/>
          </w:tcPr>
          <w:p w14:paraId="0834AAB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7DA8AD4F" w14:textId="77777777" w:rsidTr="00AE3963">
        <w:trPr>
          <w:trHeight w:val="600"/>
        </w:trPr>
        <w:tc>
          <w:tcPr>
            <w:tcW w:w="851" w:type="dxa"/>
            <w:vMerge w:val="restart"/>
            <w:hideMark/>
          </w:tcPr>
          <w:p w14:paraId="6C63E78B"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12</w:t>
            </w:r>
          </w:p>
        </w:tc>
        <w:tc>
          <w:tcPr>
            <w:tcW w:w="6379" w:type="dxa"/>
            <w:noWrap/>
            <w:hideMark/>
          </w:tcPr>
          <w:p w14:paraId="2C89B9F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Drug drug interaction: Significant interaction between tramadol and linezolid leading to increased risk for serotonin syndrome </w:t>
            </w:r>
          </w:p>
        </w:tc>
        <w:tc>
          <w:tcPr>
            <w:tcW w:w="2552" w:type="dxa"/>
            <w:hideMark/>
          </w:tcPr>
          <w:p w14:paraId="3AAF99B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7236BF5D" w14:textId="77777777" w:rsidTr="00AE3963">
        <w:trPr>
          <w:trHeight w:val="600"/>
        </w:trPr>
        <w:tc>
          <w:tcPr>
            <w:tcW w:w="851" w:type="dxa"/>
            <w:vMerge/>
            <w:hideMark/>
          </w:tcPr>
          <w:p w14:paraId="4B0DB9DE"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95F37B3"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Duplication of therapy: Patient prescribed with IV Tienam and PO ciprofloxacin for gram-negative coverage of urinary tract infection </w:t>
            </w:r>
          </w:p>
        </w:tc>
        <w:tc>
          <w:tcPr>
            <w:tcW w:w="2552" w:type="dxa"/>
            <w:hideMark/>
          </w:tcPr>
          <w:p w14:paraId="04E8CE1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03E8EBE8" w14:textId="77777777" w:rsidTr="00AE3963">
        <w:trPr>
          <w:trHeight w:val="600"/>
        </w:trPr>
        <w:tc>
          <w:tcPr>
            <w:tcW w:w="851" w:type="dxa"/>
            <w:vMerge/>
            <w:hideMark/>
          </w:tcPr>
          <w:p w14:paraId="3958346B"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2CFF9B0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Inappropriate dosage regimen: Instructions for prednisolone eye drops was to administer to left eye, when the affected eye was the right </w:t>
            </w:r>
          </w:p>
        </w:tc>
        <w:tc>
          <w:tcPr>
            <w:tcW w:w="2552" w:type="dxa"/>
            <w:hideMark/>
          </w:tcPr>
          <w:p w14:paraId="64EA19B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3533160B" w14:textId="77777777" w:rsidTr="00AE3963">
        <w:trPr>
          <w:trHeight w:val="600"/>
        </w:trPr>
        <w:tc>
          <w:tcPr>
            <w:tcW w:w="851" w:type="dxa"/>
            <w:vMerge w:val="restart"/>
            <w:hideMark/>
          </w:tcPr>
          <w:p w14:paraId="19AECAC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13</w:t>
            </w:r>
          </w:p>
        </w:tc>
        <w:tc>
          <w:tcPr>
            <w:tcW w:w="6379" w:type="dxa"/>
            <w:noWrap/>
            <w:hideMark/>
          </w:tcPr>
          <w:p w14:paraId="2D6436B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Drug drug interaction: Significant (contraindicated) interaction between azathioprine and allopurinol leading to increased risk for neutropenia </w:t>
            </w:r>
          </w:p>
        </w:tc>
        <w:tc>
          <w:tcPr>
            <w:tcW w:w="2552" w:type="dxa"/>
            <w:hideMark/>
          </w:tcPr>
          <w:p w14:paraId="7892DCF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231A4C94" w14:textId="77777777" w:rsidTr="00AE3963">
        <w:trPr>
          <w:trHeight w:val="600"/>
        </w:trPr>
        <w:tc>
          <w:tcPr>
            <w:tcW w:w="851" w:type="dxa"/>
            <w:vMerge/>
            <w:hideMark/>
          </w:tcPr>
          <w:p w14:paraId="03E16DA8"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107FF83"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(2)    Omission of therapy: Patient initiated on allopurinol but not on anti-inflammation therapy to avoid exacerbation of gout flare (e.g. colchicine or steroids)</w:t>
            </w:r>
          </w:p>
        </w:tc>
        <w:tc>
          <w:tcPr>
            <w:tcW w:w="2552" w:type="dxa"/>
            <w:hideMark/>
          </w:tcPr>
          <w:p w14:paraId="0AE2351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1E420FA3" w14:textId="77777777" w:rsidTr="00AE3963">
        <w:trPr>
          <w:trHeight w:val="600"/>
        </w:trPr>
        <w:tc>
          <w:tcPr>
            <w:tcW w:w="851" w:type="dxa"/>
            <w:vMerge w:val="restart"/>
            <w:hideMark/>
          </w:tcPr>
          <w:p w14:paraId="42F89239"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14</w:t>
            </w:r>
          </w:p>
        </w:tc>
        <w:tc>
          <w:tcPr>
            <w:tcW w:w="6379" w:type="dxa"/>
            <w:noWrap/>
            <w:hideMark/>
          </w:tcPr>
          <w:p w14:paraId="23AB79F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Omission of therapy: Noted complains of no bowel movement for n-days but no laxatives ordered for patient with a significant history of liver cirrhosis </w:t>
            </w:r>
          </w:p>
        </w:tc>
        <w:tc>
          <w:tcPr>
            <w:tcW w:w="2552" w:type="dxa"/>
            <w:hideMark/>
          </w:tcPr>
          <w:p w14:paraId="0471D69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4261F110" w14:textId="77777777" w:rsidTr="00AE3963">
        <w:trPr>
          <w:trHeight w:val="600"/>
        </w:trPr>
        <w:tc>
          <w:tcPr>
            <w:tcW w:w="851" w:type="dxa"/>
            <w:vMerge/>
            <w:hideMark/>
          </w:tcPr>
          <w:p w14:paraId="675E9D34"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2D1DB7F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Drug drug interaction: Significant interaction between Epclusa and omeprazole that will reduce absorption and efficacy of anti-viral agent </w:t>
            </w:r>
          </w:p>
        </w:tc>
        <w:tc>
          <w:tcPr>
            <w:tcW w:w="2552" w:type="dxa"/>
            <w:hideMark/>
          </w:tcPr>
          <w:p w14:paraId="68272FCE"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1F65DA6D" w14:textId="77777777" w:rsidTr="00AE3963">
        <w:trPr>
          <w:trHeight w:val="600"/>
        </w:trPr>
        <w:tc>
          <w:tcPr>
            <w:tcW w:w="851" w:type="dxa"/>
            <w:vMerge/>
            <w:hideMark/>
          </w:tcPr>
          <w:p w14:paraId="4269DCFC"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728CB32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Inappropriate dosage regimen: Dosage of paracetamol not adjusted in the presence of liver cirrhosis </w:t>
            </w:r>
          </w:p>
        </w:tc>
        <w:tc>
          <w:tcPr>
            <w:tcW w:w="2552" w:type="dxa"/>
            <w:hideMark/>
          </w:tcPr>
          <w:p w14:paraId="1AC1FF2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315E8CFF" w14:textId="77777777" w:rsidTr="00AE3963">
        <w:trPr>
          <w:trHeight w:val="476"/>
        </w:trPr>
        <w:tc>
          <w:tcPr>
            <w:tcW w:w="851" w:type="dxa"/>
            <w:hideMark/>
          </w:tcPr>
          <w:p w14:paraId="217952FA"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15</w:t>
            </w:r>
          </w:p>
        </w:tc>
        <w:tc>
          <w:tcPr>
            <w:tcW w:w="6379" w:type="dxa"/>
            <w:noWrap/>
            <w:hideMark/>
          </w:tcPr>
          <w:p w14:paraId="7A8BE8E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Control Case </w:t>
            </w:r>
          </w:p>
        </w:tc>
        <w:tc>
          <w:tcPr>
            <w:tcW w:w="2552" w:type="dxa"/>
            <w:hideMark/>
          </w:tcPr>
          <w:p w14:paraId="64732BA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NA</w:t>
            </w:r>
          </w:p>
        </w:tc>
      </w:tr>
      <w:tr w:rsidR="00AE3963" w:rsidRPr="00AE3963" w14:paraId="0BBE8385" w14:textId="77777777" w:rsidTr="00AE3963">
        <w:trPr>
          <w:trHeight w:val="600"/>
        </w:trPr>
        <w:tc>
          <w:tcPr>
            <w:tcW w:w="851" w:type="dxa"/>
            <w:vMerge w:val="restart"/>
            <w:hideMark/>
          </w:tcPr>
          <w:p w14:paraId="1353D89F"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16</w:t>
            </w:r>
          </w:p>
        </w:tc>
        <w:tc>
          <w:tcPr>
            <w:tcW w:w="6379" w:type="dxa"/>
            <w:noWrap/>
            <w:hideMark/>
          </w:tcPr>
          <w:p w14:paraId="2271ADA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(1)    Drug drug interaction: Significant interaction between calcium supplement and tetracycline. Calcium reduces absorption of tetracycline when taken concurrently</w:t>
            </w:r>
          </w:p>
        </w:tc>
        <w:tc>
          <w:tcPr>
            <w:tcW w:w="2552" w:type="dxa"/>
            <w:hideMark/>
          </w:tcPr>
          <w:p w14:paraId="7E1F243F"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02B89244" w14:textId="77777777" w:rsidTr="00AE3963">
        <w:trPr>
          <w:trHeight w:val="600"/>
        </w:trPr>
        <w:tc>
          <w:tcPr>
            <w:tcW w:w="851" w:type="dxa"/>
            <w:vMerge/>
            <w:hideMark/>
          </w:tcPr>
          <w:p w14:paraId="26C837BF"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99238C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Inappropriate dosage regimen: Dose of metronidazole not adjusted in the presence of significant liver impairment </w:t>
            </w:r>
          </w:p>
        </w:tc>
        <w:tc>
          <w:tcPr>
            <w:tcW w:w="2552" w:type="dxa"/>
            <w:hideMark/>
          </w:tcPr>
          <w:p w14:paraId="29998CB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03FF6594" w14:textId="77777777" w:rsidTr="00AE3963">
        <w:trPr>
          <w:trHeight w:val="600"/>
        </w:trPr>
        <w:tc>
          <w:tcPr>
            <w:tcW w:w="851" w:type="dxa"/>
            <w:vMerge w:val="restart"/>
            <w:hideMark/>
          </w:tcPr>
          <w:p w14:paraId="7DCFF43F"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17</w:t>
            </w:r>
          </w:p>
        </w:tc>
        <w:tc>
          <w:tcPr>
            <w:tcW w:w="6379" w:type="dxa"/>
            <w:noWrap/>
            <w:hideMark/>
          </w:tcPr>
          <w:p w14:paraId="1F881D2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(1)    Inappropriate dosage regiment: The infusion rate of vancomycin has exceeded the maximum recommended rate, leading to increased risk for red man’s syndrome</w:t>
            </w:r>
          </w:p>
        </w:tc>
        <w:tc>
          <w:tcPr>
            <w:tcW w:w="2552" w:type="dxa"/>
            <w:hideMark/>
          </w:tcPr>
          <w:p w14:paraId="43D2AB3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79296CED" w14:textId="77777777" w:rsidTr="00AE3963">
        <w:trPr>
          <w:trHeight w:val="600"/>
        </w:trPr>
        <w:tc>
          <w:tcPr>
            <w:tcW w:w="851" w:type="dxa"/>
            <w:vMerge/>
            <w:hideMark/>
          </w:tcPr>
          <w:p w14:paraId="77E89742"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E16DC4D"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No indication: G-CSF (filgrastim) continued despite recovery of absolute neutrophil counts </w:t>
            </w:r>
          </w:p>
        </w:tc>
        <w:tc>
          <w:tcPr>
            <w:tcW w:w="2552" w:type="dxa"/>
            <w:hideMark/>
          </w:tcPr>
          <w:p w14:paraId="2E0E644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4442BDCD" w14:textId="77777777" w:rsidTr="00AE3963">
        <w:trPr>
          <w:trHeight w:val="600"/>
        </w:trPr>
        <w:tc>
          <w:tcPr>
            <w:tcW w:w="851" w:type="dxa"/>
            <w:vMerge w:val="restart"/>
            <w:hideMark/>
          </w:tcPr>
          <w:p w14:paraId="4544B356"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18</w:t>
            </w:r>
          </w:p>
        </w:tc>
        <w:tc>
          <w:tcPr>
            <w:tcW w:w="6379" w:type="dxa"/>
            <w:noWrap/>
            <w:hideMark/>
          </w:tcPr>
          <w:p w14:paraId="6FA5D33E"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Drug drug interaction: Significant interaction between ciclosporin and atorvastatin, with max dose of atorvastatin limited to not more than 20mg per day </w:t>
            </w:r>
          </w:p>
        </w:tc>
        <w:tc>
          <w:tcPr>
            <w:tcW w:w="2552" w:type="dxa"/>
            <w:hideMark/>
          </w:tcPr>
          <w:p w14:paraId="47A5F20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01CA06F0" w14:textId="77777777" w:rsidTr="00AE3963">
        <w:trPr>
          <w:trHeight w:val="600"/>
        </w:trPr>
        <w:tc>
          <w:tcPr>
            <w:tcW w:w="851" w:type="dxa"/>
            <w:vMerge/>
            <w:hideMark/>
          </w:tcPr>
          <w:p w14:paraId="4F783158"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05202B3B"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Inappropriate dosage regimen: Inappropriate dose of co-trimoxazole, prescribed in trimethoprim component instead of co-trimoxazole for PCP prophylaxis </w:t>
            </w:r>
          </w:p>
        </w:tc>
        <w:tc>
          <w:tcPr>
            <w:tcW w:w="2552" w:type="dxa"/>
            <w:hideMark/>
          </w:tcPr>
          <w:p w14:paraId="3E27393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54BA8C04" w14:textId="77777777" w:rsidTr="00AE3963">
        <w:trPr>
          <w:trHeight w:val="600"/>
        </w:trPr>
        <w:tc>
          <w:tcPr>
            <w:tcW w:w="851" w:type="dxa"/>
            <w:vMerge w:val="restart"/>
            <w:hideMark/>
          </w:tcPr>
          <w:p w14:paraId="3E78DB83"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19</w:t>
            </w:r>
          </w:p>
        </w:tc>
        <w:tc>
          <w:tcPr>
            <w:tcW w:w="6379" w:type="dxa"/>
            <w:noWrap/>
            <w:hideMark/>
          </w:tcPr>
          <w:p w14:paraId="71F5FB3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(1)    Inappropriate dosage regimen: Dose of tramadol not adjusted in the presence of significant renal failure</w:t>
            </w:r>
          </w:p>
        </w:tc>
        <w:tc>
          <w:tcPr>
            <w:tcW w:w="2552" w:type="dxa"/>
            <w:hideMark/>
          </w:tcPr>
          <w:p w14:paraId="04B2A6ED"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37660C0D" w14:textId="77777777" w:rsidTr="00AE3963">
        <w:trPr>
          <w:trHeight w:val="600"/>
        </w:trPr>
        <w:tc>
          <w:tcPr>
            <w:tcW w:w="851" w:type="dxa"/>
            <w:vMerge/>
            <w:hideMark/>
          </w:tcPr>
          <w:p w14:paraId="139A5EF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4DF8A0E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(1)    Inappropriate dosage regimen: Dose of gabapentin not adjusted in the presence of significant renal failure</w:t>
            </w:r>
          </w:p>
        </w:tc>
        <w:tc>
          <w:tcPr>
            <w:tcW w:w="2552" w:type="dxa"/>
            <w:hideMark/>
          </w:tcPr>
          <w:p w14:paraId="5641DA7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397683A9" w14:textId="77777777" w:rsidTr="00AE3963">
        <w:trPr>
          <w:trHeight w:val="600"/>
        </w:trPr>
        <w:tc>
          <w:tcPr>
            <w:tcW w:w="851" w:type="dxa"/>
            <w:vMerge/>
            <w:hideMark/>
          </w:tcPr>
          <w:p w14:paraId="60E910E2"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045D007E"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Omission of therapy: Aspirin omitted in patient with significant cardiac history and low risk of bleeding </w:t>
            </w:r>
          </w:p>
        </w:tc>
        <w:tc>
          <w:tcPr>
            <w:tcW w:w="2552" w:type="dxa"/>
            <w:hideMark/>
          </w:tcPr>
          <w:p w14:paraId="7EE8865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6D8FF3FF" w14:textId="77777777" w:rsidTr="00AE3963">
        <w:trPr>
          <w:trHeight w:val="600"/>
        </w:trPr>
        <w:tc>
          <w:tcPr>
            <w:tcW w:w="851" w:type="dxa"/>
            <w:vMerge/>
            <w:hideMark/>
          </w:tcPr>
          <w:p w14:paraId="12A5ABF6"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F81E76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Drug drug interaction: significant interaction between sulphonylurea and ciprofloxacin leading to increased risk for hypoglycemia </w:t>
            </w:r>
          </w:p>
        </w:tc>
        <w:tc>
          <w:tcPr>
            <w:tcW w:w="2552" w:type="dxa"/>
            <w:hideMark/>
          </w:tcPr>
          <w:p w14:paraId="15976F2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49590C4C" w14:textId="77777777" w:rsidTr="00AE3963">
        <w:trPr>
          <w:trHeight w:val="600"/>
        </w:trPr>
        <w:tc>
          <w:tcPr>
            <w:tcW w:w="851" w:type="dxa"/>
            <w:vMerge w:val="restart"/>
            <w:hideMark/>
          </w:tcPr>
          <w:p w14:paraId="46906CC1"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20</w:t>
            </w:r>
          </w:p>
        </w:tc>
        <w:tc>
          <w:tcPr>
            <w:tcW w:w="6379" w:type="dxa"/>
            <w:noWrap/>
            <w:hideMark/>
          </w:tcPr>
          <w:p w14:paraId="49E4A67B"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Duplication of therapy: Celecoxib and etoricoxib overlapping mechanism of action </w:t>
            </w:r>
          </w:p>
        </w:tc>
        <w:tc>
          <w:tcPr>
            <w:tcW w:w="2552" w:type="dxa"/>
            <w:hideMark/>
          </w:tcPr>
          <w:p w14:paraId="63D3A47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3E7B3810" w14:textId="77777777" w:rsidTr="00AE3963">
        <w:trPr>
          <w:trHeight w:val="600"/>
        </w:trPr>
        <w:tc>
          <w:tcPr>
            <w:tcW w:w="851" w:type="dxa"/>
            <w:vMerge/>
            <w:hideMark/>
          </w:tcPr>
          <w:p w14:paraId="783999BF"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363E96BB"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(2)    Duplication of therapy: PO and IV omeprazole both ordered</w:t>
            </w:r>
          </w:p>
        </w:tc>
        <w:tc>
          <w:tcPr>
            <w:tcW w:w="2552" w:type="dxa"/>
            <w:hideMark/>
          </w:tcPr>
          <w:p w14:paraId="1A2953A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No harm</w:t>
            </w:r>
          </w:p>
        </w:tc>
      </w:tr>
      <w:tr w:rsidR="00AE3963" w:rsidRPr="00AE3963" w14:paraId="6DFABBBA" w14:textId="77777777" w:rsidTr="00AE3963">
        <w:trPr>
          <w:trHeight w:val="600"/>
        </w:trPr>
        <w:tc>
          <w:tcPr>
            <w:tcW w:w="851" w:type="dxa"/>
            <w:vMerge/>
            <w:hideMark/>
          </w:tcPr>
          <w:p w14:paraId="18228419"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4DC2F488"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Adverse drug reaction: Initiation of hydralazine in patient with a background of lupus disease </w:t>
            </w:r>
          </w:p>
        </w:tc>
        <w:tc>
          <w:tcPr>
            <w:tcW w:w="2552" w:type="dxa"/>
            <w:hideMark/>
          </w:tcPr>
          <w:p w14:paraId="4B2BE4F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65AF6156" w14:textId="77777777" w:rsidTr="00AE3963">
        <w:trPr>
          <w:trHeight w:val="600"/>
        </w:trPr>
        <w:tc>
          <w:tcPr>
            <w:tcW w:w="851" w:type="dxa"/>
            <w:vMerge w:val="restart"/>
            <w:hideMark/>
          </w:tcPr>
          <w:p w14:paraId="4700C807"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21</w:t>
            </w:r>
          </w:p>
        </w:tc>
        <w:tc>
          <w:tcPr>
            <w:tcW w:w="6379" w:type="dxa"/>
            <w:noWrap/>
            <w:hideMark/>
          </w:tcPr>
          <w:p w14:paraId="0D1ABA0D"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Adverse Drug Reaction: Hyperkalemia but continued on potassium chloride infusion </w:t>
            </w:r>
          </w:p>
        </w:tc>
        <w:tc>
          <w:tcPr>
            <w:tcW w:w="2552" w:type="dxa"/>
            <w:hideMark/>
          </w:tcPr>
          <w:p w14:paraId="55602D1C"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5E64BE3C" w14:textId="77777777" w:rsidTr="00AE3963">
        <w:trPr>
          <w:trHeight w:val="600"/>
        </w:trPr>
        <w:tc>
          <w:tcPr>
            <w:tcW w:w="851" w:type="dxa"/>
            <w:vMerge/>
            <w:hideMark/>
          </w:tcPr>
          <w:p w14:paraId="14361C1A"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1D6232B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Inappropriate dosage regimen: Exceeded maximum recommended dose of omeprazole for the indication of ulcer prevention </w:t>
            </w:r>
          </w:p>
        </w:tc>
        <w:tc>
          <w:tcPr>
            <w:tcW w:w="2552" w:type="dxa"/>
            <w:hideMark/>
          </w:tcPr>
          <w:p w14:paraId="5B40C22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278128CB" w14:textId="77777777" w:rsidTr="00AE3963">
        <w:trPr>
          <w:trHeight w:val="600"/>
        </w:trPr>
        <w:tc>
          <w:tcPr>
            <w:tcW w:w="851" w:type="dxa"/>
            <w:vMerge/>
            <w:hideMark/>
          </w:tcPr>
          <w:p w14:paraId="59E2F7DC"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3677AE9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Drug drug interaction: Significant interaction between prochlorperazine and metoclopramide </w:t>
            </w:r>
          </w:p>
        </w:tc>
        <w:tc>
          <w:tcPr>
            <w:tcW w:w="2552" w:type="dxa"/>
            <w:hideMark/>
          </w:tcPr>
          <w:p w14:paraId="28718ED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5254A3D0" w14:textId="77777777" w:rsidTr="00AE3963">
        <w:trPr>
          <w:trHeight w:val="600"/>
        </w:trPr>
        <w:tc>
          <w:tcPr>
            <w:tcW w:w="851" w:type="dxa"/>
            <w:vMerge/>
            <w:hideMark/>
          </w:tcPr>
          <w:p w14:paraId="2106BC0E"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4E80EB3B"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(4)    Omission of therapy: Untreated hyperlipidemia </w:t>
            </w:r>
          </w:p>
        </w:tc>
        <w:tc>
          <w:tcPr>
            <w:tcW w:w="2552" w:type="dxa"/>
            <w:hideMark/>
          </w:tcPr>
          <w:p w14:paraId="42CD201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7D8ADFAB" w14:textId="77777777" w:rsidTr="00AE3963">
        <w:trPr>
          <w:trHeight w:val="600"/>
        </w:trPr>
        <w:tc>
          <w:tcPr>
            <w:tcW w:w="851" w:type="dxa"/>
            <w:vMerge/>
            <w:hideMark/>
          </w:tcPr>
          <w:p w14:paraId="141D48C5"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5D9C44B4"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(5)    Omission of therapy: Untreated hyperkalemia</w:t>
            </w:r>
          </w:p>
        </w:tc>
        <w:tc>
          <w:tcPr>
            <w:tcW w:w="2552" w:type="dxa"/>
            <w:hideMark/>
          </w:tcPr>
          <w:p w14:paraId="4F049311"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50E6159D" w14:textId="77777777" w:rsidTr="00AE3963">
        <w:trPr>
          <w:trHeight w:val="600"/>
        </w:trPr>
        <w:tc>
          <w:tcPr>
            <w:tcW w:w="851" w:type="dxa"/>
            <w:vMerge w:val="restart"/>
            <w:hideMark/>
          </w:tcPr>
          <w:p w14:paraId="53B3A3EC"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22</w:t>
            </w:r>
          </w:p>
        </w:tc>
        <w:tc>
          <w:tcPr>
            <w:tcW w:w="6379" w:type="dxa"/>
            <w:noWrap/>
            <w:hideMark/>
          </w:tcPr>
          <w:p w14:paraId="19973F0A"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Inappropriate dosage regimen: Rapid intravenous infusion of potassium chloride 10mmol over 1 minute </w:t>
            </w:r>
          </w:p>
        </w:tc>
        <w:tc>
          <w:tcPr>
            <w:tcW w:w="2552" w:type="dxa"/>
            <w:hideMark/>
          </w:tcPr>
          <w:p w14:paraId="5A5A2FBC"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6ADD85BF" w14:textId="77777777" w:rsidTr="00AE3963">
        <w:trPr>
          <w:trHeight w:val="600"/>
        </w:trPr>
        <w:tc>
          <w:tcPr>
            <w:tcW w:w="851" w:type="dxa"/>
            <w:vMerge/>
            <w:hideMark/>
          </w:tcPr>
          <w:p w14:paraId="25D80B78"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6F2557C0"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(2)    Omission of therapy: Omission of steroid (e.g. prednisolone) when on abiraterone treatment for castrate resistant bladder cancer</w:t>
            </w:r>
          </w:p>
        </w:tc>
        <w:tc>
          <w:tcPr>
            <w:tcW w:w="2552" w:type="dxa"/>
            <w:hideMark/>
          </w:tcPr>
          <w:p w14:paraId="06A45F0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r w:rsidR="00AE3963" w:rsidRPr="00AE3963" w14:paraId="77B57F09" w14:textId="77777777" w:rsidTr="00AE3963">
        <w:trPr>
          <w:trHeight w:val="600"/>
        </w:trPr>
        <w:tc>
          <w:tcPr>
            <w:tcW w:w="851" w:type="dxa"/>
            <w:vMerge/>
            <w:hideMark/>
          </w:tcPr>
          <w:p w14:paraId="4F60EF2A"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7F00128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(3)    Adverse drug reaction: Diclofenac use in patient with recent myocardial infarction presenting with heightened risk for cardiovascular events </w:t>
            </w:r>
          </w:p>
        </w:tc>
        <w:tc>
          <w:tcPr>
            <w:tcW w:w="2552" w:type="dxa"/>
            <w:hideMark/>
          </w:tcPr>
          <w:p w14:paraId="40D2F2B2"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Serious </w:t>
            </w:r>
          </w:p>
        </w:tc>
      </w:tr>
      <w:tr w:rsidR="00AE3963" w:rsidRPr="00AE3963" w14:paraId="05208C49" w14:textId="77777777" w:rsidTr="00AE3963">
        <w:trPr>
          <w:trHeight w:val="600"/>
        </w:trPr>
        <w:tc>
          <w:tcPr>
            <w:tcW w:w="851" w:type="dxa"/>
            <w:vMerge w:val="restart"/>
            <w:hideMark/>
          </w:tcPr>
          <w:p w14:paraId="08D77D73"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r w:rsidRPr="00AE3963">
              <w:rPr>
                <w:rFonts w:ascii="Arial" w:eastAsia="Arial" w:hAnsi="Arial" w:cs="Arial"/>
                <w:b/>
                <w:bCs/>
                <w:color w:val="333333"/>
                <w:sz w:val="16"/>
                <w:szCs w:val="16"/>
              </w:rPr>
              <w:t>23</w:t>
            </w:r>
          </w:p>
        </w:tc>
        <w:tc>
          <w:tcPr>
            <w:tcW w:w="6379" w:type="dxa"/>
            <w:noWrap/>
            <w:hideMark/>
          </w:tcPr>
          <w:p w14:paraId="32C4FD75"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(1)    Duplication of therapy: Prescription of 2 alpha-blockers (Tamsulosin and Alfuzosin) in a patient with history of benign prostate hyperplasia </w:t>
            </w:r>
          </w:p>
        </w:tc>
        <w:tc>
          <w:tcPr>
            <w:tcW w:w="2552" w:type="dxa"/>
            <w:hideMark/>
          </w:tcPr>
          <w:p w14:paraId="4A3C4499"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Minor </w:t>
            </w:r>
          </w:p>
        </w:tc>
      </w:tr>
      <w:tr w:rsidR="00AE3963" w:rsidRPr="00AE3963" w14:paraId="685D35CF" w14:textId="77777777" w:rsidTr="00AE3963">
        <w:trPr>
          <w:trHeight w:val="600"/>
        </w:trPr>
        <w:tc>
          <w:tcPr>
            <w:tcW w:w="851" w:type="dxa"/>
            <w:vMerge/>
            <w:hideMark/>
          </w:tcPr>
          <w:p w14:paraId="4CB272CF" w14:textId="77777777" w:rsidR="00AE3963" w:rsidRPr="00AE3963" w:rsidRDefault="00AE3963" w:rsidP="00AE3963">
            <w:pPr>
              <w:pBdr>
                <w:top w:val="nil"/>
                <w:left w:val="nil"/>
                <w:bottom w:val="nil"/>
                <w:right w:val="nil"/>
                <w:between w:val="nil"/>
              </w:pBdr>
              <w:jc w:val="both"/>
              <w:rPr>
                <w:rFonts w:ascii="Arial" w:eastAsia="Arial" w:hAnsi="Arial" w:cs="Arial"/>
                <w:b/>
                <w:bCs/>
                <w:color w:val="333333"/>
                <w:sz w:val="16"/>
                <w:szCs w:val="16"/>
              </w:rPr>
            </w:pPr>
          </w:p>
        </w:tc>
        <w:tc>
          <w:tcPr>
            <w:tcW w:w="6379" w:type="dxa"/>
            <w:noWrap/>
            <w:hideMark/>
          </w:tcPr>
          <w:p w14:paraId="00528256"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(2)    Wrong choice of therapy: Co-amoxiclav use in patient with wound culture growing </w:t>
            </w:r>
            <w:r w:rsidRPr="00AE3963">
              <w:rPr>
                <w:rFonts w:ascii="Arial" w:eastAsia="Arial" w:hAnsi="Arial" w:cs="Arial"/>
                <w:i/>
                <w:iCs/>
                <w:color w:val="333333"/>
                <w:sz w:val="16"/>
                <w:szCs w:val="16"/>
              </w:rPr>
              <w:t>E.Coli</w:t>
            </w:r>
            <w:r w:rsidRPr="00AE3963">
              <w:rPr>
                <w:rFonts w:ascii="Arial" w:eastAsia="Arial" w:hAnsi="Arial" w:cs="Arial"/>
                <w:color w:val="333333"/>
                <w:sz w:val="16"/>
                <w:szCs w:val="16"/>
              </w:rPr>
              <w:t xml:space="preserve"> reported to be resistant to co-amoxiclav </w:t>
            </w:r>
          </w:p>
        </w:tc>
        <w:tc>
          <w:tcPr>
            <w:tcW w:w="2552" w:type="dxa"/>
            <w:hideMark/>
          </w:tcPr>
          <w:p w14:paraId="785ECFF7" w14:textId="77777777" w:rsidR="00AE3963" w:rsidRPr="00AE3963" w:rsidRDefault="00AE3963" w:rsidP="00AE3963">
            <w:pPr>
              <w:pBdr>
                <w:top w:val="nil"/>
                <w:left w:val="nil"/>
                <w:bottom w:val="nil"/>
                <w:right w:val="nil"/>
                <w:between w:val="nil"/>
              </w:pBdr>
              <w:jc w:val="both"/>
              <w:rPr>
                <w:rFonts w:ascii="Arial" w:eastAsia="Arial" w:hAnsi="Arial" w:cs="Arial"/>
                <w:color w:val="333333"/>
                <w:sz w:val="16"/>
                <w:szCs w:val="16"/>
              </w:rPr>
            </w:pPr>
            <w:r w:rsidRPr="00AE3963">
              <w:rPr>
                <w:rFonts w:ascii="Arial" w:eastAsia="Arial" w:hAnsi="Arial" w:cs="Arial"/>
                <w:color w:val="333333"/>
                <w:sz w:val="16"/>
                <w:szCs w:val="16"/>
              </w:rPr>
              <w:t xml:space="preserve">Moderate </w:t>
            </w:r>
          </w:p>
        </w:tc>
      </w:tr>
    </w:tbl>
    <w:p w14:paraId="6E7F91B0" w14:textId="77777777" w:rsidR="00AE3963" w:rsidRDefault="00AE3963" w:rsidP="004C6411">
      <w:pPr>
        <w:pBdr>
          <w:top w:val="nil"/>
          <w:left w:val="nil"/>
          <w:bottom w:val="nil"/>
          <w:right w:val="nil"/>
          <w:between w:val="nil"/>
        </w:pBdr>
        <w:spacing w:after="300" w:line="360" w:lineRule="auto"/>
        <w:jc w:val="both"/>
        <w:rPr>
          <w:rFonts w:ascii="Arial" w:eastAsia="Arial" w:hAnsi="Arial" w:cs="Arial"/>
          <w:b/>
          <w:bCs/>
          <w:color w:val="333333"/>
          <w:sz w:val="16"/>
          <w:szCs w:val="16"/>
        </w:rPr>
      </w:pPr>
    </w:p>
    <w:p w14:paraId="7773F369" w14:textId="77777777" w:rsidR="00AE3963" w:rsidRPr="00E4007F" w:rsidRDefault="00AE3963" w:rsidP="004C6411">
      <w:pPr>
        <w:pBdr>
          <w:top w:val="nil"/>
          <w:left w:val="nil"/>
          <w:bottom w:val="nil"/>
          <w:right w:val="nil"/>
          <w:between w:val="nil"/>
        </w:pBdr>
        <w:spacing w:after="300" w:line="360" w:lineRule="auto"/>
        <w:jc w:val="both"/>
        <w:rPr>
          <w:rFonts w:ascii="Arial" w:eastAsia="Arial" w:hAnsi="Arial" w:cs="Arial"/>
          <w:b/>
          <w:bCs/>
          <w:color w:val="333333"/>
          <w:sz w:val="16"/>
          <w:szCs w:val="16"/>
        </w:rPr>
      </w:pPr>
    </w:p>
    <w:p w14:paraId="14E0FCED" w14:textId="77777777" w:rsidR="001A6451" w:rsidRDefault="001A6451"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33102174"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119D7F5C"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3D3D9C43"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4F8E31F3"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4BF77C89"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4B4482CF"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2746ED08"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09423E41" w14:textId="77777777" w:rsidR="00606BC7" w:rsidRDefault="00606BC7" w:rsidP="004C6411">
      <w:pPr>
        <w:pBdr>
          <w:top w:val="nil"/>
          <w:left w:val="nil"/>
          <w:bottom w:val="nil"/>
          <w:right w:val="nil"/>
          <w:between w:val="nil"/>
        </w:pBdr>
        <w:spacing w:after="300" w:line="360" w:lineRule="auto"/>
        <w:jc w:val="both"/>
        <w:rPr>
          <w:rFonts w:ascii="Arial" w:eastAsia="Arial" w:hAnsi="Arial" w:cs="Arial"/>
          <w:color w:val="333333"/>
          <w:sz w:val="16"/>
          <w:szCs w:val="16"/>
        </w:rPr>
      </w:pPr>
    </w:p>
    <w:p w14:paraId="5FAFC0AB" w14:textId="77777777" w:rsidR="00606BC7" w:rsidRPr="00606BC7" w:rsidRDefault="00606BC7" w:rsidP="004C6411">
      <w:pPr>
        <w:pBdr>
          <w:top w:val="nil"/>
          <w:left w:val="nil"/>
          <w:bottom w:val="nil"/>
          <w:right w:val="nil"/>
          <w:between w:val="nil"/>
        </w:pBdr>
        <w:spacing w:after="300" w:line="360" w:lineRule="auto"/>
        <w:jc w:val="both"/>
        <w:rPr>
          <w:rFonts w:ascii="Arial" w:eastAsia="Arial" w:hAnsi="Arial" w:cs="Arial"/>
          <w:b/>
          <w:bCs/>
          <w:color w:val="333333"/>
          <w:sz w:val="16"/>
          <w:szCs w:val="16"/>
        </w:rPr>
      </w:pPr>
    </w:p>
    <w:sectPr w:rsidR="00606BC7" w:rsidRPr="00606B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CE33" w14:textId="77777777" w:rsidR="00567BA5" w:rsidRDefault="00567BA5" w:rsidP="00E4007F">
      <w:r>
        <w:separator/>
      </w:r>
    </w:p>
  </w:endnote>
  <w:endnote w:type="continuationSeparator" w:id="0">
    <w:p w14:paraId="63E78DF6" w14:textId="77777777" w:rsidR="00567BA5" w:rsidRDefault="00567BA5" w:rsidP="00E4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E479" w14:textId="77777777" w:rsidR="00567BA5" w:rsidRDefault="00567BA5" w:rsidP="00E4007F">
      <w:r>
        <w:separator/>
      </w:r>
    </w:p>
  </w:footnote>
  <w:footnote w:type="continuationSeparator" w:id="0">
    <w:p w14:paraId="613428E3" w14:textId="77777777" w:rsidR="00567BA5" w:rsidRDefault="00567BA5" w:rsidP="00E40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1D9"/>
    <w:multiLevelType w:val="hybridMultilevel"/>
    <w:tmpl w:val="9392AC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BE68D0"/>
    <w:multiLevelType w:val="hybridMultilevel"/>
    <w:tmpl w:val="79D41602"/>
    <w:lvl w:ilvl="0" w:tplc="D3166D5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DB02B7"/>
    <w:multiLevelType w:val="hybridMultilevel"/>
    <w:tmpl w:val="D82CA876"/>
    <w:lvl w:ilvl="0" w:tplc="1876DD9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F64E2B"/>
    <w:multiLevelType w:val="hybridMultilevel"/>
    <w:tmpl w:val="54CA3CB0"/>
    <w:lvl w:ilvl="0" w:tplc="523AF23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657B27"/>
    <w:multiLevelType w:val="hybridMultilevel"/>
    <w:tmpl w:val="8C7AAB06"/>
    <w:lvl w:ilvl="0" w:tplc="09AC7A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544A03"/>
    <w:multiLevelType w:val="hybridMultilevel"/>
    <w:tmpl w:val="317A65B4"/>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0E48077D"/>
    <w:multiLevelType w:val="hybridMultilevel"/>
    <w:tmpl w:val="DCEE16BE"/>
    <w:lvl w:ilvl="0" w:tplc="85442244">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CF265A"/>
    <w:multiLevelType w:val="hybridMultilevel"/>
    <w:tmpl w:val="EA68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02BF2"/>
    <w:multiLevelType w:val="hybridMultilevel"/>
    <w:tmpl w:val="1D3CFB76"/>
    <w:lvl w:ilvl="0" w:tplc="B4606E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0FE5E48"/>
    <w:multiLevelType w:val="hybridMultilevel"/>
    <w:tmpl w:val="153025AC"/>
    <w:lvl w:ilvl="0" w:tplc="A49C6E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575A00"/>
    <w:multiLevelType w:val="multilevel"/>
    <w:tmpl w:val="1B4A4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E75501"/>
    <w:multiLevelType w:val="hybridMultilevel"/>
    <w:tmpl w:val="6254C8E8"/>
    <w:lvl w:ilvl="0" w:tplc="40BCBF5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6E1138E"/>
    <w:multiLevelType w:val="multilevel"/>
    <w:tmpl w:val="A9B64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AE16A9"/>
    <w:multiLevelType w:val="hybridMultilevel"/>
    <w:tmpl w:val="7444E770"/>
    <w:lvl w:ilvl="0" w:tplc="68CE2F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7875B34"/>
    <w:multiLevelType w:val="hybridMultilevel"/>
    <w:tmpl w:val="48484A1A"/>
    <w:lvl w:ilvl="0" w:tplc="5804F05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7BB0983"/>
    <w:multiLevelType w:val="hybridMultilevel"/>
    <w:tmpl w:val="71B6C4DA"/>
    <w:lvl w:ilvl="0" w:tplc="829E53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8732830"/>
    <w:multiLevelType w:val="hybridMultilevel"/>
    <w:tmpl w:val="85800E28"/>
    <w:lvl w:ilvl="0" w:tplc="74BA969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B63484"/>
    <w:multiLevelType w:val="multilevel"/>
    <w:tmpl w:val="C6EA7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BD2201"/>
    <w:multiLevelType w:val="hybridMultilevel"/>
    <w:tmpl w:val="8CCE2F16"/>
    <w:lvl w:ilvl="0" w:tplc="6A18B5B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6762C1E"/>
    <w:multiLevelType w:val="hybridMultilevel"/>
    <w:tmpl w:val="E8767BBA"/>
    <w:lvl w:ilvl="0" w:tplc="BB0AF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C114B4D"/>
    <w:multiLevelType w:val="hybridMultilevel"/>
    <w:tmpl w:val="BCD0FE26"/>
    <w:lvl w:ilvl="0" w:tplc="DFE84F9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AD37150"/>
    <w:multiLevelType w:val="multilevel"/>
    <w:tmpl w:val="B22E3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541DF9"/>
    <w:multiLevelType w:val="hybridMultilevel"/>
    <w:tmpl w:val="F384BBE0"/>
    <w:lvl w:ilvl="0" w:tplc="A2B0B7A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DFD4C7B"/>
    <w:multiLevelType w:val="hybridMultilevel"/>
    <w:tmpl w:val="73CCD3F2"/>
    <w:lvl w:ilvl="0" w:tplc="06C03B6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41A4EF3"/>
    <w:multiLevelType w:val="hybridMultilevel"/>
    <w:tmpl w:val="66B0DBC0"/>
    <w:lvl w:ilvl="0" w:tplc="B86488F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9087574"/>
    <w:multiLevelType w:val="hybridMultilevel"/>
    <w:tmpl w:val="48484A1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CDC50A4"/>
    <w:multiLevelType w:val="hybridMultilevel"/>
    <w:tmpl w:val="C004D924"/>
    <w:lvl w:ilvl="0" w:tplc="347006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E085807"/>
    <w:multiLevelType w:val="hybridMultilevel"/>
    <w:tmpl w:val="F188A29A"/>
    <w:lvl w:ilvl="0" w:tplc="0B3C3B0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FF51F22"/>
    <w:multiLevelType w:val="hybridMultilevel"/>
    <w:tmpl w:val="F034C3CE"/>
    <w:lvl w:ilvl="0" w:tplc="D678589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3443644">
    <w:abstractNumId w:val="6"/>
  </w:num>
  <w:num w:numId="2" w16cid:durableId="1401172737">
    <w:abstractNumId w:val="10"/>
  </w:num>
  <w:num w:numId="3" w16cid:durableId="1591503634">
    <w:abstractNumId w:val="17"/>
  </w:num>
  <w:num w:numId="4" w16cid:durableId="1497648966">
    <w:abstractNumId w:val="12"/>
  </w:num>
  <w:num w:numId="5" w16cid:durableId="43259447">
    <w:abstractNumId w:val="21"/>
  </w:num>
  <w:num w:numId="6" w16cid:durableId="1390611848">
    <w:abstractNumId w:val="9"/>
  </w:num>
  <w:num w:numId="7" w16cid:durableId="2143768771">
    <w:abstractNumId w:val="4"/>
  </w:num>
  <w:num w:numId="8" w16cid:durableId="1447432367">
    <w:abstractNumId w:val="13"/>
  </w:num>
  <w:num w:numId="9" w16cid:durableId="256986916">
    <w:abstractNumId w:val="19"/>
  </w:num>
  <w:num w:numId="10" w16cid:durableId="828056717">
    <w:abstractNumId w:val="28"/>
  </w:num>
  <w:num w:numId="11" w16cid:durableId="245916656">
    <w:abstractNumId w:val="14"/>
  </w:num>
  <w:num w:numId="12" w16cid:durableId="289169792">
    <w:abstractNumId w:val="16"/>
  </w:num>
  <w:num w:numId="13" w16cid:durableId="780534063">
    <w:abstractNumId w:val="11"/>
  </w:num>
  <w:num w:numId="14" w16cid:durableId="209998479">
    <w:abstractNumId w:val="23"/>
  </w:num>
  <w:num w:numId="15" w16cid:durableId="672033653">
    <w:abstractNumId w:val="15"/>
  </w:num>
  <w:num w:numId="16" w16cid:durableId="379674745">
    <w:abstractNumId w:val="24"/>
  </w:num>
  <w:num w:numId="17" w16cid:durableId="17242903">
    <w:abstractNumId w:val="1"/>
  </w:num>
  <w:num w:numId="18" w16cid:durableId="2025400148">
    <w:abstractNumId w:val="2"/>
  </w:num>
  <w:num w:numId="19" w16cid:durableId="292294404">
    <w:abstractNumId w:val="22"/>
  </w:num>
  <w:num w:numId="20" w16cid:durableId="283271959">
    <w:abstractNumId w:val="18"/>
  </w:num>
  <w:num w:numId="21" w16cid:durableId="1836529957">
    <w:abstractNumId w:val="20"/>
  </w:num>
  <w:num w:numId="22" w16cid:durableId="579875147">
    <w:abstractNumId w:val="8"/>
  </w:num>
  <w:num w:numId="23" w16cid:durableId="2059469921">
    <w:abstractNumId w:val="26"/>
  </w:num>
  <w:num w:numId="24" w16cid:durableId="1545096454">
    <w:abstractNumId w:val="3"/>
  </w:num>
  <w:num w:numId="25" w16cid:durableId="597637994">
    <w:abstractNumId w:val="27"/>
  </w:num>
  <w:num w:numId="26" w16cid:durableId="196747542">
    <w:abstractNumId w:val="5"/>
  </w:num>
  <w:num w:numId="27" w16cid:durableId="914900496">
    <w:abstractNumId w:val="25"/>
  </w:num>
  <w:num w:numId="28" w16cid:durableId="1357467787">
    <w:abstractNumId w:val="7"/>
  </w:num>
  <w:num w:numId="29" w16cid:durableId="1146822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pf25zdxzzr9f2lespdwva5rb9tzprz9tx5wf&quot;&gt;My EndNote Library&lt;record-ids&gt;&lt;item&gt;417&lt;/item&gt;&lt;item&gt;418&lt;/item&gt;&lt;item&gt;419&lt;/item&gt;&lt;item&gt;420&lt;/item&gt;&lt;/record-ids&gt;&lt;/item&gt;&lt;/Libraries&gt;"/>
  </w:docVars>
  <w:rsids>
    <w:rsidRoot w:val="0075379B"/>
    <w:rsid w:val="00010F27"/>
    <w:rsid w:val="00014AC7"/>
    <w:rsid w:val="000273B5"/>
    <w:rsid w:val="000364E4"/>
    <w:rsid w:val="00045190"/>
    <w:rsid w:val="00074873"/>
    <w:rsid w:val="00080097"/>
    <w:rsid w:val="00082E22"/>
    <w:rsid w:val="00085C3D"/>
    <w:rsid w:val="00097283"/>
    <w:rsid w:val="000A103A"/>
    <w:rsid w:val="000A1B08"/>
    <w:rsid w:val="000A5895"/>
    <w:rsid w:val="000A5A1F"/>
    <w:rsid w:val="000A6EFC"/>
    <w:rsid w:val="000B149F"/>
    <w:rsid w:val="000B46B2"/>
    <w:rsid w:val="000C1584"/>
    <w:rsid w:val="000C215B"/>
    <w:rsid w:val="000C24A2"/>
    <w:rsid w:val="000C3ABA"/>
    <w:rsid w:val="000C7BE7"/>
    <w:rsid w:val="000D011D"/>
    <w:rsid w:val="000D504A"/>
    <w:rsid w:val="000E0776"/>
    <w:rsid w:val="00103E23"/>
    <w:rsid w:val="001260D4"/>
    <w:rsid w:val="00135144"/>
    <w:rsid w:val="00140C24"/>
    <w:rsid w:val="00144655"/>
    <w:rsid w:val="00147A5E"/>
    <w:rsid w:val="001504EA"/>
    <w:rsid w:val="00150B6E"/>
    <w:rsid w:val="001525F0"/>
    <w:rsid w:val="00163B4E"/>
    <w:rsid w:val="001659FE"/>
    <w:rsid w:val="00170824"/>
    <w:rsid w:val="00173D4C"/>
    <w:rsid w:val="0017615A"/>
    <w:rsid w:val="00190A48"/>
    <w:rsid w:val="0019584C"/>
    <w:rsid w:val="001A6451"/>
    <w:rsid w:val="001B5366"/>
    <w:rsid w:val="001B61A1"/>
    <w:rsid w:val="001C4213"/>
    <w:rsid w:val="001D3AFC"/>
    <w:rsid w:val="001E5EC7"/>
    <w:rsid w:val="001F2558"/>
    <w:rsid w:val="001F7BC2"/>
    <w:rsid w:val="0021138F"/>
    <w:rsid w:val="002137AA"/>
    <w:rsid w:val="00226054"/>
    <w:rsid w:val="002326F2"/>
    <w:rsid w:val="00237E22"/>
    <w:rsid w:val="00240A71"/>
    <w:rsid w:val="0025109A"/>
    <w:rsid w:val="00253630"/>
    <w:rsid w:val="002570E1"/>
    <w:rsid w:val="002662A2"/>
    <w:rsid w:val="00285E40"/>
    <w:rsid w:val="00286C24"/>
    <w:rsid w:val="002A0119"/>
    <w:rsid w:val="002C04F5"/>
    <w:rsid w:val="002C3D12"/>
    <w:rsid w:val="002E0FE0"/>
    <w:rsid w:val="002E5230"/>
    <w:rsid w:val="0031279F"/>
    <w:rsid w:val="00321362"/>
    <w:rsid w:val="003335BF"/>
    <w:rsid w:val="00336D56"/>
    <w:rsid w:val="00340380"/>
    <w:rsid w:val="003419BC"/>
    <w:rsid w:val="00345857"/>
    <w:rsid w:val="00355BDD"/>
    <w:rsid w:val="00356C3C"/>
    <w:rsid w:val="00357332"/>
    <w:rsid w:val="00373A1A"/>
    <w:rsid w:val="0038447F"/>
    <w:rsid w:val="00394F6E"/>
    <w:rsid w:val="003965A9"/>
    <w:rsid w:val="003A076D"/>
    <w:rsid w:val="003B6659"/>
    <w:rsid w:val="003B736D"/>
    <w:rsid w:val="003C2AD4"/>
    <w:rsid w:val="003C4652"/>
    <w:rsid w:val="003E4E79"/>
    <w:rsid w:val="003F63FE"/>
    <w:rsid w:val="003F709B"/>
    <w:rsid w:val="00407C93"/>
    <w:rsid w:val="004106B5"/>
    <w:rsid w:val="0041220F"/>
    <w:rsid w:val="00413E3A"/>
    <w:rsid w:val="004152DF"/>
    <w:rsid w:val="0041696F"/>
    <w:rsid w:val="00416A76"/>
    <w:rsid w:val="00422027"/>
    <w:rsid w:val="0042786C"/>
    <w:rsid w:val="00446C5B"/>
    <w:rsid w:val="00447FF9"/>
    <w:rsid w:val="004642FC"/>
    <w:rsid w:val="004668CF"/>
    <w:rsid w:val="00470A9B"/>
    <w:rsid w:val="00471B29"/>
    <w:rsid w:val="00472574"/>
    <w:rsid w:val="00476BDF"/>
    <w:rsid w:val="00484182"/>
    <w:rsid w:val="00490865"/>
    <w:rsid w:val="00491538"/>
    <w:rsid w:val="004A63C7"/>
    <w:rsid w:val="004B3486"/>
    <w:rsid w:val="004C4E01"/>
    <w:rsid w:val="004C6411"/>
    <w:rsid w:val="004D0C7C"/>
    <w:rsid w:val="004D4FBD"/>
    <w:rsid w:val="004E624C"/>
    <w:rsid w:val="004F19E2"/>
    <w:rsid w:val="005066F6"/>
    <w:rsid w:val="005074AD"/>
    <w:rsid w:val="005157E4"/>
    <w:rsid w:val="00531818"/>
    <w:rsid w:val="00542F1D"/>
    <w:rsid w:val="0055201A"/>
    <w:rsid w:val="00554CB7"/>
    <w:rsid w:val="00554F2F"/>
    <w:rsid w:val="00567BA5"/>
    <w:rsid w:val="0058083F"/>
    <w:rsid w:val="00587F47"/>
    <w:rsid w:val="005924CC"/>
    <w:rsid w:val="005A36C5"/>
    <w:rsid w:val="005A3A2C"/>
    <w:rsid w:val="005C0306"/>
    <w:rsid w:val="005C3638"/>
    <w:rsid w:val="005C64E6"/>
    <w:rsid w:val="005D01B1"/>
    <w:rsid w:val="005D73AB"/>
    <w:rsid w:val="005E107E"/>
    <w:rsid w:val="005E28AF"/>
    <w:rsid w:val="005E4165"/>
    <w:rsid w:val="005E741F"/>
    <w:rsid w:val="005F0C68"/>
    <w:rsid w:val="005F73BE"/>
    <w:rsid w:val="006035F6"/>
    <w:rsid w:val="00604B47"/>
    <w:rsid w:val="00606BC7"/>
    <w:rsid w:val="00615173"/>
    <w:rsid w:val="00620C88"/>
    <w:rsid w:val="00623948"/>
    <w:rsid w:val="00631EA6"/>
    <w:rsid w:val="006341C0"/>
    <w:rsid w:val="006341F9"/>
    <w:rsid w:val="00637414"/>
    <w:rsid w:val="0065286D"/>
    <w:rsid w:val="00657EB9"/>
    <w:rsid w:val="0066741E"/>
    <w:rsid w:val="0068088D"/>
    <w:rsid w:val="006821F2"/>
    <w:rsid w:val="006A5B9F"/>
    <w:rsid w:val="006D5D86"/>
    <w:rsid w:val="006E354A"/>
    <w:rsid w:val="006E5BF9"/>
    <w:rsid w:val="006E6DA4"/>
    <w:rsid w:val="006F38C8"/>
    <w:rsid w:val="006F7E67"/>
    <w:rsid w:val="007075BF"/>
    <w:rsid w:val="0071721A"/>
    <w:rsid w:val="007222C0"/>
    <w:rsid w:val="0073074F"/>
    <w:rsid w:val="007333D2"/>
    <w:rsid w:val="007341AB"/>
    <w:rsid w:val="00734BE0"/>
    <w:rsid w:val="0075379B"/>
    <w:rsid w:val="007537ED"/>
    <w:rsid w:val="00762C2E"/>
    <w:rsid w:val="00770A94"/>
    <w:rsid w:val="00771F02"/>
    <w:rsid w:val="00774A03"/>
    <w:rsid w:val="007858D2"/>
    <w:rsid w:val="007876EA"/>
    <w:rsid w:val="00793008"/>
    <w:rsid w:val="00795119"/>
    <w:rsid w:val="007A04FE"/>
    <w:rsid w:val="007A700E"/>
    <w:rsid w:val="007B1AED"/>
    <w:rsid w:val="007B66E9"/>
    <w:rsid w:val="007C2E1B"/>
    <w:rsid w:val="007C46F8"/>
    <w:rsid w:val="007D21AA"/>
    <w:rsid w:val="007D3EDF"/>
    <w:rsid w:val="007D5111"/>
    <w:rsid w:val="007D5D56"/>
    <w:rsid w:val="007E0687"/>
    <w:rsid w:val="007E5E72"/>
    <w:rsid w:val="007E7C59"/>
    <w:rsid w:val="008032D6"/>
    <w:rsid w:val="0081769D"/>
    <w:rsid w:val="00826FE6"/>
    <w:rsid w:val="00833625"/>
    <w:rsid w:val="0083618E"/>
    <w:rsid w:val="00842E45"/>
    <w:rsid w:val="00850847"/>
    <w:rsid w:val="00851BE8"/>
    <w:rsid w:val="00865F03"/>
    <w:rsid w:val="008666EE"/>
    <w:rsid w:val="008866D2"/>
    <w:rsid w:val="008A202E"/>
    <w:rsid w:val="008A2C51"/>
    <w:rsid w:val="008A37BA"/>
    <w:rsid w:val="008B0F9A"/>
    <w:rsid w:val="008B3174"/>
    <w:rsid w:val="008B362A"/>
    <w:rsid w:val="008B68A4"/>
    <w:rsid w:val="008B690A"/>
    <w:rsid w:val="008B72C1"/>
    <w:rsid w:val="008C1FB2"/>
    <w:rsid w:val="008C7474"/>
    <w:rsid w:val="008D0270"/>
    <w:rsid w:val="008E5A18"/>
    <w:rsid w:val="008F43B1"/>
    <w:rsid w:val="009072FE"/>
    <w:rsid w:val="0091011B"/>
    <w:rsid w:val="009261DF"/>
    <w:rsid w:val="00934CBA"/>
    <w:rsid w:val="00935BBE"/>
    <w:rsid w:val="0094515B"/>
    <w:rsid w:val="00945769"/>
    <w:rsid w:val="0096291B"/>
    <w:rsid w:val="00963608"/>
    <w:rsid w:val="009644DB"/>
    <w:rsid w:val="009828CB"/>
    <w:rsid w:val="009861E7"/>
    <w:rsid w:val="0098751A"/>
    <w:rsid w:val="009B0B27"/>
    <w:rsid w:val="009B6283"/>
    <w:rsid w:val="009D4A77"/>
    <w:rsid w:val="009E368F"/>
    <w:rsid w:val="009F777D"/>
    <w:rsid w:val="00A02BF4"/>
    <w:rsid w:val="00A04A65"/>
    <w:rsid w:val="00A1056E"/>
    <w:rsid w:val="00A10787"/>
    <w:rsid w:val="00A15165"/>
    <w:rsid w:val="00A15DB5"/>
    <w:rsid w:val="00A20CD1"/>
    <w:rsid w:val="00A24B8B"/>
    <w:rsid w:val="00A3192B"/>
    <w:rsid w:val="00A32BB8"/>
    <w:rsid w:val="00A36C96"/>
    <w:rsid w:val="00A40692"/>
    <w:rsid w:val="00A5677F"/>
    <w:rsid w:val="00A5720F"/>
    <w:rsid w:val="00A933F8"/>
    <w:rsid w:val="00AA0BDC"/>
    <w:rsid w:val="00AA46C9"/>
    <w:rsid w:val="00AA55C2"/>
    <w:rsid w:val="00AB1527"/>
    <w:rsid w:val="00AB1CE0"/>
    <w:rsid w:val="00AC42D3"/>
    <w:rsid w:val="00AD1450"/>
    <w:rsid w:val="00AD1F2B"/>
    <w:rsid w:val="00AD7323"/>
    <w:rsid w:val="00AE3963"/>
    <w:rsid w:val="00AF5066"/>
    <w:rsid w:val="00B01ABC"/>
    <w:rsid w:val="00B16287"/>
    <w:rsid w:val="00B16FF4"/>
    <w:rsid w:val="00B23ABC"/>
    <w:rsid w:val="00B2796C"/>
    <w:rsid w:val="00B3305E"/>
    <w:rsid w:val="00B3666D"/>
    <w:rsid w:val="00B3710C"/>
    <w:rsid w:val="00B4766F"/>
    <w:rsid w:val="00B53FAA"/>
    <w:rsid w:val="00B808B0"/>
    <w:rsid w:val="00B863E5"/>
    <w:rsid w:val="00BB3192"/>
    <w:rsid w:val="00BB459A"/>
    <w:rsid w:val="00BC6B21"/>
    <w:rsid w:val="00BD1455"/>
    <w:rsid w:val="00BD568E"/>
    <w:rsid w:val="00BE25EC"/>
    <w:rsid w:val="00BF1540"/>
    <w:rsid w:val="00C00AB7"/>
    <w:rsid w:val="00C12893"/>
    <w:rsid w:val="00C2709A"/>
    <w:rsid w:val="00C27EBE"/>
    <w:rsid w:val="00C32C12"/>
    <w:rsid w:val="00C36EAF"/>
    <w:rsid w:val="00C417BD"/>
    <w:rsid w:val="00C602C4"/>
    <w:rsid w:val="00C64CCF"/>
    <w:rsid w:val="00C6758B"/>
    <w:rsid w:val="00C702AD"/>
    <w:rsid w:val="00C869D6"/>
    <w:rsid w:val="00C91131"/>
    <w:rsid w:val="00C96716"/>
    <w:rsid w:val="00CA24DE"/>
    <w:rsid w:val="00CB0C0D"/>
    <w:rsid w:val="00CD5FEE"/>
    <w:rsid w:val="00CD6ED7"/>
    <w:rsid w:val="00CD7C9B"/>
    <w:rsid w:val="00D04C6E"/>
    <w:rsid w:val="00D11892"/>
    <w:rsid w:val="00D21FFE"/>
    <w:rsid w:val="00D2445C"/>
    <w:rsid w:val="00D32379"/>
    <w:rsid w:val="00D42DF5"/>
    <w:rsid w:val="00D55DF6"/>
    <w:rsid w:val="00D6025E"/>
    <w:rsid w:val="00D606D2"/>
    <w:rsid w:val="00D6545F"/>
    <w:rsid w:val="00D66743"/>
    <w:rsid w:val="00D82F9C"/>
    <w:rsid w:val="00D95223"/>
    <w:rsid w:val="00DA18AB"/>
    <w:rsid w:val="00DA4C99"/>
    <w:rsid w:val="00DA58E6"/>
    <w:rsid w:val="00DA5FFB"/>
    <w:rsid w:val="00DB0B73"/>
    <w:rsid w:val="00DB2202"/>
    <w:rsid w:val="00DC3ACB"/>
    <w:rsid w:val="00DC6957"/>
    <w:rsid w:val="00DC71CA"/>
    <w:rsid w:val="00DE6B1E"/>
    <w:rsid w:val="00DF02F7"/>
    <w:rsid w:val="00DF355D"/>
    <w:rsid w:val="00DF7A99"/>
    <w:rsid w:val="00E05F27"/>
    <w:rsid w:val="00E23128"/>
    <w:rsid w:val="00E24FDE"/>
    <w:rsid w:val="00E26B3A"/>
    <w:rsid w:val="00E3239E"/>
    <w:rsid w:val="00E4007F"/>
    <w:rsid w:val="00E44EE8"/>
    <w:rsid w:val="00E50C14"/>
    <w:rsid w:val="00E53B9B"/>
    <w:rsid w:val="00E57FA1"/>
    <w:rsid w:val="00E6687D"/>
    <w:rsid w:val="00E82720"/>
    <w:rsid w:val="00EA4A1D"/>
    <w:rsid w:val="00EC2FF1"/>
    <w:rsid w:val="00EC70D0"/>
    <w:rsid w:val="00ED4357"/>
    <w:rsid w:val="00ED7E48"/>
    <w:rsid w:val="00EE3C6B"/>
    <w:rsid w:val="00EE6258"/>
    <w:rsid w:val="00F12732"/>
    <w:rsid w:val="00F1667D"/>
    <w:rsid w:val="00F20E3B"/>
    <w:rsid w:val="00F27866"/>
    <w:rsid w:val="00F307D5"/>
    <w:rsid w:val="00F33C24"/>
    <w:rsid w:val="00F36C81"/>
    <w:rsid w:val="00F37974"/>
    <w:rsid w:val="00F5367F"/>
    <w:rsid w:val="00F5785E"/>
    <w:rsid w:val="00F66CD0"/>
    <w:rsid w:val="00F77AB2"/>
    <w:rsid w:val="00F81057"/>
    <w:rsid w:val="00F94591"/>
    <w:rsid w:val="00FA298E"/>
    <w:rsid w:val="00FA3A71"/>
    <w:rsid w:val="00FB5A18"/>
    <w:rsid w:val="00FF48C4"/>
    <w:rsid w:val="00FF6CEE"/>
    <w:rsid w:val="00FF758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10CE2"/>
  <w15:chartTrackingRefBased/>
  <w15:docId w15:val="{3A29982B-805C-DD43-8C26-CDC87C44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S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55D"/>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15DB5"/>
    <w:pPr>
      <w:jc w:val="center"/>
    </w:pPr>
    <w:rPr>
      <w:rFonts w:ascii="Calibri" w:eastAsia="SimSun" w:hAnsi="Calibri" w:cs="Calibri"/>
      <w:kern w:val="2"/>
      <w:lang w:val="en-US" w:eastAsia="en-US"/>
      <w14:ligatures w14:val="standardContextual"/>
    </w:rPr>
  </w:style>
  <w:style w:type="character" w:customStyle="1" w:styleId="EndNoteBibliographyTitleChar">
    <w:name w:val="EndNote Bibliography Title Char"/>
    <w:basedOn w:val="DefaultParagraphFont"/>
    <w:link w:val="EndNoteBibliographyTitle"/>
    <w:rsid w:val="00A15DB5"/>
    <w:rPr>
      <w:rFonts w:ascii="Calibri" w:hAnsi="Calibri" w:cs="Calibri"/>
      <w:lang w:val="en-US"/>
    </w:rPr>
  </w:style>
  <w:style w:type="paragraph" w:customStyle="1" w:styleId="EndNoteBibliography">
    <w:name w:val="EndNote Bibliography"/>
    <w:basedOn w:val="Normal"/>
    <w:link w:val="EndNoteBibliographyChar"/>
    <w:rsid w:val="00A15DB5"/>
    <w:pPr>
      <w:jc w:val="both"/>
    </w:pPr>
    <w:rPr>
      <w:rFonts w:ascii="Calibri" w:eastAsia="SimSun" w:hAnsi="Calibri" w:cs="Calibri"/>
      <w:kern w:val="2"/>
      <w:lang w:val="en-US" w:eastAsia="en-US"/>
      <w14:ligatures w14:val="standardContextual"/>
    </w:rPr>
  </w:style>
  <w:style w:type="character" w:customStyle="1" w:styleId="EndNoteBibliographyChar">
    <w:name w:val="EndNote Bibliography Char"/>
    <w:basedOn w:val="DefaultParagraphFont"/>
    <w:link w:val="EndNoteBibliography"/>
    <w:rsid w:val="00A15DB5"/>
    <w:rPr>
      <w:rFonts w:ascii="Calibri" w:hAnsi="Calibri" w:cs="Calibri"/>
      <w:lang w:val="en-US"/>
    </w:rPr>
  </w:style>
  <w:style w:type="character" w:styleId="Hyperlink">
    <w:name w:val="Hyperlink"/>
    <w:basedOn w:val="DefaultParagraphFont"/>
    <w:uiPriority w:val="99"/>
    <w:unhideWhenUsed/>
    <w:rsid w:val="00D95223"/>
    <w:rPr>
      <w:color w:val="0563C1" w:themeColor="hyperlink"/>
      <w:u w:val="single"/>
    </w:rPr>
  </w:style>
  <w:style w:type="character" w:styleId="UnresolvedMention">
    <w:name w:val="Unresolved Mention"/>
    <w:basedOn w:val="DefaultParagraphFont"/>
    <w:uiPriority w:val="99"/>
    <w:semiHidden/>
    <w:unhideWhenUsed/>
    <w:rsid w:val="00D95223"/>
    <w:rPr>
      <w:color w:val="605E5C"/>
      <w:shd w:val="clear" w:color="auto" w:fill="E1DFDD"/>
    </w:rPr>
  </w:style>
  <w:style w:type="paragraph" w:customStyle="1" w:styleId="para">
    <w:name w:val="para"/>
    <w:basedOn w:val="Normal"/>
    <w:rsid w:val="008666EE"/>
    <w:pPr>
      <w:spacing w:before="100" w:beforeAutospacing="1" w:after="100" w:afterAutospacing="1"/>
    </w:pPr>
  </w:style>
  <w:style w:type="character" w:styleId="FollowedHyperlink">
    <w:name w:val="FollowedHyperlink"/>
    <w:basedOn w:val="DefaultParagraphFont"/>
    <w:uiPriority w:val="99"/>
    <w:semiHidden/>
    <w:unhideWhenUsed/>
    <w:rsid w:val="008666EE"/>
    <w:rPr>
      <w:color w:val="954F72" w:themeColor="followedHyperlink"/>
      <w:u w:val="single"/>
    </w:rPr>
  </w:style>
  <w:style w:type="paragraph" w:styleId="ListParagraph">
    <w:name w:val="List Paragraph"/>
    <w:basedOn w:val="Normal"/>
    <w:uiPriority w:val="34"/>
    <w:qFormat/>
    <w:rsid w:val="00F81057"/>
    <w:pPr>
      <w:ind w:left="720"/>
      <w:contextualSpacing/>
    </w:pPr>
    <w:rPr>
      <w:rFonts w:asciiTheme="minorHAnsi" w:eastAsia="SimSun" w:hAnsiTheme="minorHAnsi" w:cstheme="minorBidi"/>
      <w:kern w:val="2"/>
      <w:lang w:eastAsia="en-US"/>
      <w14:ligatures w14:val="standardContextual"/>
    </w:rPr>
  </w:style>
  <w:style w:type="table" w:styleId="TableGrid">
    <w:name w:val="Table Grid"/>
    <w:basedOn w:val="TableNormal"/>
    <w:uiPriority w:val="39"/>
    <w:rsid w:val="00170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007F"/>
    <w:pPr>
      <w:tabs>
        <w:tab w:val="center" w:pos="4513"/>
        <w:tab w:val="right" w:pos="9026"/>
      </w:tabs>
    </w:pPr>
    <w:rPr>
      <w:rFonts w:asciiTheme="minorHAnsi" w:eastAsia="SimSun"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E4007F"/>
  </w:style>
  <w:style w:type="paragraph" w:styleId="Footer">
    <w:name w:val="footer"/>
    <w:basedOn w:val="Normal"/>
    <w:link w:val="FooterChar"/>
    <w:uiPriority w:val="99"/>
    <w:unhideWhenUsed/>
    <w:rsid w:val="00E4007F"/>
    <w:pPr>
      <w:tabs>
        <w:tab w:val="center" w:pos="4513"/>
        <w:tab w:val="right" w:pos="9026"/>
      </w:tabs>
    </w:pPr>
    <w:rPr>
      <w:rFonts w:asciiTheme="minorHAnsi" w:eastAsia="SimSun"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E4007F"/>
  </w:style>
  <w:style w:type="paragraph" w:styleId="NormalWeb">
    <w:name w:val="Normal (Web)"/>
    <w:basedOn w:val="Normal"/>
    <w:uiPriority w:val="99"/>
    <w:semiHidden/>
    <w:unhideWhenUsed/>
    <w:rsid w:val="003965A9"/>
    <w:pPr>
      <w:spacing w:before="100" w:beforeAutospacing="1" w:after="100" w:afterAutospacing="1"/>
    </w:pPr>
  </w:style>
  <w:style w:type="table" w:styleId="GridTable6Colorful">
    <w:name w:val="Grid Table 6 Colorful"/>
    <w:basedOn w:val="TableNormal"/>
    <w:uiPriority w:val="51"/>
    <w:rsid w:val="00FB5A1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FB5A1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FB5A1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CommentReference">
    <w:name w:val="annotation reference"/>
    <w:basedOn w:val="DefaultParagraphFont"/>
    <w:uiPriority w:val="99"/>
    <w:semiHidden/>
    <w:unhideWhenUsed/>
    <w:rsid w:val="00DA4C99"/>
    <w:rPr>
      <w:sz w:val="16"/>
      <w:szCs w:val="16"/>
    </w:rPr>
  </w:style>
  <w:style w:type="paragraph" w:styleId="CommentText">
    <w:name w:val="annotation text"/>
    <w:basedOn w:val="Normal"/>
    <w:link w:val="CommentTextChar"/>
    <w:uiPriority w:val="99"/>
    <w:unhideWhenUsed/>
    <w:rsid w:val="00DA4C99"/>
    <w:rPr>
      <w:rFonts w:asciiTheme="minorHAnsi" w:eastAsia="SimSun"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DA4C99"/>
    <w:rPr>
      <w:sz w:val="20"/>
      <w:szCs w:val="20"/>
    </w:rPr>
  </w:style>
  <w:style w:type="paragraph" w:styleId="CommentSubject">
    <w:name w:val="annotation subject"/>
    <w:basedOn w:val="CommentText"/>
    <w:next w:val="CommentText"/>
    <w:link w:val="CommentSubjectChar"/>
    <w:uiPriority w:val="99"/>
    <w:semiHidden/>
    <w:unhideWhenUsed/>
    <w:rsid w:val="00DA4C99"/>
    <w:rPr>
      <w:b/>
      <w:bCs/>
    </w:rPr>
  </w:style>
  <w:style w:type="character" w:customStyle="1" w:styleId="CommentSubjectChar">
    <w:name w:val="Comment Subject Char"/>
    <w:basedOn w:val="CommentTextChar"/>
    <w:link w:val="CommentSubject"/>
    <w:uiPriority w:val="99"/>
    <w:semiHidden/>
    <w:rsid w:val="00DA4C99"/>
    <w:rPr>
      <w:b/>
      <w:bCs/>
      <w:sz w:val="20"/>
      <w:szCs w:val="20"/>
    </w:rPr>
  </w:style>
  <w:style w:type="paragraph" w:styleId="Revision">
    <w:name w:val="Revision"/>
    <w:hidden/>
    <w:uiPriority w:val="99"/>
    <w:semiHidden/>
    <w:rsid w:val="00103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1860">
      <w:bodyDiv w:val="1"/>
      <w:marLeft w:val="0"/>
      <w:marRight w:val="0"/>
      <w:marTop w:val="0"/>
      <w:marBottom w:val="0"/>
      <w:divBdr>
        <w:top w:val="none" w:sz="0" w:space="0" w:color="auto"/>
        <w:left w:val="none" w:sz="0" w:space="0" w:color="auto"/>
        <w:bottom w:val="none" w:sz="0" w:space="0" w:color="auto"/>
        <w:right w:val="none" w:sz="0" w:space="0" w:color="auto"/>
      </w:divBdr>
    </w:div>
    <w:div w:id="58094392">
      <w:bodyDiv w:val="1"/>
      <w:marLeft w:val="0"/>
      <w:marRight w:val="0"/>
      <w:marTop w:val="0"/>
      <w:marBottom w:val="0"/>
      <w:divBdr>
        <w:top w:val="none" w:sz="0" w:space="0" w:color="auto"/>
        <w:left w:val="none" w:sz="0" w:space="0" w:color="auto"/>
        <w:bottom w:val="none" w:sz="0" w:space="0" w:color="auto"/>
        <w:right w:val="none" w:sz="0" w:space="0" w:color="auto"/>
      </w:divBdr>
      <w:divsChild>
        <w:div w:id="1664771740">
          <w:marLeft w:val="0"/>
          <w:marRight w:val="0"/>
          <w:marTop w:val="0"/>
          <w:marBottom w:val="0"/>
          <w:divBdr>
            <w:top w:val="none" w:sz="0" w:space="0" w:color="auto"/>
            <w:left w:val="none" w:sz="0" w:space="0" w:color="auto"/>
            <w:bottom w:val="none" w:sz="0" w:space="0" w:color="auto"/>
            <w:right w:val="none" w:sz="0" w:space="0" w:color="auto"/>
          </w:divBdr>
          <w:divsChild>
            <w:div w:id="1150708409">
              <w:marLeft w:val="0"/>
              <w:marRight w:val="0"/>
              <w:marTop w:val="0"/>
              <w:marBottom w:val="0"/>
              <w:divBdr>
                <w:top w:val="none" w:sz="0" w:space="0" w:color="auto"/>
                <w:left w:val="none" w:sz="0" w:space="0" w:color="auto"/>
                <w:bottom w:val="none" w:sz="0" w:space="0" w:color="auto"/>
                <w:right w:val="none" w:sz="0" w:space="0" w:color="auto"/>
              </w:divBdr>
              <w:divsChild>
                <w:div w:id="1636331176">
                  <w:marLeft w:val="0"/>
                  <w:marRight w:val="0"/>
                  <w:marTop w:val="0"/>
                  <w:marBottom w:val="0"/>
                  <w:divBdr>
                    <w:top w:val="none" w:sz="0" w:space="0" w:color="auto"/>
                    <w:left w:val="none" w:sz="0" w:space="0" w:color="auto"/>
                    <w:bottom w:val="none" w:sz="0" w:space="0" w:color="auto"/>
                    <w:right w:val="none" w:sz="0" w:space="0" w:color="auto"/>
                  </w:divBdr>
                  <w:divsChild>
                    <w:div w:id="13345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5845">
      <w:bodyDiv w:val="1"/>
      <w:marLeft w:val="0"/>
      <w:marRight w:val="0"/>
      <w:marTop w:val="0"/>
      <w:marBottom w:val="0"/>
      <w:divBdr>
        <w:top w:val="none" w:sz="0" w:space="0" w:color="auto"/>
        <w:left w:val="none" w:sz="0" w:space="0" w:color="auto"/>
        <w:bottom w:val="none" w:sz="0" w:space="0" w:color="auto"/>
        <w:right w:val="none" w:sz="0" w:space="0" w:color="auto"/>
      </w:divBdr>
    </w:div>
    <w:div w:id="153375723">
      <w:bodyDiv w:val="1"/>
      <w:marLeft w:val="360"/>
      <w:marRight w:val="360"/>
      <w:marTop w:val="360"/>
      <w:marBottom w:val="360"/>
      <w:divBdr>
        <w:top w:val="none" w:sz="0" w:space="0" w:color="auto"/>
        <w:left w:val="none" w:sz="0" w:space="0" w:color="auto"/>
        <w:bottom w:val="none" w:sz="0" w:space="0" w:color="auto"/>
        <w:right w:val="none" w:sz="0" w:space="0" w:color="auto"/>
      </w:divBdr>
    </w:div>
    <w:div w:id="224074387">
      <w:bodyDiv w:val="1"/>
      <w:marLeft w:val="0"/>
      <w:marRight w:val="0"/>
      <w:marTop w:val="0"/>
      <w:marBottom w:val="0"/>
      <w:divBdr>
        <w:top w:val="none" w:sz="0" w:space="0" w:color="auto"/>
        <w:left w:val="none" w:sz="0" w:space="0" w:color="auto"/>
        <w:bottom w:val="none" w:sz="0" w:space="0" w:color="auto"/>
        <w:right w:val="none" w:sz="0" w:space="0" w:color="auto"/>
      </w:divBdr>
    </w:div>
    <w:div w:id="231702374">
      <w:bodyDiv w:val="1"/>
      <w:marLeft w:val="0"/>
      <w:marRight w:val="0"/>
      <w:marTop w:val="0"/>
      <w:marBottom w:val="0"/>
      <w:divBdr>
        <w:top w:val="none" w:sz="0" w:space="0" w:color="auto"/>
        <w:left w:val="none" w:sz="0" w:space="0" w:color="auto"/>
        <w:bottom w:val="none" w:sz="0" w:space="0" w:color="auto"/>
        <w:right w:val="none" w:sz="0" w:space="0" w:color="auto"/>
      </w:divBdr>
    </w:div>
    <w:div w:id="343097953">
      <w:bodyDiv w:val="1"/>
      <w:marLeft w:val="0"/>
      <w:marRight w:val="0"/>
      <w:marTop w:val="0"/>
      <w:marBottom w:val="0"/>
      <w:divBdr>
        <w:top w:val="none" w:sz="0" w:space="0" w:color="auto"/>
        <w:left w:val="none" w:sz="0" w:space="0" w:color="auto"/>
        <w:bottom w:val="none" w:sz="0" w:space="0" w:color="auto"/>
        <w:right w:val="none" w:sz="0" w:space="0" w:color="auto"/>
      </w:divBdr>
    </w:div>
    <w:div w:id="357438292">
      <w:bodyDiv w:val="1"/>
      <w:marLeft w:val="0"/>
      <w:marRight w:val="0"/>
      <w:marTop w:val="0"/>
      <w:marBottom w:val="0"/>
      <w:divBdr>
        <w:top w:val="none" w:sz="0" w:space="0" w:color="auto"/>
        <w:left w:val="none" w:sz="0" w:space="0" w:color="auto"/>
        <w:bottom w:val="none" w:sz="0" w:space="0" w:color="auto"/>
        <w:right w:val="none" w:sz="0" w:space="0" w:color="auto"/>
      </w:divBdr>
    </w:div>
    <w:div w:id="363096251">
      <w:bodyDiv w:val="1"/>
      <w:marLeft w:val="0"/>
      <w:marRight w:val="0"/>
      <w:marTop w:val="0"/>
      <w:marBottom w:val="0"/>
      <w:divBdr>
        <w:top w:val="none" w:sz="0" w:space="0" w:color="auto"/>
        <w:left w:val="none" w:sz="0" w:space="0" w:color="auto"/>
        <w:bottom w:val="none" w:sz="0" w:space="0" w:color="auto"/>
        <w:right w:val="none" w:sz="0" w:space="0" w:color="auto"/>
      </w:divBdr>
    </w:div>
    <w:div w:id="373501477">
      <w:bodyDiv w:val="1"/>
      <w:marLeft w:val="0"/>
      <w:marRight w:val="0"/>
      <w:marTop w:val="0"/>
      <w:marBottom w:val="0"/>
      <w:divBdr>
        <w:top w:val="none" w:sz="0" w:space="0" w:color="auto"/>
        <w:left w:val="none" w:sz="0" w:space="0" w:color="auto"/>
        <w:bottom w:val="none" w:sz="0" w:space="0" w:color="auto"/>
        <w:right w:val="none" w:sz="0" w:space="0" w:color="auto"/>
      </w:divBdr>
    </w:div>
    <w:div w:id="393892483">
      <w:bodyDiv w:val="1"/>
      <w:marLeft w:val="0"/>
      <w:marRight w:val="0"/>
      <w:marTop w:val="0"/>
      <w:marBottom w:val="0"/>
      <w:divBdr>
        <w:top w:val="none" w:sz="0" w:space="0" w:color="auto"/>
        <w:left w:val="none" w:sz="0" w:space="0" w:color="auto"/>
        <w:bottom w:val="none" w:sz="0" w:space="0" w:color="auto"/>
        <w:right w:val="none" w:sz="0" w:space="0" w:color="auto"/>
      </w:divBdr>
    </w:div>
    <w:div w:id="428089181">
      <w:bodyDiv w:val="1"/>
      <w:marLeft w:val="0"/>
      <w:marRight w:val="0"/>
      <w:marTop w:val="0"/>
      <w:marBottom w:val="0"/>
      <w:divBdr>
        <w:top w:val="none" w:sz="0" w:space="0" w:color="auto"/>
        <w:left w:val="none" w:sz="0" w:space="0" w:color="auto"/>
        <w:bottom w:val="none" w:sz="0" w:space="0" w:color="auto"/>
        <w:right w:val="none" w:sz="0" w:space="0" w:color="auto"/>
      </w:divBdr>
    </w:div>
    <w:div w:id="456992188">
      <w:bodyDiv w:val="1"/>
      <w:marLeft w:val="0"/>
      <w:marRight w:val="0"/>
      <w:marTop w:val="0"/>
      <w:marBottom w:val="0"/>
      <w:divBdr>
        <w:top w:val="none" w:sz="0" w:space="0" w:color="auto"/>
        <w:left w:val="none" w:sz="0" w:space="0" w:color="auto"/>
        <w:bottom w:val="none" w:sz="0" w:space="0" w:color="auto"/>
        <w:right w:val="none" w:sz="0" w:space="0" w:color="auto"/>
      </w:divBdr>
      <w:divsChild>
        <w:div w:id="255790930">
          <w:marLeft w:val="0"/>
          <w:marRight w:val="0"/>
          <w:marTop w:val="0"/>
          <w:marBottom w:val="0"/>
          <w:divBdr>
            <w:top w:val="single" w:sz="2" w:space="0" w:color="D9D9E3"/>
            <w:left w:val="single" w:sz="2" w:space="0" w:color="D9D9E3"/>
            <w:bottom w:val="single" w:sz="2" w:space="0" w:color="D9D9E3"/>
            <w:right w:val="single" w:sz="2" w:space="0" w:color="D9D9E3"/>
          </w:divBdr>
          <w:divsChild>
            <w:div w:id="41366455">
              <w:marLeft w:val="0"/>
              <w:marRight w:val="0"/>
              <w:marTop w:val="0"/>
              <w:marBottom w:val="0"/>
              <w:divBdr>
                <w:top w:val="single" w:sz="2" w:space="0" w:color="D9D9E3"/>
                <w:left w:val="single" w:sz="2" w:space="0" w:color="D9D9E3"/>
                <w:bottom w:val="single" w:sz="2" w:space="0" w:color="D9D9E3"/>
                <w:right w:val="single" w:sz="2" w:space="0" w:color="D9D9E3"/>
              </w:divBdr>
              <w:divsChild>
                <w:div w:id="1287735771">
                  <w:marLeft w:val="0"/>
                  <w:marRight w:val="0"/>
                  <w:marTop w:val="0"/>
                  <w:marBottom w:val="0"/>
                  <w:divBdr>
                    <w:top w:val="single" w:sz="2" w:space="0" w:color="D9D9E3"/>
                    <w:left w:val="single" w:sz="2" w:space="0" w:color="D9D9E3"/>
                    <w:bottom w:val="single" w:sz="2" w:space="0" w:color="D9D9E3"/>
                    <w:right w:val="single" w:sz="2" w:space="0" w:color="D9D9E3"/>
                  </w:divBdr>
                  <w:divsChild>
                    <w:div w:id="761142693">
                      <w:marLeft w:val="0"/>
                      <w:marRight w:val="0"/>
                      <w:marTop w:val="0"/>
                      <w:marBottom w:val="0"/>
                      <w:divBdr>
                        <w:top w:val="single" w:sz="2" w:space="0" w:color="D9D9E3"/>
                        <w:left w:val="single" w:sz="2" w:space="0" w:color="D9D9E3"/>
                        <w:bottom w:val="single" w:sz="2" w:space="0" w:color="D9D9E3"/>
                        <w:right w:val="single" w:sz="2" w:space="0" w:color="D9D9E3"/>
                      </w:divBdr>
                      <w:divsChild>
                        <w:div w:id="774058656">
                          <w:marLeft w:val="0"/>
                          <w:marRight w:val="0"/>
                          <w:marTop w:val="0"/>
                          <w:marBottom w:val="0"/>
                          <w:divBdr>
                            <w:top w:val="single" w:sz="2" w:space="0" w:color="D9D9E3"/>
                            <w:left w:val="single" w:sz="2" w:space="0" w:color="D9D9E3"/>
                            <w:bottom w:val="single" w:sz="2" w:space="0" w:color="D9D9E3"/>
                            <w:right w:val="single" w:sz="2" w:space="0" w:color="D9D9E3"/>
                          </w:divBdr>
                          <w:divsChild>
                            <w:div w:id="437139815">
                              <w:marLeft w:val="0"/>
                              <w:marRight w:val="0"/>
                              <w:marTop w:val="100"/>
                              <w:marBottom w:val="100"/>
                              <w:divBdr>
                                <w:top w:val="single" w:sz="2" w:space="0" w:color="D9D9E3"/>
                                <w:left w:val="single" w:sz="2" w:space="0" w:color="D9D9E3"/>
                                <w:bottom w:val="single" w:sz="2" w:space="0" w:color="D9D9E3"/>
                                <w:right w:val="single" w:sz="2" w:space="0" w:color="D9D9E3"/>
                              </w:divBdr>
                              <w:divsChild>
                                <w:div w:id="750007594">
                                  <w:marLeft w:val="0"/>
                                  <w:marRight w:val="0"/>
                                  <w:marTop w:val="0"/>
                                  <w:marBottom w:val="0"/>
                                  <w:divBdr>
                                    <w:top w:val="single" w:sz="2" w:space="0" w:color="D9D9E3"/>
                                    <w:left w:val="single" w:sz="2" w:space="0" w:color="D9D9E3"/>
                                    <w:bottom w:val="single" w:sz="2" w:space="0" w:color="D9D9E3"/>
                                    <w:right w:val="single" w:sz="2" w:space="0" w:color="D9D9E3"/>
                                  </w:divBdr>
                                  <w:divsChild>
                                    <w:div w:id="1992902305">
                                      <w:marLeft w:val="0"/>
                                      <w:marRight w:val="0"/>
                                      <w:marTop w:val="0"/>
                                      <w:marBottom w:val="0"/>
                                      <w:divBdr>
                                        <w:top w:val="single" w:sz="2" w:space="0" w:color="D9D9E3"/>
                                        <w:left w:val="single" w:sz="2" w:space="0" w:color="D9D9E3"/>
                                        <w:bottom w:val="single" w:sz="2" w:space="0" w:color="D9D9E3"/>
                                        <w:right w:val="single" w:sz="2" w:space="0" w:color="D9D9E3"/>
                                      </w:divBdr>
                                      <w:divsChild>
                                        <w:div w:id="1183593252">
                                          <w:marLeft w:val="0"/>
                                          <w:marRight w:val="0"/>
                                          <w:marTop w:val="0"/>
                                          <w:marBottom w:val="0"/>
                                          <w:divBdr>
                                            <w:top w:val="single" w:sz="2" w:space="0" w:color="D9D9E3"/>
                                            <w:left w:val="single" w:sz="2" w:space="0" w:color="D9D9E3"/>
                                            <w:bottom w:val="single" w:sz="2" w:space="0" w:color="D9D9E3"/>
                                            <w:right w:val="single" w:sz="2" w:space="0" w:color="D9D9E3"/>
                                          </w:divBdr>
                                          <w:divsChild>
                                            <w:div w:id="1958826555">
                                              <w:marLeft w:val="0"/>
                                              <w:marRight w:val="0"/>
                                              <w:marTop w:val="0"/>
                                              <w:marBottom w:val="0"/>
                                              <w:divBdr>
                                                <w:top w:val="single" w:sz="2" w:space="0" w:color="D9D9E3"/>
                                                <w:left w:val="single" w:sz="2" w:space="0" w:color="D9D9E3"/>
                                                <w:bottom w:val="single" w:sz="2" w:space="0" w:color="D9D9E3"/>
                                                <w:right w:val="single" w:sz="2" w:space="0" w:color="D9D9E3"/>
                                              </w:divBdr>
                                              <w:divsChild>
                                                <w:div w:id="528687523">
                                                  <w:marLeft w:val="0"/>
                                                  <w:marRight w:val="0"/>
                                                  <w:marTop w:val="0"/>
                                                  <w:marBottom w:val="0"/>
                                                  <w:divBdr>
                                                    <w:top w:val="single" w:sz="2" w:space="0" w:color="D9D9E3"/>
                                                    <w:left w:val="single" w:sz="2" w:space="0" w:color="D9D9E3"/>
                                                    <w:bottom w:val="single" w:sz="2" w:space="0" w:color="D9D9E3"/>
                                                    <w:right w:val="single" w:sz="2" w:space="0" w:color="D9D9E3"/>
                                                  </w:divBdr>
                                                  <w:divsChild>
                                                    <w:div w:id="1401961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55609341">
          <w:marLeft w:val="0"/>
          <w:marRight w:val="0"/>
          <w:marTop w:val="0"/>
          <w:marBottom w:val="0"/>
          <w:divBdr>
            <w:top w:val="none" w:sz="0" w:space="0" w:color="auto"/>
            <w:left w:val="none" w:sz="0" w:space="0" w:color="auto"/>
            <w:bottom w:val="none" w:sz="0" w:space="0" w:color="auto"/>
            <w:right w:val="none" w:sz="0" w:space="0" w:color="auto"/>
          </w:divBdr>
          <w:divsChild>
            <w:div w:id="1571884502">
              <w:marLeft w:val="0"/>
              <w:marRight w:val="0"/>
              <w:marTop w:val="0"/>
              <w:marBottom w:val="0"/>
              <w:divBdr>
                <w:top w:val="single" w:sz="2" w:space="0" w:color="D9D9E3"/>
                <w:left w:val="single" w:sz="2" w:space="0" w:color="D9D9E3"/>
                <w:bottom w:val="single" w:sz="2" w:space="0" w:color="D9D9E3"/>
                <w:right w:val="single" w:sz="2" w:space="0" w:color="D9D9E3"/>
              </w:divBdr>
              <w:divsChild>
                <w:div w:id="10608340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483592571">
      <w:bodyDiv w:val="1"/>
      <w:marLeft w:val="0"/>
      <w:marRight w:val="0"/>
      <w:marTop w:val="0"/>
      <w:marBottom w:val="0"/>
      <w:divBdr>
        <w:top w:val="none" w:sz="0" w:space="0" w:color="auto"/>
        <w:left w:val="none" w:sz="0" w:space="0" w:color="auto"/>
        <w:bottom w:val="none" w:sz="0" w:space="0" w:color="auto"/>
        <w:right w:val="none" w:sz="0" w:space="0" w:color="auto"/>
      </w:divBdr>
      <w:divsChild>
        <w:div w:id="1322781659">
          <w:marLeft w:val="0"/>
          <w:marRight w:val="0"/>
          <w:marTop w:val="0"/>
          <w:marBottom w:val="0"/>
          <w:divBdr>
            <w:top w:val="single" w:sz="2" w:space="0" w:color="D9D9E3"/>
            <w:left w:val="single" w:sz="2" w:space="0" w:color="D9D9E3"/>
            <w:bottom w:val="single" w:sz="2" w:space="0" w:color="D9D9E3"/>
            <w:right w:val="single" w:sz="2" w:space="0" w:color="D9D9E3"/>
          </w:divBdr>
          <w:divsChild>
            <w:div w:id="1443837901">
              <w:marLeft w:val="0"/>
              <w:marRight w:val="0"/>
              <w:marTop w:val="0"/>
              <w:marBottom w:val="0"/>
              <w:divBdr>
                <w:top w:val="single" w:sz="2" w:space="0" w:color="D9D9E3"/>
                <w:left w:val="single" w:sz="2" w:space="0" w:color="D9D9E3"/>
                <w:bottom w:val="single" w:sz="2" w:space="0" w:color="D9D9E3"/>
                <w:right w:val="single" w:sz="2" w:space="0" w:color="D9D9E3"/>
              </w:divBdr>
              <w:divsChild>
                <w:div w:id="1193497114">
                  <w:marLeft w:val="0"/>
                  <w:marRight w:val="0"/>
                  <w:marTop w:val="0"/>
                  <w:marBottom w:val="0"/>
                  <w:divBdr>
                    <w:top w:val="single" w:sz="2" w:space="0" w:color="D9D9E3"/>
                    <w:left w:val="single" w:sz="2" w:space="0" w:color="D9D9E3"/>
                    <w:bottom w:val="single" w:sz="2" w:space="0" w:color="D9D9E3"/>
                    <w:right w:val="single" w:sz="2" w:space="0" w:color="D9D9E3"/>
                  </w:divBdr>
                  <w:divsChild>
                    <w:div w:id="606546915">
                      <w:marLeft w:val="0"/>
                      <w:marRight w:val="0"/>
                      <w:marTop w:val="0"/>
                      <w:marBottom w:val="0"/>
                      <w:divBdr>
                        <w:top w:val="single" w:sz="2" w:space="0" w:color="D9D9E3"/>
                        <w:left w:val="single" w:sz="2" w:space="0" w:color="D9D9E3"/>
                        <w:bottom w:val="single" w:sz="2" w:space="0" w:color="D9D9E3"/>
                        <w:right w:val="single" w:sz="2" w:space="0" w:color="D9D9E3"/>
                      </w:divBdr>
                      <w:divsChild>
                        <w:div w:id="2042318180">
                          <w:marLeft w:val="0"/>
                          <w:marRight w:val="0"/>
                          <w:marTop w:val="0"/>
                          <w:marBottom w:val="0"/>
                          <w:divBdr>
                            <w:top w:val="single" w:sz="2" w:space="0" w:color="D9D9E3"/>
                            <w:left w:val="single" w:sz="2" w:space="0" w:color="D9D9E3"/>
                            <w:bottom w:val="single" w:sz="2" w:space="0" w:color="D9D9E3"/>
                            <w:right w:val="single" w:sz="2" w:space="0" w:color="D9D9E3"/>
                          </w:divBdr>
                          <w:divsChild>
                            <w:div w:id="1071270153">
                              <w:marLeft w:val="0"/>
                              <w:marRight w:val="0"/>
                              <w:marTop w:val="100"/>
                              <w:marBottom w:val="100"/>
                              <w:divBdr>
                                <w:top w:val="single" w:sz="2" w:space="0" w:color="D9D9E3"/>
                                <w:left w:val="single" w:sz="2" w:space="0" w:color="D9D9E3"/>
                                <w:bottom w:val="single" w:sz="2" w:space="0" w:color="D9D9E3"/>
                                <w:right w:val="single" w:sz="2" w:space="0" w:color="D9D9E3"/>
                              </w:divBdr>
                              <w:divsChild>
                                <w:div w:id="922182528">
                                  <w:marLeft w:val="0"/>
                                  <w:marRight w:val="0"/>
                                  <w:marTop w:val="0"/>
                                  <w:marBottom w:val="0"/>
                                  <w:divBdr>
                                    <w:top w:val="single" w:sz="2" w:space="0" w:color="D9D9E3"/>
                                    <w:left w:val="single" w:sz="2" w:space="0" w:color="D9D9E3"/>
                                    <w:bottom w:val="single" w:sz="2" w:space="0" w:color="D9D9E3"/>
                                    <w:right w:val="single" w:sz="2" w:space="0" w:color="D9D9E3"/>
                                  </w:divBdr>
                                  <w:divsChild>
                                    <w:div w:id="897008249">
                                      <w:marLeft w:val="0"/>
                                      <w:marRight w:val="0"/>
                                      <w:marTop w:val="0"/>
                                      <w:marBottom w:val="0"/>
                                      <w:divBdr>
                                        <w:top w:val="single" w:sz="2" w:space="0" w:color="D9D9E3"/>
                                        <w:left w:val="single" w:sz="2" w:space="0" w:color="D9D9E3"/>
                                        <w:bottom w:val="single" w:sz="2" w:space="0" w:color="D9D9E3"/>
                                        <w:right w:val="single" w:sz="2" w:space="0" w:color="D9D9E3"/>
                                      </w:divBdr>
                                      <w:divsChild>
                                        <w:div w:id="422796643">
                                          <w:marLeft w:val="0"/>
                                          <w:marRight w:val="0"/>
                                          <w:marTop w:val="0"/>
                                          <w:marBottom w:val="0"/>
                                          <w:divBdr>
                                            <w:top w:val="single" w:sz="2" w:space="0" w:color="D9D9E3"/>
                                            <w:left w:val="single" w:sz="2" w:space="0" w:color="D9D9E3"/>
                                            <w:bottom w:val="single" w:sz="2" w:space="0" w:color="D9D9E3"/>
                                            <w:right w:val="single" w:sz="2" w:space="0" w:color="D9D9E3"/>
                                          </w:divBdr>
                                          <w:divsChild>
                                            <w:div w:id="1193374685">
                                              <w:marLeft w:val="0"/>
                                              <w:marRight w:val="0"/>
                                              <w:marTop w:val="0"/>
                                              <w:marBottom w:val="0"/>
                                              <w:divBdr>
                                                <w:top w:val="single" w:sz="2" w:space="0" w:color="D9D9E3"/>
                                                <w:left w:val="single" w:sz="2" w:space="0" w:color="D9D9E3"/>
                                                <w:bottom w:val="single" w:sz="2" w:space="0" w:color="D9D9E3"/>
                                                <w:right w:val="single" w:sz="2" w:space="0" w:color="D9D9E3"/>
                                              </w:divBdr>
                                              <w:divsChild>
                                                <w:div w:id="1382440802">
                                                  <w:marLeft w:val="0"/>
                                                  <w:marRight w:val="0"/>
                                                  <w:marTop w:val="0"/>
                                                  <w:marBottom w:val="0"/>
                                                  <w:divBdr>
                                                    <w:top w:val="single" w:sz="2" w:space="0" w:color="D9D9E3"/>
                                                    <w:left w:val="single" w:sz="2" w:space="0" w:color="D9D9E3"/>
                                                    <w:bottom w:val="single" w:sz="2" w:space="0" w:color="D9D9E3"/>
                                                    <w:right w:val="single" w:sz="2" w:space="0" w:color="D9D9E3"/>
                                                  </w:divBdr>
                                                  <w:divsChild>
                                                    <w:div w:id="74717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4878281">
          <w:marLeft w:val="0"/>
          <w:marRight w:val="0"/>
          <w:marTop w:val="0"/>
          <w:marBottom w:val="0"/>
          <w:divBdr>
            <w:top w:val="none" w:sz="0" w:space="0" w:color="auto"/>
            <w:left w:val="none" w:sz="0" w:space="0" w:color="auto"/>
            <w:bottom w:val="none" w:sz="0" w:space="0" w:color="auto"/>
            <w:right w:val="none" w:sz="0" w:space="0" w:color="auto"/>
          </w:divBdr>
          <w:divsChild>
            <w:div w:id="304429329">
              <w:marLeft w:val="0"/>
              <w:marRight w:val="0"/>
              <w:marTop w:val="0"/>
              <w:marBottom w:val="0"/>
              <w:divBdr>
                <w:top w:val="single" w:sz="2" w:space="0" w:color="D9D9E3"/>
                <w:left w:val="single" w:sz="2" w:space="0" w:color="D9D9E3"/>
                <w:bottom w:val="single" w:sz="2" w:space="0" w:color="D9D9E3"/>
                <w:right w:val="single" w:sz="2" w:space="0" w:color="D9D9E3"/>
              </w:divBdr>
              <w:divsChild>
                <w:div w:id="1719548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495460976">
      <w:bodyDiv w:val="1"/>
      <w:marLeft w:val="0"/>
      <w:marRight w:val="0"/>
      <w:marTop w:val="0"/>
      <w:marBottom w:val="0"/>
      <w:divBdr>
        <w:top w:val="none" w:sz="0" w:space="0" w:color="auto"/>
        <w:left w:val="none" w:sz="0" w:space="0" w:color="auto"/>
        <w:bottom w:val="none" w:sz="0" w:space="0" w:color="auto"/>
        <w:right w:val="none" w:sz="0" w:space="0" w:color="auto"/>
      </w:divBdr>
    </w:div>
    <w:div w:id="621225766">
      <w:bodyDiv w:val="1"/>
      <w:marLeft w:val="0"/>
      <w:marRight w:val="0"/>
      <w:marTop w:val="0"/>
      <w:marBottom w:val="0"/>
      <w:divBdr>
        <w:top w:val="none" w:sz="0" w:space="0" w:color="auto"/>
        <w:left w:val="none" w:sz="0" w:space="0" w:color="auto"/>
        <w:bottom w:val="none" w:sz="0" w:space="0" w:color="auto"/>
        <w:right w:val="none" w:sz="0" w:space="0" w:color="auto"/>
      </w:divBdr>
    </w:div>
    <w:div w:id="661809568">
      <w:bodyDiv w:val="1"/>
      <w:marLeft w:val="0"/>
      <w:marRight w:val="0"/>
      <w:marTop w:val="0"/>
      <w:marBottom w:val="0"/>
      <w:divBdr>
        <w:top w:val="none" w:sz="0" w:space="0" w:color="auto"/>
        <w:left w:val="none" w:sz="0" w:space="0" w:color="auto"/>
        <w:bottom w:val="none" w:sz="0" w:space="0" w:color="auto"/>
        <w:right w:val="none" w:sz="0" w:space="0" w:color="auto"/>
      </w:divBdr>
    </w:div>
    <w:div w:id="666977642">
      <w:bodyDiv w:val="1"/>
      <w:marLeft w:val="0"/>
      <w:marRight w:val="0"/>
      <w:marTop w:val="0"/>
      <w:marBottom w:val="0"/>
      <w:divBdr>
        <w:top w:val="none" w:sz="0" w:space="0" w:color="auto"/>
        <w:left w:val="none" w:sz="0" w:space="0" w:color="auto"/>
        <w:bottom w:val="none" w:sz="0" w:space="0" w:color="auto"/>
        <w:right w:val="none" w:sz="0" w:space="0" w:color="auto"/>
      </w:divBdr>
    </w:div>
    <w:div w:id="706612183">
      <w:bodyDiv w:val="1"/>
      <w:marLeft w:val="0"/>
      <w:marRight w:val="0"/>
      <w:marTop w:val="0"/>
      <w:marBottom w:val="0"/>
      <w:divBdr>
        <w:top w:val="none" w:sz="0" w:space="0" w:color="auto"/>
        <w:left w:val="none" w:sz="0" w:space="0" w:color="auto"/>
        <w:bottom w:val="none" w:sz="0" w:space="0" w:color="auto"/>
        <w:right w:val="none" w:sz="0" w:space="0" w:color="auto"/>
      </w:divBdr>
    </w:div>
    <w:div w:id="721562548">
      <w:bodyDiv w:val="1"/>
      <w:marLeft w:val="0"/>
      <w:marRight w:val="0"/>
      <w:marTop w:val="0"/>
      <w:marBottom w:val="0"/>
      <w:divBdr>
        <w:top w:val="none" w:sz="0" w:space="0" w:color="auto"/>
        <w:left w:val="none" w:sz="0" w:space="0" w:color="auto"/>
        <w:bottom w:val="none" w:sz="0" w:space="0" w:color="auto"/>
        <w:right w:val="none" w:sz="0" w:space="0" w:color="auto"/>
      </w:divBdr>
    </w:div>
    <w:div w:id="747071851">
      <w:bodyDiv w:val="1"/>
      <w:marLeft w:val="0"/>
      <w:marRight w:val="0"/>
      <w:marTop w:val="0"/>
      <w:marBottom w:val="0"/>
      <w:divBdr>
        <w:top w:val="none" w:sz="0" w:space="0" w:color="auto"/>
        <w:left w:val="none" w:sz="0" w:space="0" w:color="auto"/>
        <w:bottom w:val="none" w:sz="0" w:space="0" w:color="auto"/>
        <w:right w:val="none" w:sz="0" w:space="0" w:color="auto"/>
      </w:divBdr>
    </w:div>
    <w:div w:id="754593132">
      <w:bodyDiv w:val="1"/>
      <w:marLeft w:val="0"/>
      <w:marRight w:val="0"/>
      <w:marTop w:val="0"/>
      <w:marBottom w:val="0"/>
      <w:divBdr>
        <w:top w:val="none" w:sz="0" w:space="0" w:color="auto"/>
        <w:left w:val="none" w:sz="0" w:space="0" w:color="auto"/>
        <w:bottom w:val="none" w:sz="0" w:space="0" w:color="auto"/>
        <w:right w:val="none" w:sz="0" w:space="0" w:color="auto"/>
      </w:divBdr>
    </w:div>
    <w:div w:id="787896157">
      <w:bodyDiv w:val="1"/>
      <w:marLeft w:val="0"/>
      <w:marRight w:val="0"/>
      <w:marTop w:val="0"/>
      <w:marBottom w:val="0"/>
      <w:divBdr>
        <w:top w:val="none" w:sz="0" w:space="0" w:color="auto"/>
        <w:left w:val="none" w:sz="0" w:space="0" w:color="auto"/>
        <w:bottom w:val="none" w:sz="0" w:space="0" w:color="auto"/>
        <w:right w:val="none" w:sz="0" w:space="0" w:color="auto"/>
      </w:divBdr>
      <w:divsChild>
        <w:div w:id="1354766094">
          <w:marLeft w:val="0"/>
          <w:marRight w:val="0"/>
          <w:marTop w:val="0"/>
          <w:marBottom w:val="0"/>
          <w:divBdr>
            <w:top w:val="single" w:sz="2" w:space="0" w:color="D9D9E3"/>
            <w:left w:val="single" w:sz="2" w:space="0" w:color="D9D9E3"/>
            <w:bottom w:val="single" w:sz="2" w:space="0" w:color="D9D9E3"/>
            <w:right w:val="single" w:sz="2" w:space="0" w:color="D9D9E3"/>
          </w:divBdr>
          <w:divsChild>
            <w:div w:id="387414907">
              <w:marLeft w:val="0"/>
              <w:marRight w:val="0"/>
              <w:marTop w:val="0"/>
              <w:marBottom w:val="0"/>
              <w:divBdr>
                <w:top w:val="single" w:sz="2" w:space="0" w:color="D9D9E3"/>
                <w:left w:val="single" w:sz="2" w:space="0" w:color="D9D9E3"/>
                <w:bottom w:val="single" w:sz="2" w:space="0" w:color="D9D9E3"/>
                <w:right w:val="single" w:sz="2" w:space="0" w:color="D9D9E3"/>
              </w:divBdr>
              <w:divsChild>
                <w:div w:id="313606733">
                  <w:marLeft w:val="0"/>
                  <w:marRight w:val="0"/>
                  <w:marTop w:val="0"/>
                  <w:marBottom w:val="0"/>
                  <w:divBdr>
                    <w:top w:val="single" w:sz="2" w:space="0" w:color="D9D9E3"/>
                    <w:left w:val="single" w:sz="2" w:space="0" w:color="D9D9E3"/>
                    <w:bottom w:val="single" w:sz="2" w:space="0" w:color="D9D9E3"/>
                    <w:right w:val="single" w:sz="2" w:space="0" w:color="D9D9E3"/>
                  </w:divBdr>
                  <w:divsChild>
                    <w:div w:id="756291332">
                      <w:marLeft w:val="0"/>
                      <w:marRight w:val="0"/>
                      <w:marTop w:val="0"/>
                      <w:marBottom w:val="0"/>
                      <w:divBdr>
                        <w:top w:val="single" w:sz="2" w:space="0" w:color="D9D9E3"/>
                        <w:left w:val="single" w:sz="2" w:space="0" w:color="D9D9E3"/>
                        <w:bottom w:val="single" w:sz="2" w:space="0" w:color="D9D9E3"/>
                        <w:right w:val="single" w:sz="2" w:space="0" w:color="D9D9E3"/>
                      </w:divBdr>
                      <w:divsChild>
                        <w:div w:id="509416644">
                          <w:marLeft w:val="0"/>
                          <w:marRight w:val="0"/>
                          <w:marTop w:val="0"/>
                          <w:marBottom w:val="0"/>
                          <w:divBdr>
                            <w:top w:val="single" w:sz="2" w:space="0" w:color="D9D9E3"/>
                            <w:left w:val="single" w:sz="2" w:space="0" w:color="D9D9E3"/>
                            <w:bottom w:val="single" w:sz="2" w:space="0" w:color="D9D9E3"/>
                            <w:right w:val="single" w:sz="2" w:space="0" w:color="D9D9E3"/>
                          </w:divBdr>
                          <w:divsChild>
                            <w:div w:id="1643150245">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619592">
                                  <w:marLeft w:val="0"/>
                                  <w:marRight w:val="0"/>
                                  <w:marTop w:val="0"/>
                                  <w:marBottom w:val="0"/>
                                  <w:divBdr>
                                    <w:top w:val="single" w:sz="2" w:space="0" w:color="D9D9E3"/>
                                    <w:left w:val="single" w:sz="2" w:space="0" w:color="D9D9E3"/>
                                    <w:bottom w:val="single" w:sz="2" w:space="0" w:color="D9D9E3"/>
                                    <w:right w:val="single" w:sz="2" w:space="0" w:color="D9D9E3"/>
                                  </w:divBdr>
                                  <w:divsChild>
                                    <w:div w:id="1976568354">
                                      <w:marLeft w:val="0"/>
                                      <w:marRight w:val="0"/>
                                      <w:marTop w:val="0"/>
                                      <w:marBottom w:val="0"/>
                                      <w:divBdr>
                                        <w:top w:val="single" w:sz="2" w:space="0" w:color="D9D9E3"/>
                                        <w:left w:val="single" w:sz="2" w:space="0" w:color="D9D9E3"/>
                                        <w:bottom w:val="single" w:sz="2" w:space="0" w:color="D9D9E3"/>
                                        <w:right w:val="single" w:sz="2" w:space="0" w:color="D9D9E3"/>
                                      </w:divBdr>
                                      <w:divsChild>
                                        <w:div w:id="755398587">
                                          <w:marLeft w:val="0"/>
                                          <w:marRight w:val="0"/>
                                          <w:marTop w:val="0"/>
                                          <w:marBottom w:val="0"/>
                                          <w:divBdr>
                                            <w:top w:val="single" w:sz="2" w:space="0" w:color="D9D9E3"/>
                                            <w:left w:val="single" w:sz="2" w:space="0" w:color="D9D9E3"/>
                                            <w:bottom w:val="single" w:sz="2" w:space="0" w:color="D9D9E3"/>
                                            <w:right w:val="single" w:sz="2" w:space="0" w:color="D9D9E3"/>
                                          </w:divBdr>
                                          <w:divsChild>
                                            <w:div w:id="2139452549">
                                              <w:marLeft w:val="0"/>
                                              <w:marRight w:val="0"/>
                                              <w:marTop w:val="0"/>
                                              <w:marBottom w:val="0"/>
                                              <w:divBdr>
                                                <w:top w:val="single" w:sz="2" w:space="0" w:color="D9D9E3"/>
                                                <w:left w:val="single" w:sz="2" w:space="0" w:color="D9D9E3"/>
                                                <w:bottom w:val="single" w:sz="2" w:space="0" w:color="D9D9E3"/>
                                                <w:right w:val="single" w:sz="2" w:space="0" w:color="D9D9E3"/>
                                              </w:divBdr>
                                              <w:divsChild>
                                                <w:div w:id="198906968">
                                                  <w:marLeft w:val="0"/>
                                                  <w:marRight w:val="0"/>
                                                  <w:marTop w:val="0"/>
                                                  <w:marBottom w:val="0"/>
                                                  <w:divBdr>
                                                    <w:top w:val="single" w:sz="2" w:space="0" w:color="D9D9E3"/>
                                                    <w:left w:val="single" w:sz="2" w:space="0" w:color="D9D9E3"/>
                                                    <w:bottom w:val="single" w:sz="2" w:space="0" w:color="D9D9E3"/>
                                                    <w:right w:val="single" w:sz="2" w:space="0" w:color="D9D9E3"/>
                                                  </w:divBdr>
                                                  <w:divsChild>
                                                    <w:div w:id="2369812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91843448">
          <w:marLeft w:val="0"/>
          <w:marRight w:val="0"/>
          <w:marTop w:val="0"/>
          <w:marBottom w:val="0"/>
          <w:divBdr>
            <w:top w:val="none" w:sz="0" w:space="0" w:color="auto"/>
            <w:left w:val="none" w:sz="0" w:space="0" w:color="auto"/>
            <w:bottom w:val="none" w:sz="0" w:space="0" w:color="auto"/>
            <w:right w:val="none" w:sz="0" w:space="0" w:color="auto"/>
          </w:divBdr>
          <w:divsChild>
            <w:div w:id="2129156622">
              <w:marLeft w:val="0"/>
              <w:marRight w:val="0"/>
              <w:marTop w:val="0"/>
              <w:marBottom w:val="0"/>
              <w:divBdr>
                <w:top w:val="single" w:sz="2" w:space="0" w:color="D9D9E3"/>
                <w:left w:val="single" w:sz="2" w:space="0" w:color="D9D9E3"/>
                <w:bottom w:val="single" w:sz="2" w:space="0" w:color="D9D9E3"/>
                <w:right w:val="single" w:sz="2" w:space="0" w:color="D9D9E3"/>
              </w:divBdr>
              <w:divsChild>
                <w:div w:id="2142384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33179358">
      <w:bodyDiv w:val="1"/>
      <w:marLeft w:val="0"/>
      <w:marRight w:val="0"/>
      <w:marTop w:val="0"/>
      <w:marBottom w:val="0"/>
      <w:divBdr>
        <w:top w:val="none" w:sz="0" w:space="0" w:color="auto"/>
        <w:left w:val="none" w:sz="0" w:space="0" w:color="auto"/>
        <w:bottom w:val="none" w:sz="0" w:space="0" w:color="auto"/>
        <w:right w:val="none" w:sz="0" w:space="0" w:color="auto"/>
      </w:divBdr>
    </w:div>
    <w:div w:id="843397905">
      <w:bodyDiv w:val="1"/>
      <w:marLeft w:val="0"/>
      <w:marRight w:val="0"/>
      <w:marTop w:val="0"/>
      <w:marBottom w:val="0"/>
      <w:divBdr>
        <w:top w:val="none" w:sz="0" w:space="0" w:color="auto"/>
        <w:left w:val="none" w:sz="0" w:space="0" w:color="auto"/>
        <w:bottom w:val="none" w:sz="0" w:space="0" w:color="auto"/>
        <w:right w:val="none" w:sz="0" w:space="0" w:color="auto"/>
      </w:divBdr>
    </w:div>
    <w:div w:id="862979724">
      <w:bodyDiv w:val="1"/>
      <w:marLeft w:val="0"/>
      <w:marRight w:val="0"/>
      <w:marTop w:val="0"/>
      <w:marBottom w:val="0"/>
      <w:divBdr>
        <w:top w:val="none" w:sz="0" w:space="0" w:color="auto"/>
        <w:left w:val="none" w:sz="0" w:space="0" w:color="auto"/>
        <w:bottom w:val="none" w:sz="0" w:space="0" w:color="auto"/>
        <w:right w:val="none" w:sz="0" w:space="0" w:color="auto"/>
      </w:divBdr>
    </w:div>
    <w:div w:id="925115125">
      <w:bodyDiv w:val="1"/>
      <w:marLeft w:val="0"/>
      <w:marRight w:val="0"/>
      <w:marTop w:val="0"/>
      <w:marBottom w:val="0"/>
      <w:divBdr>
        <w:top w:val="none" w:sz="0" w:space="0" w:color="auto"/>
        <w:left w:val="none" w:sz="0" w:space="0" w:color="auto"/>
        <w:bottom w:val="none" w:sz="0" w:space="0" w:color="auto"/>
        <w:right w:val="none" w:sz="0" w:space="0" w:color="auto"/>
      </w:divBdr>
    </w:div>
    <w:div w:id="946037502">
      <w:bodyDiv w:val="1"/>
      <w:marLeft w:val="0"/>
      <w:marRight w:val="0"/>
      <w:marTop w:val="0"/>
      <w:marBottom w:val="0"/>
      <w:divBdr>
        <w:top w:val="none" w:sz="0" w:space="0" w:color="auto"/>
        <w:left w:val="none" w:sz="0" w:space="0" w:color="auto"/>
        <w:bottom w:val="none" w:sz="0" w:space="0" w:color="auto"/>
        <w:right w:val="none" w:sz="0" w:space="0" w:color="auto"/>
      </w:divBdr>
    </w:div>
    <w:div w:id="949240081">
      <w:bodyDiv w:val="1"/>
      <w:marLeft w:val="0"/>
      <w:marRight w:val="0"/>
      <w:marTop w:val="0"/>
      <w:marBottom w:val="0"/>
      <w:divBdr>
        <w:top w:val="none" w:sz="0" w:space="0" w:color="auto"/>
        <w:left w:val="none" w:sz="0" w:space="0" w:color="auto"/>
        <w:bottom w:val="none" w:sz="0" w:space="0" w:color="auto"/>
        <w:right w:val="none" w:sz="0" w:space="0" w:color="auto"/>
      </w:divBdr>
      <w:divsChild>
        <w:div w:id="363484030">
          <w:marLeft w:val="0"/>
          <w:marRight w:val="0"/>
          <w:marTop w:val="48"/>
          <w:marBottom w:val="120"/>
          <w:divBdr>
            <w:top w:val="none" w:sz="0" w:space="0" w:color="auto"/>
            <w:left w:val="none" w:sz="0" w:space="0" w:color="auto"/>
            <w:bottom w:val="none" w:sz="0" w:space="0" w:color="auto"/>
            <w:right w:val="none" w:sz="0" w:space="0" w:color="auto"/>
          </w:divBdr>
        </w:div>
      </w:divsChild>
    </w:div>
    <w:div w:id="973868320">
      <w:bodyDiv w:val="1"/>
      <w:marLeft w:val="0"/>
      <w:marRight w:val="0"/>
      <w:marTop w:val="0"/>
      <w:marBottom w:val="0"/>
      <w:divBdr>
        <w:top w:val="none" w:sz="0" w:space="0" w:color="auto"/>
        <w:left w:val="none" w:sz="0" w:space="0" w:color="auto"/>
        <w:bottom w:val="none" w:sz="0" w:space="0" w:color="auto"/>
        <w:right w:val="none" w:sz="0" w:space="0" w:color="auto"/>
      </w:divBdr>
    </w:div>
    <w:div w:id="1005521955">
      <w:bodyDiv w:val="1"/>
      <w:marLeft w:val="0"/>
      <w:marRight w:val="0"/>
      <w:marTop w:val="0"/>
      <w:marBottom w:val="0"/>
      <w:divBdr>
        <w:top w:val="none" w:sz="0" w:space="0" w:color="auto"/>
        <w:left w:val="none" w:sz="0" w:space="0" w:color="auto"/>
        <w:bottom w:val="none" w:sz="0" w:space="0" w:color="auto"/>
        <w:right w:val="none" w:sz="0" w:space="0" w:color="auto"/>
      </w:divBdr>
    </w:div>
    <w:div w:id="1146703722">
      <w:bodyDiv w:val="1"/>
      <w:marLeft w:val="0"/>
      <w:marRight w:val="0"/>
      <w:marTop w:val="0"/>
      <w:marBottom w:val="0"/>
      <w:divBdr>
        <w:top w:val="none" w:sz="0" w:space="0" w:color="auto"/>
        <w:left w:val="none" w:sz="0" w:space="0" w:color="auto"/>
        <w:bottom w:val="none" w:sz="0" w:space="0" w:color="auto"/>
        <w:right w:val="none" w:sz="0" w:space="0" w:color="auto"/>
      </w:divBdr>
    </w:div>
    <w:div w:id="1196039028">
      <w:bodyDiv w:val="1"/>
      <w:marLeft w:val="0"/>
      <w:marRight w:val="0"/>
      <w:marTop w:val="0"/>
      <w:marBottom w:val="0"/>
      <w:divBdr>
        <w:top w:val="none" w:sz="0" w:space="0" w:color="auto"/>
        <w:left w:val="none" w:sz="0" w:space="0" w:color="auto"/>
        <w:bottom w:val="none" w:sz="0" w:space="0" w:color="auto"/>
        <w:right w:val="none" w:sz="0" w:space="0" w:color="auto"/>
      </w:divBdr>
    </w:div>
    <w:div w:id="1228346550">
      <w:bodyDiv w:val="1"/>
      <w:marLeft w:val="0"/>
      <w:marRight w:val="0"/>
      <w:marTop w:val="0"/>
      <w:marBottom w:val="0"/>
      <w:divBdr>
        <w:top w:val="none" w:sz="0" w:space="0" w:color="auto"/>
        <w:left w:val="none" w:sz="0" w:space="0" w:color="auto"/>
        <w:bottom w:val="none" w:sz="0" w:space="0" w:color="auto"/>
        <w:right w:val="none" w:sz="0" w:space="0" w:color="auto"/>
      </w:divBdr>
    </w:div>
    <w:div w:id="1360350749">
      <w:bodyDiv w:val="1"/>
      <w:marLeft w:val="0"/>
      <w:marRight w:val="0"/>
      <w:marTop w:val="0"/>
      <w:marBottom w:val="0"/>
      <w:divBdr>
        <w:top w:val="none" w:sz="0" w:space="0" w:color="auto"/>
        <w:left w:val="none" w:sz="0" w:space="0" w:color="auto"/>
        <w:bottom w:val="none" w:sz="0" w:space="0" w:color="auto"/>
        <w:right w:val="none" w:sz="0" w:space="0" w:color="auto"/>
      </w:divBdr>
    </w:div>
    <w:div w:id="1373114202">
      <w:bodyDiv w:val="1"/>
      <w:marLeft w:val="0"/>
      <w:marRight w:val="0"/>
      <w:marTop w:val="0"/>
      <w:marBottom w:val="0"/>
      <w:divBdr>
        <w:top w:val="none" w:sz="0" w:space="0" w:color="auto"/>
        <w:left w:val="none" w:sz="0" w:space="0" w:color="auto"/>
        <w:bottom w:val="none" w:sz="0" w:space="0" w:color="auto"/>
        <w:right w:val="none" w:sz="0" w:space="0" w:color="auto"/>
      </w:divBdr>
    </w:div>
    <w:div w:id="1434938722">
      <w:bodyDiv w:val="1"/>
      <w:marLeft w:val="0"/>
      <w:marRight w:val="0"/>
      <w:marTop w:val="0"/>
      <w:marBottom w:val="0"/>
      <w:divBdr>
        <w:top w:val="none" w:sz="0" w:space="0" w:color="auto"/>
        <w:left w:val="none" w:sz="0" w:space="0" w:color="auto"/>
        <w:bottom w:val="none" w:sz="0" w:space="0" w:color="auto"/>
        <w:right w:val="none" w:sz="0" w:space="0" w:color="auto"/>
      </w:divBdr>
    </w:div>
    <w:div w:id="1476680704">
      <w:bodyDiv w:val="1"/>
      <w:marLeft w:val="0"/>
      <w:marRight w:val="0"/>
      <w:marTop w:val="0"/>
      <w:marBottom w:val="0"/>
      <w:divBdr>
        <w:top w:val="none" w:sz="0" w:space="0" w:color="auto"/>
        <w:left w:val="none" w:sz="0" w:space="0" w:color="auto"/>
        <w:bottom w:val="none" w:sz="0" w:space="0" w:color="auto"/>
        <w:right w:val="none" w:sz="0" w:space="0" w:color="auto"/>
      </w:divBdr>
    </w:div>
    <w:div w:id="1484009856">
      <w:bodyDiv w:val="1"/>
      <w:marLeft w:val="0"/>
      <w:marRight w:val="0"/>
      <w:marTop w:val="0"/>
      <w:marBottom w:val="0"/>
      <w:divBdr>
        <w:top w:val="none" w:sz="0" w:space="0" w:color="auto"/>
        <w:left w:val="none" w:sz="0" w:space="0" w:color="auto"/>
        <w:bottom w:val="none" w:sz="0" w:space="0" w:color="auto"/>
        <w:right w:val="none" w:sz="0" w:space="0" w:color="auto"/>
      </w:divBdr>
    </w:div>
    <w:div w:id="1521241287">
      <w:bodyDiv w:val="1"/>
      <w:marLeft w:val="0"/>
      <w:marRight w:val="0"/>
      <w:marTop w:val="0"/>
      <w:marBottom w:val="0"/>
      <w:divBdr>
        <w:top w:val="none" w:sz="0" w:space="0" w:color="auto"/>
        <w:left w:val="none" w:sz="0" w:space="0" w:color="auto"/>
        <w:bottom w:val="none" w:sz="0" w:space="0" w:color="auto"/>
        <w:right w:val="none" w:sz="0" w:space="0" w:color="auto"/>
      </w:divBdr>
    </w:div>
    <w:div w:id="1549492529">
      <w:bodyDiv w:val="1"/>
      <w:marLeft w:val="0"/>
      <w:marRight w:val="0"/>
      <w:marTop w:val="0"/>
      <w:marBottom w:val="0"/>
      <w:divBdr>
        <w:top w:val="none" w:sz="0" w:space="0" w:color="auto"/>
        <w:left w:val="none" w:sz="0" w:space="0" w:color="auto"/>
        <w:bottom w:val="none" w:sz="0" w:space="0" w:color="auto"/>
        <w:right w:val="none" w:sz="0" w:space="0" w:color="auto"/>
      </w:divBdr>
      <w:divsChild>
        <w:div w:id="1410808725">
          <w:marLeft w:val="0"/>
          <w:marRight w:val="0"/>
          <w:marTop w:val="0"/>
          <w:marBottom w:val="0"/>
          <w:divBdr>
            <w:top w:val="single" w:sz="2" w:space="0" w:color="D9D9E3"/>
            <w:left w:val="single" w:sz="2" w:space="0" w:color="D9D9E3"/>
            <w:bottom w:val="single" w:sz="2" w:space="0" w:color="D9D9E3"/>
            <w:right w:val="single" w:sz="2" w:space="0" w:color="D9D9E3"/>
          </w:divBdr>
          <w:divsChild>
            <w:div w:id="1142849497">
              <w:marLeft w:val="0"/>
              <w:marRight w:val="0"/>
              <w:marTop w:val="0"/>
              <w:marBottom w:val="0"/>
              <w:divBdr>
                <w:top w:val="single" w:sz="2" w:space="0" w:color="D9D9E3"/>
                <w:left w:val="single" w:sz="2" w:space="0" w:color="D9D9E3"/>
                <w:bottom w:val="single" w:sz="2" w:space="0" w:color="D9D9E3"/>
                <w:right w:val="single" w:sz="2" w:space="0" w:color="D9D9E3"/>
              </w:divBdr>
              <w:divsChild>
                <w:div w:id="668025369">
                  <w:marLeft w:val="0"/>
                  <w:marRight w:val="0"/>
                  <w:marTop w:val="0"/>
                  <w:marBottom w:val="0"/>
                  <w:divBdr>
                    <w:top w:val="single" w:sz="2" w:space="0" w:color="D9D9E3"/>
                    <w:left w:val="single" w:sz="2" w:space="0" w:color="D9D9E3"/>
                    <w:bottom w:val="single" w:sz="2" w:space="0" w:color="D9D9E3"/>
                    <w:right w:val="single" w:sz="2" w:space="0" w:color="D9D9E3"/>
                  </w:divBdr>
                  <w:divsChild>
                    <w:div w:id="1443645790">
                      <w:marLeft w:val="0"/>
                      <w:marRight w:val="0"/>
                      <w:marTop w:val="0"/>
                      <w:marBottom w:val="0"/>
                      <w:divBdr>
                        <w:top w:val="single" w:sz="2" w:space="0" w:color="D9D9E3"/>
                        <w:left w:val="single" w:sz="2" w:space="0" w:color="D9D9E3"/>
                        <w:bottom w:val="single" w:sz="2" w:space="0" w:color="D9D9E3"/>
                        <w:right w:val="single" w:sz="2" w:space="0" w:color="D9D9E3"/>
                      </w:divBdr>
                      <w:divsChild>
                        <w:div w:id="1296253518">
                          <w:marLeft w:val="0"/>
                          <w:marRight w:val="0"/>
                          <w:marTop w:val="0"/>
                          <w:marBottom w:val="0"/>
                          <w:divBdr>
                            <w:top w:val="single" w:sz="2" w:space="0" w:color="D9D9E3"/>
                            <w:left w:val="single" w:sz="2" w:space="0" w:color="D9D9E3"/>
                            <w:bottom w:val="single" w:sz="2" w:space="0" w:color="D9D9E3"/>
                            <w:right w:val="single" w:sz="2" w:space="0" w:color="D9D9E3"/>
                          </w:divBdr>
                          <w:divsChild>
                            <w:div w:id="1179928223">
                              <w:marLeft w:val="0"/>
                              <w:marRight w:val="0"/>
                              <w:marTop w:val="100"/>
                              <w:marBottom w:val="100"/>
                              <w:divBdr>
                                <w:top w:val="single" w:sz="2" w:space="0" w:color="D9D9E3"/>
                                <w:left w:val="single" w:sz="2" w:space="0" w:color="D9D9E3"/>
                                <w:bottom w:val="single" w:sz="2" w:space="0" w:color="D9D9E3"/>
                                <w:right w:val="single" w:sz="2" w:space="0" w:color="D9D9E3"/>
                              </w:divBdr>
                              <w:divsChild>
                                <w:div w:id="1626889301">
                                  <w:marLeft w:val="0"/>
                                  <w:marRight w:val="0"/>
                                  <w:marTop w:val="0"/>
                                  <w:marBottom w:val="0"/>
                                  <w:divBdr>
                                    <w:top w:val="single" w:sz="2" w:space="0" w:color="D9D9E3"/>
                                    <w:left w:val="single" w:sz="2" w:space="0" w:color="D9D9E3"/>
                                    <w:bottom w:val="single" w:sz="2" w:space="0" w:color="D9D9E3"/>
                                    <w:right w:val="single" w:sz="2" w:space="0" w:color="D9D9E3"/>
                                  </w:divBdr>
                                  <w:divsChild>
                                    <w:div w:id="1862887647">
                                      <w:marLeft w:val="0"/>
                                      <w:marRight w:val="0"/>
                                      <w:marTop w:val="0"/>
                                      <w:marBottom w:val="0"/>
                                      <w:divBdr>
                                        <w:top w:val="single" w:sz="2" w:space="0" w:color="D9D9E3"/>
                                        <w:left w:val="single" w:sz="2" w:space="0" w:color="D9D9E3"/>
                                        <w:bottom w:val="single" w:sz="2" w:space="0" w:color="D9D9E3"/>
                                        <w:right w:val="single" w:sz="2" w:space="0" w:color="D9D9E3"/>
                                      </w:divBdr>
                                      <w:divsChild>
                                        <w:div w:id="413015512">
                                          <w:marLeft w:val="0"/>
                                          <w:marRight w:val="0"/>
                                          <w:marTop w:val="0"/>
                                          <w:marBottom w:val="0"/>
                                          <w:divBdr>
                                            <w:top w:val="single" w:sz="2" w:space="0" w:color="D9D9E3"/>
                                            <w:left w:val="single" w:sz="2" w:space="0" w:color="D9D9E3"/>
                                            <w:bottom w:val="single" w:sz="2" w:space="0" w:color="D9D9E3"/>
                                            <w:right w:val="single" w:sz="2" w:space="0" w:color="D9D9E3"/>
                                          </w:divBdr>
                                          <w:divsChild>
                                            <w:div w:id="1396856241">
                                              <w:marLeft w:val="0"/>
                                              <w:marRight w:val="0"/>
                                              <w:marTop w:val="0"/>
                                              <w:marBottom w:val="0"/>
                                              <w:divBdr>
                                                <w:top w:val="single" w:sz="2" w:space="0" w:color="D9D9E3"/>
                                                <w:left w:val="single" w:sz="2" w:space="0" w:color="D9D9E3"/>
                                                <w:bottom w:val="single" w:sz="2" w:space="0" w:color="D9D9E3"/>
                                                <w:right w:val="single" w:sz="2" w:space="0" w:color="D9D9E3"/>
                                              </w:divBdr>
                                              <w:divsChild>
                                                <w:div w:id="165948681">
                                                  <w:marLeft w:val="0"/>
                                                  <w:marRight w:val="0"/>
                                                  <w:marTop w:val="0"/>
                                                  <w:marBottom w:val="0"/>
                                                  <w:divBdr>
                                                    <w:top w:val="single" w:sz="2" w:space="0" w:color="D9D9E3"/>
                                                    <w:left w:val="single" w:sz="2" w:space="0" w:color="D9D9E3"/>
                                                    <w:bottom w:val="single" w:sz="2" w:space="0" w:color="D9D9E3"/>
                                                    <w:right w:val="single" w:sz="2" w:space="0" w:color="D9D9E3"/>
                                                  </w:divBdr>
                                                  <w:divsChild>
                                                    <w:div w:id="266547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8160232">
          <w:marLeft w:val="0"/>
          <w:marRight w:val="0"/>
          <w:marTop w:val="0"/>
          <w:marBottom w:val="0"/>
          <w:divBdr>
            <w:top w:val="none" w:sz="0" w:space="0" w:color="auto"/>
            <w:left w:val="none" w:sz="0" w:space="0" w:color="auto"/>
            <w:bottom w:val="none" w:sz="0" w:space="0" w:color="auto"/>
            <w:right w:val="none" w:sz="0" w:space="0" w:color="auto"/>
          </w:divBdr>
          <w:divsChild>
            <w:div w:id="1368532198">
              <w:marLeft w:val="0"/>
              <w:marRight w:val="0"/>
              <w:marTop w:val="0"/>
              <w:marBottom w:val="0"/>
              <w:divBdr>
                <w:top w:val="single" w:sz="2" w:space="0" w:color="D9D9E3"/>
                <w:left w:val="single" w:sz="2" w:space="0" w:color="D9D9E3"/>
                <w:bottom w:val="single" w:sz="2" w:space="0" w:color="D9D9E3"/>
                <w:right w:val="single" w:sz="2" w:space="0" w:color="D9D9E3"/>
              </w:divBdr>
              <w:divsChild>
                <w:div w:id="15519147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71966863">
      <w:bodyDiv w:val="1"/>
      <w:marLeft w:val="0"/>
      <w:marRight w:val="0"/>
      <w:marTop w:val="0"/>
      <w:marBottom w:val="0"/>
      <w:divBdr>
        <w:top w:val="none" w:sz="0" w:space="0" w:color="auto"/>
        <w:left w:val="none" w:sz="0" w:space="0" w:color="auto"/>
        <w:bottom w:val="none" w:sz="0" w:space="0" w:color="auto"/>
        <w:right w:val="none" w:sz="0" w:space="0" w:color="auto"/>
      </w:divBdr>
    </w:div>
    <w:div w:id="1604847241">
      <w:bodyDiv w:val="1"/>
      <w:marLeft w:val="0"/>
      <w:marRight w:val="0"/>
      <w:marTop w:val="0"/>
      <w:marBottom w:val="0"/>
      <w:divBdr>
        <w:top w:val="none" w:sz="0" w:space="0" w:color="auto"/>
        <w:left w:val="none" w:sz="0" w:space="0" w:color="auto"/>
        <w:bottom w:val="none" w:sz="0" w:space="0" w:color="auto"/>
        <w:right w:val="none" w:sz="0" w:space="0" w:color="auto"/>
      </w:divBdr>
    </w:div>
    <w:div w:id="1622416418">
      <w:bodyDiv w:val="1"/>
      <w:marLeft w:val="0"/>
      <w:marRight w:val="0"/>
      <w:marTop w:val="0"/>
      <w:marBottom w:val="0"/>
      <w:divBdr>
        <w:top w:val="none" w:sz="0" w:space="0" w:color="auto"/>
        <w:left w:val="none" w:sz="0" w:space="0" w:color="auto"/>
        <w:bottom w:val="none" w:sz="0" w:space="0" w:color="auto"/>
        <w:right w:val="none" w:sz="0" w:space="0" w:color="auto"/>
      </w:divBdr>
      <w:divsChild>
        <w:div w:id="2029600838">
          <w:marLeft w:val="0"/>
          <w:marRight w:val="0"/>
          <w:marTop w:val="48"/>
          <w:marBottom w:val="120"/>
          <w:divBdr>
            <w:top w:val="none" w:sz="0" w:space="0" w:color="auto"/>
            <w:left w:val="none" w:sz="0" w:space="0" w:color="auto"/>
            <w:bottom w:val="none" w:sz="0" w:space="0" w:color="auto"/>
            <w:right w:val="none" w:sz="0" w:space="0" w:color="auto"/>
          </w:divBdr>
        </w:div>
      </w:divsChild>
    </w:div>
    <w:div w:id="1634604433">
      <w:bodyDiv w:val="1"/>
      <w:marLeft w:val="0"/>
      <w:marRight w:val="0"/>
      <w:marTop w:val="0"/>
      <w:marBottom w:val="0"/>
      <w:divBdr>
        <w:top w:val="none" w:sz="0" w:space="0" w:color="auto"/>
        <w:left w:val="none" w:sz="0" w:space="0" w:color="auto"/>
        <w:bottom w:val="none" w:sz="0" w:space="0" w:color="auto"/>
        <w:right w:val="none" w:sz="0" w:space="0" w:color="auto"/>
      </w:divBdr>
    </w:div>
    <w:div w:id="1653604704">
      <w:bodyDiv w:val="1"/>
      <w:marLeft w:val="0"/>
      <w:marRight w:val="0"/>
      <w:marTop w:val="0"/>
      <w:marBottom w:val="0"/>
      <w:divBdr>
        <w:top w:val="none" w:sz="0" w:space="0" w:color="auto"/>
        <w:left w:val="none" w:sz="0" w:space="0" w:color="auto"/>
        <w:bottom w:val="none" w:sz="0" w:space="0" w:color="auto"/>
        <w:right w:val="none" w:sz="0" w:space="0" w:color="auto"/>
      </w:divBdr>
    </w:div>
    <w:div w:id="1672218538">
      <w:bodyDiv w:val="1"/>
      <w:marLeft w:val="0"/>
      <w:marRight w:val="0"/>
      <w:marTop w:val="0"/>
      <w:marBottom w:val="0"/>
      <w:divBdr>
        <w:top w:val="none" w:sz="0" w:space="0" w:color="auto"/>
        <w:left w:val="none" w:sz="0" w:space="0" w:color="auto"/>
        <w:bottom w:val="none" w:sz="0" w:space="0" w:color="auto"/>
        <w:right w:val="none" w:sz="0" w:space="0" w:color="auto"/>
      </w:divBdr>
    </w:div>
    <w:div w:id="1722051236">
      <w:bodyDiv w:val="1"/>
      <w:marLeft w:val="0"/>
      <w:marRight w:val="0"/>
      <w:marTop w:val="0"/>
      <w:marBottom w:val="0"/>
      <w:divBdr>
        <w:top w:val="none" w:sz="0" w:space="0" w:color="auto"/>
        <w:left w:val="none" w:sz="0" w:space="0" w:color="auto"/>
        <w:bottom w:val="none" w:sz="0" w:space="0" w:color="auto"/>
        <w:right w:val="none" w:sz="0" w:space="0" w:color="auto"/>
      </w:divBdr>
      <w:divsChild>
        <w:div w:id="2076004527">
          <w:marLeft w:val="0"/>
          <w:marRight w:val="0"/>
          <w:marTop w:val="0"/>
          <w:marBottom w:val="0"/>
          <w:divBdr>
            <w:top w:val="none" w:sz="0" w:space="0" w:color="auto"/>
            <w:left w:val="none" w:sz="0" w:space="0" w:color="auto"/>
            <w:bottom w:val="none" w:sz="0" w:space="0" w:color="auto"/>
            <w:right w:val="none" w:sz="0" w:space="0" w:color="auto"/>
          </w:divBdr>
        </w:div>
        <w:div w:id="1838493000">
          <w:marLeft w:val="0"/>
          <w:marRight w:val="0"/>
          <w:marTop w:val="0"/>
          <w:marBottom w:val="0"/>
          <w:divBdr>
            <w:top w:val="none" w:sz="0" w:space="0" w:color="auto"/>
            <w:left w:val="none" w:sz="0" w:space="0" w:color="auto"/>
            <w:bottom w:val="none" w:sz="0" w:space="0" w:color="auto"/>
            <w:right w:val="none" w:sz="0" w:space="0" w:color="auto"/>
          </w:divBdr>
        </w:div>
        <w:div w:id="713118545">
          <w:marLeft w:val="0"/>
          <w:marRight w:val="0"/>
          <w:marTop w:val="0"/>
          <w:marBottom w:val="0"/>
          <w:divBdr>
            <w:top w:val="none" w:sz="0" w:space="0" w:color="auto"/>
            <w:left w:val="none" w:sz="0" w:space="0" w:color="auto"/>
            <w:bottom w:val="none" w:sz="0" w:space="0" w:color="auto"/>
            <w:right w:val="none" w:sz="0" w:space="0" w:color="auto"/>
          </w:divBdr>
        </w:div>
      </w:divsChild>
    </w:div>
    <w:div w:id="1742436989">
      <w:bodyDiv w:val="1"/>
      <w:marLeft w:val="0"/>
      <w:marRight w:val="0"/>
      <w:marTop w:val="0"/>
      <w:marBottom w:val="0"/>
      <w:divBdr>
        <w:top w:val="none" w:sz="0" w:space="0" w:color="auto"/>
        <w:left w:val="none" w:sz="0" w:space="0" w:color="auto"/>
        <w:bottom w:val="none" w:sz="0" w:space="0" w:color="auto"/>
        <w:right w:val="none" w:sz="0" w:space="0" w:color="auto"/>
      </w:divBdr>
    </w:div>
    <w:div w:id="1803425496">
      <w:bodyDiv w:val="1"/>
      <w:marLeft w:val="0"/>
      <w:marRight w:val="0"/>
      <w:marTop w:val="0"/>
      <w:marBottom w:val="0"/>
      <w:divBdr>
        <w:top w:val="none" w:sz="0" w:space="0" w:color="auto"/>
        <w:left w:val="none" w:sz="0" w:space="0" w:color="auto"/>
        <w:bottom w:val="none" w:sz="0" w:space="0" w:color="auto"/>
        <w:right w:val="none" w:sz="0" w:space="0" w:color="auto"/>
      </w:divBdr>
    </w:div>
    <w:div w:id="1824659221">
      <w:bodyDiv w:val="1"/>
      <w:marLeft w:val="0"/>
      <w:marRight w:val="0"/>
      <w:marTop w:val="0"/>
      <w:marBottom w:val="0"/>
      <w:divBdr>
        <w:top w:val="none" w:sz="0" w:space="0" w:color="auto"/>
        <w:left w:val="none" w:sz="0" w:space="0" w:color="auto"/>
        <w:bottom w:val="none" w:sz="0" w:space="0" w:color="auto"/>
        <w:right w:val="none" w:sz="0" w:space="0" w:color="auto"/>
      </w:divBdr>
    </w:div>
    <w:div w:id="1833794549">
      <w:bodyDiv w:val="1"/>
      <w:marLeft w:val="0"/>
      <w:marRight w:val="0"/>
      <w:marTop w:val="0"/>
      <w:marBottom w:val="0"/>
      <w:divBdr>
        <w:top w:val="none" w:sz="0" w:space="0" w:color="auto"/>
        <w:left w:val="none" w:sz="0" w:space="0" w:color="auto"/>
        <w:bottom w:val="none" w:sz="0" w:space="0" w:color="auto"/>
        <w:right w:val="none" w:sz="0" w:space="0" w:color="auto"/>
      </w:divBdr>
    </w:div>
    <w:div w:id="1933002738">
      <w:bodyDiv w:val="1"/>
      <w:marLeft w:val="0"/>
      <w:marRight w:val="0"/>
      <w:marTop w:val="0"/>
      <w:marBottom w:val="0"/>
      <w:divBdr>
        <w:top w:val="none" w:sz="0" w:space="0" w:color="auto"/>
        <w:left w:val="none" w:sz="0" w:space="0" w:color="auto"/>
        <w:bottom w:val="none" w:sz="0" w:space="0" w:color="auto"/>
        <w:right w:val="none" w:sz="0" w:space="0" w:color="auto"/>
      </w:divBdr>
      <w:divsChild>
        <w:div w:id="1290207628">
          <w:marLeft w:val="0"/>
          <w:marRight w:val="0"/>
          <w:marTop w:val="48"/>
          <w:marBottom w:val="120"/>
          <w:divBdr>
            <w:top w:val="none" w:sz="0" w:space="0" w:color="auto"/>
            <w:left w:val="none" w:sz="0" w:space="0" w:color="auto"/>
            <w:bottom w:val="none" w:sz="0" w:space="0" w:color="auto"/>
            <w:right w:val="none" w:sz="0" w:space="0" w:color="auto"/>
          </w:divBdr>
          <w:divsChild>
            <w:div w:id="114262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01973">
      <w:bodyDiv w:val="1"/>
      <w:marLeft w:val="0"/>
      <w:marRight w:val="0"/>
      <w:marTop w:val="0"/>
      <w:marBottom w:val="0"/>
      <w:divBdr>
        <w:top w:val="none" w:sz="0" w:space="0" w:color="auto"/>
        <w:left w:val="none" w:sz="0" w:space="0" w:color="auto"/>
        <w:bottom w:val="none" w:sz="0" w:space="0" w:color="auto"/>
        <w:right w:val="none" w:sz="0" w:space="0" w:color="auto"/>
      </w:divBdr>
    </w:div>
    <w:div w:id="2000688755">
      <w:bodyDiv w:val="1"/>
      <w:marLeft w:val="0"/>
      <w:marRight w:val="0"/>
      <w:marTop w:val="0"/>
      <w:marBottom w:val="0"/>
      <w:divBdr>
        <w:top w:val="none" w:sz="0" w:space="0" w:color="auto"/>
        <w:left w:val="none" w:sz="0" w:space="0" w:color="auto"/>
        <w:bottom w:val="none" w:sz="0" w:space="0" w:color="auto"/>
        <w:right w:val="none" w:sz="0" w:space="0" w:color="auto"/>
      </w:divBdr>
    </w:div>
    <w:div w:id="2039042256">
      <w:bodyDiv w:val="1"/>
      <w:marLeft w:val="0"/>
      <w:marRight w:val="0"/>
      <w:marTop w:val="0"/>
      <w:marBottom w:val="0"/>
      <w:divBdr>
        <w:top w:val="none" w:sz="0" w:space="0" w:color="auto"/>
        <w:left w:val="none" w:sz="0" w:space="0" w:color="auto"/>
        <w:bottom w:val="none" w:sz="0" w:space="0" w:color="auto"/>
        <w:right w:val="none" w:sz="0" w:space="0" w:color="auto"/>
      </w:divBdr>
    </w:div>
    <w:div w:id="2042438719">
      <w:bodyDiv w:val="1"/>
      <w:marLeft w:val="0"/>
      <w:marRight w:val="0"/>
      <w:marTop w:val="0"/>
      <w:marBottom w:val="0"/>
      <w:divBdr>
        <w:top w:val="none" w:sz="0" w:space="0" w:color="auto"/>
        <w:left w:val="none" w:sz="0" w:space="0" w:color="auto"/>
        <w:bottom w:val="none" w:sz="0" w:space="0" w:color="auto"/>
        <w:right w:val="none" w:sz="0" w:space="0" w:color="auto"/>
      </w:divBdr>
    </w:div>
    <w:div w:id="2091196922">
      <w:bodyDiv w:val="1"/>
      <w:marLeft w:val="0"/>
      <w:marRight w:val="0"/>
      <w:marTop w:val="0"/>
      <w:marBottom w:val="0"/>
      <w:divBdr>
        <w:top w:val="none" w:sz="0" w:space="0" w:color="auto"/>
        <w:left w:val="none" w:sz="0" w:space="0" w:color="auto"/>
        <w:bottom w:val="none" w:sz="0" w:space="0" w:color="auto"/>
        <w:right w:val="none" w:sz="0" w:space="0" w:color="auto"/>
      </w:divBdr>
    </w:div>
    <w:div w:id="2111001469">
      <w:bodyDiv w:val="1"/>
      <w:marLeft w:val="0"/>
      <w:marRight w:val="0"/>
      <w:marTop w:val="0"/>
      <w:marBottom w:val="0"/>
      <w:divBdr>
        <w:top w:val="none" w:sz="0" w:space="0" w:color="auto"/>
        <w:left w:val="none" w:sz="0" w:space="0" w:color="auto"/>
        <w:bottom w:val="none" w:sz="0" w:space="0" w:color="auto"/>
        <w:right w:val="none" w:sz="0" w:space="0" w:color="auto"/>
      </w:divBdr>
    </w:div>
    <w:div w:id="211617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57C8-0CA5-4514-B214-06E41FFE9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3415</Words>
  <Characters>19471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Ong Chiat Ling </dc:creator>
  <cp:keywords/>
  <dc:description/>
  <cp:lastModifiedBy>Poonam Mutha</cp:lastModifiedBy>
  <cp:revision>4</cp:revision>
  <dcterms:created xsi:type="dcterms:W3CDTF">2024-02-17T04:38:00Z</dcterms:created>
  <dcterms:modified xsi:type="dcterms:W3CDTF">2024-03-20T10:27:00Z</dcterms:modified>
</cp:coreProperties>
</file>