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b/>
          <w:bCs/>
          <w:sz w:val="21"/>
          <w:szCs w:val="21"/>
        </w:rPr>
      </w:pPr>
      <w:r>
        <w:rPr>
          <w:rFonts w:hint="eastAsia"/>
          <w:b/>
          <w:bCs/>
          <w:sz w:val="21"/>
          <w:szCs w:val="21"/>
        </w:rPr>
        <w:t>Supporting Informations</w:t>
      </w:r>
    </w:p>
    <w:p>
      <w:pPr>
        <w:spacing w:line="480" w:lineRule="auto"/>
        <w:jc w:val="center"/>
        <w:rPr>
          <w:kern w:val="2"/>
          <w:sz w:val="30"/>
          <w:szCs w:val="30"/>
        </w:rPr>
      </w:pPr>
      <w:r>
        <w:rPr>
          <w:sz w:val="44"/>
          <w:szCs w:val="44"/>
        </w:rPr>
        <w:t xml:space="preserve"> </w:t>
      </w:r>
      <w:r>
        <w:rPr>
          <w:kern w:val="2"/>
          <w:sz w:val="30"/>
          <w:szCs w:val="30"/>
        </w:rPr>
        <w:t xml:space="preserve">The </w:t>
      </w:r>
      <w:r>
        <w:rPr>
          <w:rFonts w:hint="eastAsia"/>
          <w:kern w:val="2"/>
          <w:sz w:val="30"/>
          <w:szCs w:val="30"/>
        </w:rPr>
        <w:t>B</w:t>
      </w:r>
      <w:r>
        <w:rPr>
          <w:kern w:val="2"/>
          <w:sz w:val="30"/>
          <w:szCs w:val="30"/>
        </w:rPr>
        <w:t xml:space="preserve">ulk and </w:t>
      </w:r>
      <w:r>
        <w:rPr>
          <w:rFonts w:hint="eastAsia"/>
          <w:kern w:val="2"/>
          <w:sz w:val="30"/>
          <w:szCs w:val="30"/>
        </w:rPr>
        <w:t>S</w:t>
      </w:r>
      <w:r>
        <w:rPr>
          <w:kern w:val="2"/>
          <w:sz w:val="30"/>
          <w:szCs w:val="30"/>
        </w:rPr>
        <w:t xml:space="preserve">olution </w:t>
      </w:r>
      <w:r>
        <w:rPr>
          <w:rFonts w:hint="eastAsia"/>
          <w:kern w:val="2"/>
          <w:sz w:val="30"/>
          <w:szCs w:val="30"/>
        </w:rPr>
        <w:t>P</w:t>
      </w:r>
      <w:r>
        <w:rPr>
          <w:kern w:val="2"/>
          <w:sz w:val="30"/>
          <w:szCs w:val="30"/>
        </w:rPr>
        <w:t xml:space="preserve">roperties Investigation of </w:t>
      </w:r>
      <w:r>
        <w:rPr>
          <w:rFonts w:hint="eastAsia"/>
          <w:kern w:val="2"/>
          <w:sz w:val="30"/>
          <w:szCs w:val="30"/>
        </w:rPr>
        <w:t>M</w:t>
      </w:r>
      <w:r>
        <w:rPr>
          <w:kern w:val="2"/>
          <w:sz w:val="30"/>
          <w:szCs w:val="30"/>
        </w:rPr>
        <w:t xml:space="preserve">ultiblock </w:t>
      </w:r>
      <w:r>
        <w:rPr>
          <w:rFonts w:hint="eastAsia"/>
          <w:kern w:val="2"/>
          <w:sz w:val="30"/>
          <w:szCs w:val="30"/>
        </w:rPr>
        <w:t>P</w:t>
      </w:r>
      <w:r>
        <w:rPr>
          <w:kern w:val="2"/>
          <w:sz w:val="30"/>
          <w:szCs w:val="30"/>
        </w:rPr>
        <w:t>olyether</w:t>
      </w:r>
    </w:p>
    <w:p>
      <w:pPr>
        <w:pStyle w:val="6"/>
        <w:spacing w:line="440" w:lineRule="exact"/>
        <w:jc w:val="center"/>
        <w:rPr>
          <w:szCs w:val="21"/>
        </w:rPr>
      </w:pPr>
      <w:r>
        <w:rPr>
          <w:szCs w:val="21"/>
        </w:rPr>
        <w:t>Xiaoxia Jiang</w:t>
      </w:r>
      <w:r>
        <w:rPr>
          <w:i/>
          <w:iCs/>
          <w:szCs w:val="21"/>
          <w:vertAlign w:val="superscript"/>
        </w:rPr>
        <w:t>a</w:t>
      </w:r>
      <w:r>
        <w:rPr>
          <w:szCs w:val="21"/>
        </w:rPr>
        <w:t>*, Zhiqing Zhang</w:t>
      </w:r>
      <w:r>
        <w:rPr>
          <w:i/>
          <w:iCs/>
          <w:szCs w:val="21"/>
          <w:vertAlign w:val="superscript"/>
        </w:rPr>
        <w:t>b</w:t>
      </w:r>
      <w:r>
        <w:rPr>
          <w:szCs w:val="21"/>
        </w:rPr>
        <w:t>, Xiaoxia Jin</w:t>
      </w:r>
      <w:r>
        <w:rPr>
          <w:i/>
          <w:iCs/>
          <w:szCs w:val="21"/>
          <w:vertAlign w:val="superscript"/>
        </w:rPr>
        <w:t>a</w:t>
      </w:r>
      <w:r>
        <w:rPr>
          <w:szCs w:val="21"/>
        </w:rPr>
        <w:t>, Xiaojie Wang</w:t>
      </w:r>
      <w:r>
        <w:rPr>
          <w:i/>
          <w:iCs/>
          <w:szCs w:val="21"/>
          <w:vertAlign w:val="superscript"/>
        </w:rPr>
        <w:t>a</w:t>
      </w:r>
      <w:r>
        <w:rPr>
          <w:szCs w:val="21"/>
        </w:rPr>
        <w:t>, Yangang Bi</w:t>
      </w:r>
      <w:r>
        <w:rPr>
          <w:i/>
          <w:iCs/>
          <w:szCs w:val="21"/>
          <w:vertAlign w:val="superscript"/>
        </w:rPr>
        <w:t>c</w:t>
      </w:r>
      <w:r>
        <w:rPr>
          <w:szCs w:val="21"/>
        </w:rPr>
        <w:t xml:space="preserve">* </w:t>
      </w:r>
      <w:r>
        <w:rPr>
          <w:rFonts w:hint="eastAsia"/>
          <w:szCs w:val="21"/>
        </w:rPr>
        <w:t>Su</w:t>
      </w:r>
      <w:r>
        <w:rPr>
          <w:szCs w:val="21"/>
        </w:rPr>
        <w:t>kyoung Choi</w:t>
      </w:r>
      <w:r>
        <w:rPr>
          <w:i/>
          <w:iCs/>
          <w:szCs w:val="21"/>
          <w:vertAlign w:val="superscript"/>
        </w:rPr>
        <w:t>c</w:t>
      </w:r>
      <w:r>
        <w:rPr>
          <w:szCs w:val="21"/>
        </w:rPr>
        <w:t>, Fan Dou</w:t>
      </w:r>
      <w:r>
        <w:rPr>
          <w:i/>
          <w:iCs/>
          <w:szCs w:val="21"/>
          <w:vertAlign w:val="superscript"/>
        </w:rPr>
        <w:t>c</w:t>
      </w:r>
    </w:p>
    <w:p>
      <w:pPr>
        <w:pStyle w:val="6"/>
        <w:spacing w:line="440" w:lineRule="exact"/>
        <w:jc w:val="center"/>
        <w:rPr>
          <w:i/>
          <w:iCs/>
          <w:szCs w:val="21"/>
        </w:rPr>
      </w:pPr>
      <w:r>
        <w:rPr>
          <w:i/>
          <w:iCs/>
          <w:szCs w:val="21"/>
          <w:vertAlign w:val="superscript"/>
        </w:rPr>
        <w:t>a</w:t>
      </w:r>
      <w:r>
        <w:rPr>
          <w:i/>
          <w:iCs/>
          <w:szCs w:val="21"/>
        </w:rPr>
        <w:t xml:space="preserve"> Shandong Weihai Eco-Environment Monitoring Center, Shandong, 264200, China</w:t>
      </w:r>
    </w:p>
    <w:p>
      <w:pPr>
        <w:jc w:val="center"/>
        <w:rPr>
          <w:i/>
          <w:iCs/>
          <w:szCs w:val="21"/>
        </w:rPr>
      </w:pPr>
      <w:r>
        <w:rPr>
          <w:i/>
          <w:iCs/>
          <w:szCs w:val="21"/>
          <w:vertAlign w:val="superscript"/>
        </w:rPr>
        <w:t xml:space="preserve">b </w:t>
      </w:r>
      <w:r>
        <w:rPr>
          <w:i/>
          <w:iCs/>
          <w:szCs w:val="21"/>
        </w:rPr>
        <w:t>China University of Petroleum (East China), Shandong, 266580, China</w:t>
      </w:r>
    </w:p>
    <w:p>
      <w:pPr>
        <w:jc w:val="center"/>
        <w:rPr>
          <w:i/>
          <w:iCs/>
          <w:szCs w:val="21"/>
        </w:rPr>
      </w:pPr>
      <w:r>
        <w:rPr>
          <w:i/>
          <w:iCs/>
          <w:szCs w:val="21"/>
          <w:vertAlign w:val="superscript"/>
        </w:rPr>
        <w:t xml:space="preserve">c </w:t>
      </w:r>
      <w:r>
        <w:rPr>
          <w:i/>
          <w:iCs/>
          <w:szCs w:val="21"/>
        </w:rPr>
        <w:t>Yantai Shield Materials Technology Co., Ltd., Shandong, 264006, China</w:t>
      </w:r>
    </w:p>
    <w:p>
      <w:pPr>
        <w:jc w:val="center"/>
        <w:rPr>
          <w:i/>
          <w:iCs/>
          <w:szCs w:val="21"/>
        </w:rPr>
      </w:pPr>
    </w:p>
    <w:p>
      <w:pPr>
        <w:jc w:val="both"/>
        <w:rPr>
          <w:b/>
          <w:bCs/>
          <w:i/>
          <w:iCs/>
          <w:szCs w:val="21"/>
        </w:rPr>
      </w:pPr>
      <w:r>
        <w:rPr>
          <w:rFonts w:hint="eastAsia"/>
          <w:b/>
          <w:bCs/>
          <w:sz w:val="21"/>
          <w:szCs w:val="21"/>
        </w:rPr>
        <w:t xml:space="preserve">1 </w:t>
      </w:r>
      <w:r>
        <w:rPr>
          <w:b/>
          <w:bCs/>
          <w:sz w:val="21"/>
          <w:szCs w:val="21"/>
        </w:rPr>
        <w:t xml:space="preserve">Hypothetical instructions of multiblock copolymers </w:t>
      </w:r>
    </w:p>
    <w:p>
      <w:pPr>
        <w:spacing w:line="360" w:lineRule="auto"/>
        <w:ind w:firstLine="480" w:firstLineChars="200"/>
        <w:jc w:val="both"/>
      </w:pPr>
      <w:r>
        <w:t xml:space="preserve">The theoretical instruction of the multiblock copolyethers was shown in Table </w:t>
      </w:r>
      <w:r>
        <w:rPr>
          <w:rFonts w:hint="eastAsia"/>
        </w:rPr>
        <w:t>S</w:t>
      </w:r>
      <w:r>
        <w:t>1. These multiblock copolymers ha</w:t>
      </w:r>
      <w:r>
        <w:rPr>
          <w:rFonts w:hint="eastAsia"/>
          <w:lang w:val="en-US" w:eastAsia="zh-CN"/>
        </w:rPr>
        <w:t>d</w:t>
      </w:r>
      <w:r>
        <w:t xml:space="preserve"> the same value of EO/PO and different numbers of the block. It was considered that there were three, five and seven blocks in three kinds of copolymers respectively in theory and named tri-, penta- and hepta-block copolymers ( E340, E540 and E740 ).</w:t>
      </w:r>
    </w:p>
    <w:p>
      <w:pPr>
        <w:spacing w:line="360" w:lineRule="auto"/>
        <w:jc w:val="center"/>
        <w:rPr>
          <w:b/>
          <w:bCs/>
          <w:sz w:val="21"/>
          <w:szCs w:val="21"/>
        </w:rPr>
      </w:pPr>
      <w:r>
        <w:rPr>
          <w:b/>
          <w:bCs/>
          <w:sz w:val="21"/>
          <w:szCs w:val="21"/>
        </w:rPr>
        <w:t xml:space="preserve">Table </w:t>
      </w:r>
      <w:r>
        <w:rPr>
          <w:rFonts w:hint="eastAsia"/>
          <w:b/>
          <w:bCs/>
          <w:sz w:val="21"/>
          <w:szCs w:val="21"/>
        </w:rPr>
        <w:t>S</w:t>
      </w:r>
      <w:r>
        <w:rPr>
          <w:b/>
          <w:bCs/>
          <w:sz w:val="21"/>
          <w:szCs w:val="21"/>
        </w:rPr>
        <w:t xml:space="preserve">1 </w:t>
      </w:r>
      <w:r>
        <w:rPr>
          <w:b w:val="0"/>
          <w:bCs w:val="0"/>
          <w:sz w:val="21"/>
          <w:szCs w:val="21"/>
        </w:rPr>
        <w:t>Hypothetical i</w:t>
      </w:r>
      <w:r>
        <w:rPr>
          <w:sz w:val="21"/>
          <w:szCs w:val="21"/>
        </w:rPr>
        <w:t>nstructions of m</w:t>
      </w:r>
      <w:bookmarkStart w:id="5" w:name="_GoBack"/>
      <w:bookmarkEnd w:id="5"/>
      <w:r>
        <w:rPr>
          <w:sz w:val="21"/>
          <w:szCs w:val="21"/>
        </w:rPr>
        <w:t>ultiblock copolymers in this study</w:t>
      </w:r>
    </w:p>
    <w:tbl>
      <w:tblPr>
        <w:tblStyle w:val="3"/>
        <w:tblW w:w="50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042"/>
        <w:gridCol w:w="3856"/>
        <w:gridCol w:w="1157"/>
        <w:gridCol w:w="885"/>
        <w:gridCol w:w="859"/>
        <w:gridCol w:w="72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611" w:type="pct"/>
          </w:tcPr>
          <w:p>
            <w:pPr>
              <w:widowControl w:val="0"/>
              <w:spacing w:line="360" w:lineRule="auto"/>
              <w:jc w:val="center"/>
            </w:pPr>
            <w:r>
              <w:t>Sample Number</w:t>
            </w:r>
          </w:p>
        </w:tc>
        <w:tc>
          <w:tcPr>
            <w:tcW w:w="2261" w:type="pct"/>
            <w:vAlign w:val="center"/>
          </w:tcPr>
          <w:p>
            <w:pPr>
              <w:widowControl w:val="0"/>
              <w:jc w:val="center"/>
              <w:rPr>
                <w:rFonts w:eastAsia="AdvGulliv-B"/>
              </w:rPr>
            </w:pPr>
            <w:r>
              <w:t>Structure</w:t>
            </w:r>
          </w:p>
        </w:tc>
        <w:tc>
          <w:tcPr>
            <w:tcW w:w="678" w:type="pct"/>
            <w:vAlign w:val="center"/>
          </w:tcPr>
          <w:p>
            <w:pPr>
              <w:widowControl w:val="0"/>
              <w:jc w:val="center"/>
            </w:pPr>
            <w:r>
              <w:t>Block numbers</w:t>
            </w:r>
          </w:p>
        </w:tc>
        <w:tc>
          <w:tcPr>
            <w:tcW w:w="519" w:type="pct"/>
            <w:vAlign w:val="center"/>
          </w:tcPr>
          <w:p>
            <w:pPr>
              <w:widowControl w:val="0"/>
              <w:jc w:val="center"/>
            </w:pPr>
            <w:r>
              <w:t>EO</w:t>
            </w:r>
          </w:p>
          <w:p>
            <w:pPr>
              <w:widowControl w:val="0"/>
              <w:jc w:val="center"/>
              <w:rPr>
                <w:rFonts w:eastAsia="AdvGulliv-B"/>
              </w:rPr>
            </w:pPr>
            <w:r>
              <w:t>(wt%)</w:t>
            </w:r>
          </w:p>
        </w:tc>
        <w:tc>
          <w:tcPr>
            <w:tcW w:w="504" w:type="pct"/>
            <w:vAlign w:val="center"/>
          </w:tcPr>
          <w:p>
            <w:pPr>
              <w:widowControl w:val="0"/>
              <w:jc w:val="center"/>
            </w:pPr>
            <w:r>
              <w:t>PO</w:t>
            </w:r>
          </w:p>
          <w:p>
            <w:pPr>
              <w:widowControl w:val="0"/>
              <w:jc w:val="center"/>
              <w:rPr>
                <w:rFonts w:eastAsia="AdvGulliv-B"/>
              </w:rPr>
            </w:pPr>
            <w:r>
              <w:t>(wt%)</w:t>
            </w:r>
          </w:p>
        </w:tc>
        <w:tc>
          <w:tcPr>
            <w:tcW w:w="424" w:type="pct"/>
            <w:vAlign w:val="center"/>
          </w:tcPr>
          <w:p>
            <w:pPr>
              <w:widowControl w:val="0"/>
              <w:jc w:val="center"/>
            </w:pPr>
            <w:r>
              <w:t>HLB</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611" w:type="pct"/>
          </w:tcPr>
          <w:p>
            <w:pPr>
              <w:widowControl w:val="0"/>
              <w:spacing w:line="360" w:lineRule="auto"/>
              <w:jc w:val="center"/>
              <w:rPr>
                <w:sz w:val="18"/>
                <w:szCs w:val="18"/>
              </w:rPr>
            </w:pPr>
            <w:r>
              <w:rPr>
                <w:sz w:val="18"/>
                <w:szCs w:val="18"/>
              </w:rPr>
              <w:t>E340</w:t>
            </w:r>
          </w:p>
        </w:tc>
        <w:tc>
          <w:tcPr>
            <w:tcW w:w="2261" w:type="pct"/>
            <w:vAlign w:val="bottom"/>
          </w:tcPr>
          <w:p>
            <w:pPr>
              <w:widowControl w:val="0"/>
              <w:jc w:val="center"/>
              <w:rPr>
                <w:rFonts w:eastAsia="AdvGulliv-R"/>
                <w:vertAlign w:val="subscript"/>
              </w:rPr>
            </w:pPr>
            <w:r>
              <w:rPr>
                <w:sz w:val="18"/>
                <w:szCs w:val="18"/>
              </w:rPr>
              <w:t>PPO</w:t>
            </w:r>
            <w:r>
              <w:rPr>
                <w:sz w:val="18"/>
                <w:szCs w:val="18"/>
                <w:vertAlign w:val="subscript"/>
              </w:rPr>
              <w:t>26</w:t>
            </w:r>
            <w:r>
              <w:rPr>
                <w:sz w:val="18"/>
                <w:szCs w:val="18"/>
              </w:rPr>
              <w:t>-PEO</w:t>
            </w:r>
            <w:r>
              <w:rPr>
                <w:sz w:val="18"/>
                <w:szCs w:val="18"/>
                <w:vertAlign w:val="subscript"/>
              </w:rPr>
              <w:t>45</w:t>
            </w:r>
            <w:r>
              <w:rPr>
                <w:sz w:val="18"/>
                <w:szCs w:val="18"/>
              </w:rPr>
              <w:t>-PPO</w:t>
            </w:r>
            <w:r>
              <w:rPr>
                <w:sz w:val="18"/>
                <w:szCs w:val="18"/>
                <w:vertAlign w:val="subscript"/>
              </w:rPr>
              <w:t>26</w:t>
            </w:r>
          </w:p>
        </w:tc>
        <w:tc>
          <w:tcPr>
            <w:tcW w:w="678" w:type="pct"/>
            <w:vAlign w:val="bottom"/>
          </w:tcPr>
          <w:p>
            <w:pPr>
              <w:widowControl w:val="0"/>
              <w:spacing w:line="360" w:lineRule="auto"/>
              <w:jc w:val="center"/>
              <w:rPr>
                <w:rFonts w:eastAsia="AdvGulliv-B"/>
                <w:sz w:val="18"/>
                <w:szCs w:val="18"/>
              </w:rPr>
            </w:pPr>
            <w:r>
              <w:rPr>
                <w:rFonts w:eastAsia="AdvGulliv-B"/>
                <w:sz w:val="18"/>
                <w:szCs w:val="18"/>
              </w:rPr>
              <w:t>3</w:t>
            </w:r>
          </w:p>
        </w:tc>
        <w:tc>
          <w:tcPr>
            <w:tcW w:w="519" w:type="pct"/>
            <w:vAlign w:val="center"/>
          </w:tcPr>
          <w:p>
            <w:pPr>
              <w:widowControl w:val="0"/>
              <w:jc w:val="center"/>
              <w:rPr>
                <w:rFonts w:eastAsia="AdvGulliv-B"/>
                <w:sz w:val="18"/>
                <w:szCs w:val="18"/>
              </w:rPr>
            </w:pPr>
            <w:r>
              <w:rPr>
                <w:sz w:val="18"/>
                <w:szCs w:val="18"/>
              </w:rPr>
              <w:t>40</w:t>
            </w:r>
          </w:p>
        </w:tc>
        <w:tc>
          <w:tcPr>
            <w:tcW w:w="504" w:type="pct"/>
            <w:vAlign w:val="center"/>
          </w:tcPr>
          <w:p>
            <w:pPr>
              <w:widowControl w:val="0"/>
              <w:jc w:val="center"/>
              <w:rPr>
                <w:rFonts w:eastAsia="AdvGulliv-B"/>
                <w:sz w:val="18"/>
                <w:szCs w:val="18"/>
              </w:rPr>
            </w:pPr>
            <w:r>
              <w:rPr>
                <w:sz w:val="18"/>
                <w:szCs w:val="18"/>
              </w:rPr>
              <w:t>60</w:t>
            </w:r>
          </w:p>
        </w:tc>
        <w:tc>
          <w:tcPr>
            <w:tcW w:w="424" w:type="pct"/>
            <w:vAlign w:val="center"/>
          </w:tcPr>
          <w:p>
            <w:pPr>
              <w:widowControl w:val="0"/>
              <w:jc w:val="center"/>
              <w:rPr>
                <w:sz w:val="18"/>
                <w:szCs w:val="18"/>
              </w:rPr>
            </w:pPr>
            <w:r>
              <w:rPr>
                <w:sz w:val="18"/>
                <w:szCs w:val="18"/>
              </w:rPr>
              <w:t>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611" w:type="pct"/>
          </w:tcPr>
          <w:p>
            <w:pPr>
              <w:widowControl w:val="0"/>
              <w:spacing w:line="360" w:lineRule="auto"/>
              <w:jc w:val="center"/>
              <w:rPr>
                <w:sz w:val="18"/>
                <w:szCs w:val="18"/>
              </w:rPr>
            </w:pPr>
            <w:r>
              <w:rPr>
                <w:sz w:val="18"/>
                <w:szCs w:val="18"/>
              </w:rPr>
              <w:t>E540</w:t>
            </w:r>
          </w:p>
        </w:tc>
        <w:tc>
          <w:tcPr>
            <w:tcW w:w="2261" w:type="pct"/>
            <w:vAlign w:val="center"/>
          </w:tcPr>
          <w:p>
            <w:pPr>
              <w:widowControl w:val="0"/>
              <w:jc w:val="center"/>
              <w:rPr>
                <w:rFonts w:eastAsia="AdvGulliv-B"/>
              </w:rPr>
            </w:pPr>
            <w:r>
              <w:rPr>
                <w:sz w:val="18"/>
                <w:szCs w:val="18"/>
              </w:rPr>
              <w:t>PEO</w:t>
            </w:r>
            <w:r>
              <w:rPr>
                <w:sz w:val="18"/>
                <w:szCs w:val="18"/>
                <w:vertAlign w:val="subscript"/>
              </w:rPr>
              <w:t>11</w:t>
            </w:r>
            <w:r>
              <w:rPr>
                <w:sz w:val="18"/>
                <w:szCs w:val="18"/>
              </w:rPr>
              <w:t>-PPO</w:t>
            </w:r>
            <w:r>
              <w:rPr>
                <w:sz w:val="18"/>
                <w:szCs w:val="18"/>
                <w:vertAlign w:val="subscript"/>
              </w:rPr>
              <w:t>26</w:t>
            </w:r>
            <w:r>
              <w:rPr>
                <w:sz w:val="18"/>
                <w:szCs w:val="18"/>
              </w:rPr>
              <w:t>-PEO</w:t>
            </w:r>
            <w:r>
              <w:rPr>
                <w:sz w:val="18"/>
                <w:szCs w:val="18"/>
                <w:vertAlign w:val="subscript"/>
              </w:rPr>
              <w:t>23</w:t>
            </w:r>
            <w:r>
              <w:rPr>
                <w:sz w:val="18"/>
                <w:szCs w:val="18"/>
              </w:rPr>
              <w:t>-PPO</w:t>
            </w:r>
            <w:r>
              <w:rPr>
                <w:sz w:val="18"/>
                <w:szCs w:val="18"/>
                <w:vertAlign w:val="subscript"/>
              </w:rPr>
              <w:t>26</w:t>
            </w:r>
            <w:r>
              <w:rPr>
                <w:sz w:val="18"/>
                <w:szCs w:val="18"/>
              </w:rPr>
              <w:t>-PEO</w:t>
            </w:r>
            <w:r>
              <w:rPr>
                <w:sz w:val="18"/>
                <w:szCs w:val="18"/>
                <w:vertAlign w:val="subscript"/>
              </w:rPr>
              <w:t>11</w:t>
            </w:r>
          </w:p>
        </w:tc>
        <w:tc>
          <w:tcPr>
            <w:tcW w:w="678" w:type="pct"/>
            <w:vAlign w:val="center"/>
          </w:tcPr>
          <w:p>
            <w:pPr>
              <w:widowControl w:val="0"/>
              <w:jc w:val="center"/>
              <w:rPr>
                <w:sz w:val="18"/>
                <w:szCs w:val="18"/>
              </w:rPr>
            </w:pPr>
            <w:r>
              <w:rPr>
                <w:sz w:val="18"/>
                <w:szCs w:val="18"/>
              </w:rPr>
              <w:t>5</w:t>
            </w:r>
          </w:p>
        </w:tc>
        <w:tc>
          <w:tcPr>
            <w:tcW w:w="519" w:type="pct"/>
            <w:vAlign w:val="center"/>
          </w:tcPr>
          <w:p>
            <w:pPr>
              <w:widowControl w:val="0"/>
              <w:jc w:val="center"/>
              <w:rPr>
                <w:rFonts w:eastAsia="AdvGulliv-B"/>
                <w:sz w:val="18"/>
                <w:szCs w:val="18"/>
              </w:rPr>
            </w:pPr>
            <w:r>
              <w:rPr>
                <w:sz w:val="18"/>
                <w:szCs w:val="18"/>
              </w:rPr>
              <w:t>40</w:t>
            </w:r>
          </w:p>
        </w:tc>
        <w:tc>
          <w:tcPr>
            <w:tcW w:w="504" w:type="pct"/>
            <w:vAlign w:val="center"/>
          </w:tcPr>
          <w:p>
            <w:pPr>
              <w:widowControl w:val="0"/>
              <w:jc w:val="center"/>
              <w:rPr>
                <w:rFonts w:eastAsia="AdvGulliv-B"/>
                <w:sz w:val="18"/>
                <w:szCs w:val="18"/>
              </w:rPr>
            </w:pPr>
            <w:r>
              <w:rPr>
                <w:sz w:val="18"/>
                <w:szCs w:val="18"/>
              </w:rPr>
              <w:t>60</w:t>
            </w:r>
          </w:p>
        </w:tc>
        <w:tc>
          <w:tcPr>
            <w:tcW w:w="424" w:type="pct"/>
            <w:vAlign w:val="center"/>
          </w:tcPr>
          <w:p>
            <w:pPr>
              <w:widowControl w:val="0"/>
              <w:jc w:val="center"/>
              <w:rPr>
                <w:sz w:val="18"/>
                <w:szCs w:val="18"/>
              </w:rPr>
            </w:pPr>
            <w:r>
              <w:rPr>
                <w:sz w:val="18"/>
                <w:szCs w:val="18"/>
              </w:rPr>
              <w:t>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611" w:type="pct"/>
          </w:tcPr>
          <w:p>
            <w:pPr>
              <w:widowControl w:val="0"/>
              <w:spacing w:line="360" w:lineRule="auto"/>
              <w:jc w:val="center"/>
              <w:rPr>
                <w:sz w:val="18"/>
                <w:szCs w:val="18"/>
              </w:rPr>
            </w:pPr>
            <w:r>
              <w:rPr>
                <w:sz w:val="18"/>
                <w:szCs w:val="18"/>
              </w:rPr>
              <w:t>E740</w:t>
            </w:r>
          </w:p>
        </w:tc>
        <w:tc>
          <w:tcPr>
            <w:tcW w:w="2261" w:type="pct"/>
            <w:vAlign w:val="center"/>
          </w:tcPr>
          <w:p>
            <w:pPr>
              <w:widowControl w:val="0"/>
              <w:jc w:val="center"/>
            </w:pPr>
            <w:r>
              <w:rPr>
                <w:sz w:val="18"/>
                <w:szCs w:val="18"/>
              </w:rPr>
              <w:t>PPO</w:t>
            </w:r>
            <w:r>
              <w:rPr>
                <w:sz w:val="18"/>
                <w:szCs w:val="18"/>
                <w:vertAlign w:val="subscript"/>
              </w:rPr>
              <w:t>9</w:t>
            </w:r>
            <w:r>
              <w:rPr>
                <w:sz w:val="18"/>
                <w:szCs w:val="18"/>
              </w:rPr>
              <w:t>-PEO</w:t>
            </w:r>
            <w:r>
              <w:rPr>
                <w:sz w:val="18"/>
                <w:szCs w:val="18"/>
                <w:vertAlign w:val="subscript"/>
              </w:rPr>
              <w:t>11</w:t>
            </w:r>
            <w:r>
              <w:rPr>
                <w:sz w:val="18"/>
                <w:szCs w:val="18"/>
              </w:rPr>
              <w:t>-PPO</w:t>
            </w:r>
            <w:r>
              <w:rPr>
                <w:sz w:val="18"/>
                <w:szCs w:val="18"/>
                <w:vertAlign w:val="subscript"/>
              </w:rPr>
              <w:t>17</w:t>
            </w:r>
            <w:r>
              <w:rPr>
                <w:sz w:val="18"/>
                <w:szCs w:val="18"/>
              </w:rPr>
              <w:t>-PEO</w:t>
            </w:r>
            <w:r>
              <w:rPr>
                <w:sz w:val="18"/>
                <w:szCs w:val="18"/>
                <w:vertAlign w:val="subscript"/>
              </w:rPr>
              <w:t>23</w:t>
            </w:r>
            <w:r>
              <w:rPr>
                <w:sz w:val="18"/>
                <w:szCs w:val="18"/>
              </w:rPr>
              <w:t>-PPO</w:t>
            </w:r>
            <w:r>
              <w:rPr>
                <w:sz w:val="18"/>
                <w:szCs w:val="18"/>
                <w:vertAlign w:val="subscript"/>
              </w:rPr>
              <w:t>17</w:t>
            </w:r>
            <w:r>
              <w:rPr>
                <w:sz w:val="18"/>
                <w:szCs w:val="18"/>
              </w:rPr>
              <w:t>-PEO</w:t>
            </w:r>
            <w:r>
              <w:rPr>
                <w:sz w:val="18"/>
                <w:szCs w:val="18"/>
                <w:vertAlign w:val="subscript"/>
              </w:rPr>
              <w:t>11</w:t>
            </w:r>
            <w:r>
              <w:rPr>
                <w:sz w:val="18"/>
                <w:szCs w:val="18"/>
              </w:rPr>
              <w:t>-PPO</w:t>
            </w:r>
            <w:r>
              <w:rPr>
                <w:sz w:val="18"/>
                <w:szCs w:val="18"/>
                <w:vertAlign w:val="subscript"/>
              </w:rPr>
              <w:t>9</w:t>
            </w:r>
          </w:p>
        </w:tc>
        <w:tc>
          <w:tcPr>
            <w:tcW w:w="678" w:type="pct"/>
            <w:vAlign w:val="center"/>
          </w:tcPr>
          <w:p>
            <w:pPr>
              <w:widowControl w:val="0"/>
              <w:jc w:val="center"/>
              <w:rPr>
                <w:sz w:val="18"/>
                <w:szCs w:val="18"/>
              </w:rPr>
            </w:pPr>
            <w:r>
              <w:rPr>
                <w:sz w:val="18"/>
                <w:szCs w:val="18"/>
              </w:rPr>
              <w:t>7</w:t>
            </w:r>
          </w:p>
        </w:tc>
        <w:tc>
          <w:tcPr>
            <w:tcW w:w="519" w:type="pct"/>
            <w:vAlign w:val="center"/>
          </w:tcPr>
          <w:p>
            <w:pPr>
              <w:widowControl w:val="0"/>
              <w:jc w:val="center"/>
              <w:rPr>
                <w:rFonts w:eastAsia="AdvGulliv-B"/>
                <w:sz w:val="18"/>
                <w:szCs w:val="18"/>
              </w:rPr>
            </w:pPr>
            <w:r>
              <w:rPr>
                <w:sz w:val="18"/>
                <w:szCs w:val="18"/>
              </w:rPr>
              <w:t>40</w:t>
            </w:r>
          </w:p>
        </w:tc>
        <w:tc>
          <w:tcPr>
            <w:tcW w:w="504" w:type="pct"/>
            <w:vAlign w:val="center"/>
          </w:tcPr>
          <w:p>
            <w:pPr>
              <w:widowControl w:val="0"/>
              <w:jc w:val="center"/>
              <w:rPr>
                <w:rFonts w:eastAsia="AdvGulliv-B"/>
                <w:sz w:val="18"/>
                <w:szCs w:val="18"/>
              </w:rPr>
            </w:pPr>
            <w:r>
              <w:rPr>
                <w:sz w:val="18"/>
                <w:szCs w:val="18"/>
              </w:rPr>
              <w:t>60</w:t>
            </w:r>
          </w:p>
        </w:tc>
        <w:tc>
          <w:tcPr>
            <w:tcW w:w="424" w:type="pct"/>
            <w:vAlign w:val="center"/>
          </w:tcPr>
          <w:p>
            <w:pPr>
              <w:widowControl w:val="0"/>
              <w:jc w:val="center"/>
              <w:rPr>
                <w:sz w:val="18"/>
                <w:szCs w:val="18"/>
              </w:rPr>
            </w:pPr>
            <w:r>
              <w:rPr>
                <w:sz w:val="18"/>
                <w:szCs w:val="18"/>
              </w:rPr>
              <w:t>8</w:t>
            </w:r>
          </w:p>
        </w:tc>
      </w:tr>
    </w:tbl>
    <w:p/>
    <w:p>
      <w:pPr>
        <w:pStyle w:val="6"/>
        <w:widowControl w:val="0"/>
        <w:ind w:firstLine="0"/>
        <w:jc w:val="both"/>
        <w:rPr>
          <w:b/>
          <w:bCs/>
          <w:kern w:val="2"/>
        </w:rPr>
      </w:pPr>
      <w:r>
        <w:rPr>
          <w:b/>
          <w:bCs/>
          <w:kern w:val="2"/>
        </w:rPr>
        <w:t>2 Characterization</w:t>
      </w:r>
    </w:p>
    <w:p>
      <w:pPr>
        <w:spacing w:line="360" w:lineRule="auto"/>
        <w:jc w:val="both"/>
      </w:pPr>
      <w:r>
        <w:rPr>
          <w:rFonts w:hint="eastAsia"/>
        </w:rPr>
        <w:t>2.1 FT-IR</w:t>
      </w:r>
    </w:p>
    <w:p>
      <w:pPr>
        <w:spacing w:line="360" w:lineRule="auto"/>
        <w:ind w:firstLine="480" w:firstLineChars="200"/>
        <w:jc w:val="both"/>
      </w:pPr>
      <w:r>
        <w:t>Fourier transform infrared (FT-IR) spectra were recorded between 4000 and 500 cm</w:t>
      </w:r>
      <w:r>
        <w:rPr>
          <w:vertAlign w:val="superscript"/>
        </w:rPr>
        <w:t>-1</w:t>
      </w:r>
      <w:r>
        <w:t xml:space="preserve"> operating at 2 cm</w:t>
      </w:r>
      <w:r>
        <w:rPr>
          <w:vertAlign w:val="superscript"/>
        </w:rPr>
        <w:t>-1</w:t>
      </w:r>
      <w:r>
        <w:t xml:space="preserve"> resolution on a Perkin-Elmer Spectrum One FTIR spectrophotometer using KBr pellets.</w:t>
      </w:r>
    </w:p>
    <w:p>
      <w:pPr>
        <w:spacing w:line="360" w:lineRule="auto"/>
        <w:rPr>
          <w:kern w:val="2"/>
        </w:rPr>
      </w:pPr>
      <w:r>
        <w:rPr>
          <w:kern w:val="2"/>
        </w:rPr>
        <w:t>2.</w:t>
      </w:r>
      <w:r>
        <w:rPr>
          <w:rFonts w:hint="eastAsia"/>
          <w:kern w:val="2"/>
        </w:rPr>
        <w:t>2</w:t>
      </w:r>
      <w:r>
        <w:rPr>
          <w:kern w:val="2"/>
        </w:rPr>
        <w:t xml:space="preserve"> </w:t>
      </w:r>
      <w:r>
        <w:rPr>
          <w:kern w:val="2"/>
          <w:vertAlign w:val="superscript"/>
        </w:rPr>
        <w:t>1</w:t>
      </w:r>
      <w:r>
        <w:rPr>
          <w:kern w:val="2"/>
        </w:rPr>
        <w:t>H NMR</w:t>
      </w:r>
    </w:p>
    <w:p>
      <w:pPr>
        <w:spacing w:line="360" w:lineRule="auto"/>
        <w:ind w:firstLine="480" w:firstLineChars="200"/>
        <w:jc w:val="both"/>
      </w:pPr>
      <w:r>
        <w:t xml:space="preserve">The structures of copolymers were charaterized by </w:t>
      </w:r>
      <w:r>
        <w:rPr>
          <w:vertAlign w:val="superscript"/>
        </w:rPr>
        <w:t>1</w:t>
      </w:r>
      <w:r>
        <w:t>H NMR spectroscopy in H</w:t>
      </w:r>
      <w:r>
        <w:rPr>
          <w:vertAlign w:val="subscript"/>
        </w:rPr>
        <w:t>2</w:t>
      </w:r>
      <w:r>
        <w:t xml:space="preserve">O at room temperature by using a NMR spectrometer from Bruker, operating at 600 MHz. </w:t>
      </w:r>
    </w:p>
    <w:p>
      <w:pPr>
        <w:spacing w:line="360" w:lineRule="auto"/>
        <w:rPr>
          <w:kern w:val="2"/>
        </w:rPr>
      </w:pPr>
      <w:r>
        <w:rPr>
          <w:kern w:val="2"/>
        </w:rPr>
        <w:t>2.3 GPC</w:t>
      </w:r>
    </w:p>
    <w:p>
      <w:pPr>
        <w:spacing w:line="360" w:lineRule="auto"/>
        <w:ind w:firstLine="480" w:firstLineChars="200"/>
        <w:jc w:val="both"/>
      </w:pPr>
      <w:r>
        <w:t xml:space="preserve">The average molecular weight and polydispersity of the synthesized copolymers were determined by gel permeation chromatography (GPC). The GPC analysis was carried out with the water system and tetrahydrofuran was used as an mobile phase. Instrument model: Agilent 1260 Infinity II HT GPC </w:t>
      </w:r>
    </w:p>
    <w:p>
      <w:pPr>
        <w:spacing w:line="360" w:lineRule="auto"/>
        <w:rPr>
          <w:kern w:val="2"/>
        </w:rPr>
      </w:pPr>
      <w:r>
        <w:rPr>
          <w:kern w:val="2"/>
        </w:rPr>
        <w:t>2.4 Surface tension</w:t>
      </w:r>
    </w:p>
    <w:p>
      <w:pPr>
        <w:spacing w:line="360" w:lineRule="auto"/>
        <w:ind w:firstLine="480" w:firstLineChars="200"/>
        <w:jc w:val="both"/>
      </w:pPr>
      <w:r>
        <w:t>An automatic JK99B tensiometer, equipped with platinum plate was used to measure surface tension (γ) of copolymer aqueous solutions at 25 ℃. A static period of 10 min was allowed before the measurement for each concentration.</w:t>
      </w:r>
    </w:p>
    <w:p>
      <w:pPr>
        <w:spacing w:line="360" w:lineRule="auto"/>
        <w:rPr>
          <w:kern w:val="2"/>
        </w:rPr>
      </w:pPr>
      <w:r>
        <w:rPr>
          <w:kern w:val="2"/>
        </w:rPr>
        <w:t>2.5 Steady-state fluorescence spectra</w:t>
      </w:r>
    </w:p>
    <w:p>
      <w:pPr>
        <w:spacing w:line="360" w:lineRule="auto"/>
        <w:ind w:firstLine="480" w:firstLineChars="200"/>
        <w:jc w:val="both"/>
      </w:pPr>
      <w:r>
        <w:t>The steady-state fluorescence spectrum of pyrene was measured using a F-2700 fluorescence spectrophotometer ( Hitachi, Tokyo, Japan ) with excitation and emission slit openings of 10 nm and 2.5 nm, respectively. Pyrene was excited at a wavelength of 335 nm, and the emission intensity from 350 nm to 450 nm was recorded. The spectrum was recorded at a scan rate of 300 nm/min.</w:t>
      </w:r>
    </w:p>
    <w:p>
      <w:pPr>
        <w:spacing w:line="360" w:lineRule="auto"/>
        <w:rPr>
          <w:kern w:val="2"/>
        </w:rPr>
      </w:pPr>
      <w:r>
        <w:rPr>
          <w:kern w:val="2"/>
        </w:rPr>
        <w:t>2.6 Rheological properties measurements</w:t>
      </w:r>
    </w:p>
    <w:p>
      <w:pPr>
        <w:spacing w:line="360" w:lineRule="auto"/>
        <w:ind w:firstLine="480" w:firstLineChars="200"/>
        <w:jc w:val="both"/>
      </w:pPr>
      <w:r>
        <w:t>Rheological properties measurements were performed on a MCR 302 stress-controlled rheometer (Anton Paar, Austria) with a cone-plate geometry (the taper angle is 1°). Dynamic strain sweep measurements were first conducted to select the strain in the rang of 0.05% ~ 300%. Dynamic frequency sweep tests with the selected strain were conducted from 1 to 600 rad·s</w:t>
      </w:r>
      <w:r>
        <w:rPr>
          <w:vertAlign w:val="superscript"/>
        </w:rPr>
        <w:t>-1</w:t>
      </w:r>
      <w:r>
        <w:t>. In order to ensure the sample stability, the heating rate of 2 ℃/ min was applied.</w:t>
      </w:r>
    </w:p>
    <w:p>
      <w:pPr>
        <w:spacing w:line="360" w:lineRule="auto"/>
        <w:rPr>
          <w:kern w:val="2"/>
        </w:rPr>
      </w:pPr>
      <w:r>
        <w:rPr>
          <w:kern w:val="2"/>
        </w:rPr>
        <w:t>2.7 Phase diagram drawing</w:t>
      </w:r>
    </w:p>
    <w:p>
      <w:pPr>
        <w:spacing w:line="360" w:lineRule="auto"/>
        <w:ind w:firstLine="480" w:firstLineChars="200"/>
        <w:jc w:val="both"/>
      </w:pPr>
      <w:r>
        <w:t xml:space="preserve">The ratio of multiblock copolymer and n-butyl alcohol were fixed to 2:1, adding different proportions of cyclohexane and then putting the mixtures in a series of dry test tubes. The samples were placed in a thermostatted water bath at 30.0 ± 0.2 ℃ and kept well covered to avoid any volatilization of solvents with the continuous stirring. Cyclohexane </w:t>
      </w:r>
      <w:r>
        <w:rPr>
          <w:rFonts w:hint="eastAsia"/>
        </w:rPr>
        <w:t xml:space="preserve">and water </w:t>
      </w:r>
      <w:r>
        <w:t>was drop-wisely added into the mixtures, and kept more than 10 min after continuous stirring for 20 minutes. The phase behavior of the system was judged through the direct observation method. The entire process was repeated three times, and an average value ( the relative deviation was less than ±0.2%) was used to draw the phase diagram.</w:t>
      </w:r>
    </w:p>
    <w:p/>
    <w:p>
      <w:pPr>
        <w:widowControl w:val="0"/>
        <w:spacing w:line="360" w:lineRule="auto"/>
        <w:rPr>
          <w:b/>
          <w:bCs/>
          <w:sz w:val="21"/>
          <w:szCs w:val="21"/>
        </w:rPr>
      </w:pPr>
      <w:r>
        <w:rPr>
          <w:rFonts w:hint="eastAsia"/>
          <w:b/>
          <w:bCs/>
          <w:sz w:val="21"/>
          <w:szCs w:val="21"/>
        </w:rPr>
        <w:t>3 Discussion</w:t>
      </w:r>
    </w:p>
    <w:p>
      <w:pPr>
        <w:spacing w:line="360" w:lineRule="auto"/>
        <w:rPr>
          <w:b/>
          <w:bCs/>
          <w:kern w:val="2"/>
        </w:rPr>
      </w:pPr>
      <w:r>
        <w:rPr>
          <w:b/>
          <w:bCs/>
          <w:kern w:val="2"/>
        </w:rPr>
        <w:t xml:space="preserve">3.1 Structural characteristics of multiblock copolymers </w:t>
      </w:r>
    </w:p>
    <w:p>
      <w:pPr>
        <w:spacing w:line="360" w:lineRule="auto"/>
        <w:rPr>
          <w:b/>
          <w:bCs/>
          <w:kern w:val="2"/>
        </w:rPr>
      </w:pPr>
      <w:r>
        <w:rPr>
          <w:b/>
          <w:bCs/>
          <w:kern w:val="2"/>
        </w:rPr>
        <w:t>3.1.1 FT-IR spectra of multiblock copolymers</w:t>
      </w:r>
    </w:p>
    <w:p>
      <w:pPr>
        <w:spacing w:line="360" w:lineRule="auto"/>
        <w:jc w:val="both"/>
      </w:pPr>
      <w:r>
        <w:t xml:space="preserve">    FT-IR spectroscopy </w:t>
      </w:r>
      <w:r>
        <w:rPr>
          <w:rFonts w:hint="eastAsia"/>
          <w:lang w:val="en-US" w:eastAsia="zh-CN"/>
        </w:rPr>
        <w:t>wa</w:t>
      </w:r>
      <w:r>
        <w:t>s sensitive to the change of molecular structure and ha</w:t>
      </w:r>
      <w:r>
        <w:rPr>
          <w:rFonts w:hint="eastAsia"/>
          <w:lang w:val="en-US" w:eastAsia="zh-CN"/>
        </w:rPr>
        <w:t>d</w:t>
      </w:r>
      <w:r>
        <w:t xml:space="preserve"> been used for qualitative confirmation that the reaction had proceeded</w:t>
      </w:r>
      <w:r>
        <w:rPr>
          <w:vertAlign w:val="superscript"/>
        </w:rPr>
        <w:fldChar w:fldCharType="begin"/>
      </w:r>
      <w:r>
        <w:rPr>
          <w:vertAlign w:val="superscript"/>
        </w:rPr>
        <w:instrText xml:space="preserve"> ADDIN NE.Ref.{1A3651CC-F1D6-41E5-A1A2-29868F8CBB0A}</w:instrText>
      </w:r>
      <w:r>
        <w:rPr>
          <w:vertAlign w:val="superscript"/>
        </w:rPr>
        <w:fldChar w:fldCharType="separate"/>
      </w:r>
      <w:r>
        <w:rPr>
          <w:rFonts w:eastAsiaTheme="minorEastAsia"/>
          <w:color w:val="080000"/>
          <w:vertAlign w:val="superscript"/>
        </w:rPr>
        <w:t>[1]</w:t>
      </w:r>
      <w:r>
        <w:rPr>
          <w:vertAlign w:val="superscript"/>
        </w:rPr>
        <w:fldChar w:fldCharType="end"/>
      </w:r>
      <w:r>
        <w:t>. FT-IR spectra of multiblock copolymers E340, E540, E740 were presented in Fig.</w:t>
      </w:r>
      <w:r>
        <w:rPr>
          <w:rFonts w:hint="eastAsia"/>
        </w:rPr>
        <w:t>S</w:t>
      </w:r>
      <w:r>
        <w:t xml:space="preserve">1. The frequencies and assignments of the FT-IR absorption bands were summarized in Table </w:t>
      </w:r>
      <w:r>
        <w:rPr>
          <w:rFonts w:hint="eastAsia"/>
        </w:rPr>
        <w:t>S</w:t>
      </w:r>
      <w:r>
        <w:t xml:space="preserve">2. Although, there </w:t>
      </w:r>
      <w:r>
        <w:rPr>
          <w:rFonts w:hint="eastAsia"/>
          <w:lang w:val="en-US" w:eastAsia="zh-CN"/>
        </w:rPr>
        <w:t>wa</w:t>
      </w:r>
      <w:r>
        <w:t>s no obvious difference of absorption peaks, it confirmed that all of the three copolymers ha</w:t>
      </w:r>
      <w:r>
        <w:rPr>
          <w:rFonts w:hint="eastAsia"/>
          <w:lang w:val="en-US" w:eastAsia="zh-CN"/>
        </w:rPr>
        <w:t>d</w:t>
      </w:r>
      <w:r>
        <w:t xml:space="preserve"> terminal -OH bonds at the peaks from 3583-3495 cm</w:t>
      </w:r>
      <w:r>
        <w:rPr>
          <w:vertAlign w:val="superscript"/>
        </w:rPr>
        <w:t>-1</w:t>
      </w:r>
      <w:r>
        <w:t>. Moreover, the CH</w:t>
      </w:r>
      <w:r>
        <w:rPr>
          <w:vertAlign w:val="subscript"/>
        </w:rPr>
        <w:t>3</w:t>
      </w:r>
      <w:r>
        <w:t xml:space="preserve"> symm deformation at 1374 cm</w:t>
      </w:r>
      <w:r>
        <w:rPr>
          <w:vertAlign w:val="superscript"/>
        </w:rPr>
        <w:t xml:space="preserve">-1 </w:t>
      </w:r>
      <w:r>
        <w:t>was proved that existence of PPO groups.</w:t>
      </w:r>
    </w:p>
    <w:p>
      <w:pPr>
        <w:spacing w:line="360" w:lineRule="auto"/>
        <w:jc w:val="center"/>
      </w:pPr>
      <w:r>
        <w:object>
          <v:shape id="_x0000_i1025" o:spt="75" type="#_x0000_t75" style="height:180.75pt;width:232.5pt;" o:ole="t" filled="f" o:preferrelative="t" stroked="f" coordsize="21600,21600">
            <v:path/>
            <v:fill on="f" focussize="0,0"/>
            <v:stroke on="f" joinstyle="miter"/>
            <v:imagedata r:id="rId5" cropleft="10955f" croptop="6347f" cropright="7835f" cropbottom="2862f" o:title=""/>
            <o:lock v:ext="edit" aspectratio="f"/>
            <w10:wrap type="none"/>
            <w10:anchorlock/>
          </v:shape>
          <o:OLEObject Type="Embed" ProgID="Origin50.Graph" ShapeID="_x0000_i1025" DrawAspect="Content" ObjectID="_1468075725" r:id="rId4">
            <o:LockedField>false</o:LockedField>
          </o:OLEObject>
        </w:object>
      </w:r>
    </w:p>
    <w:p>
      <w:pPr>
        <w:spacing w:line="360" w:lineRule="auto"/>
        <w:jc w:val="center"/>
        <w:rPr>
          <w:sz w:val="21"/>
          <w:szCs w:val="21"/>
        </w:rPr>
      </w:pPr>
      <w:r>
        <w:rPr>
          <w:b/>
          <w:bCs/>
          <w:sz w:val="21"/>
          <w:szCs w:val="21"/>
        </w:rPr>
        <w:t xml:space="preserve">Fig. </w:t>
      </w:r>
      <w:r>
        <w:rPr>
          <w:rFonts w:hint="eastAsia"/>
          <w:b/>
          <w:bCs/>
          <w:sz w:val="21"/>
          <w:szCs w:val="21"/>
        </w:rPr>
        <w:t>S</w:t>
      </w:r>
      <w:r>
        <w:rPr>
          <w:b/>
          <w:bCs/>
          <w:sz w:val="21"/>
          <w:szCs w:val="21"/>
        </w:rPr>
        <w:t>1</w:t>
      </w:r>
      <w:r>
        <w:rPr>
          <w:sz w:val="21"/>
          <w:szCs w:val="21"/>
        </w:rPr>
        <w:t xml:space="preserve"> FT-IR spectra of E340, E540 and E740 multiblock copolymers</w:t>
      </w:r>
    </w:p>
    <w:p>
      <w:pPr>
        <w:widowControl w:val="0"/>
        <w:spacing w:line="360" w:lineRule="auto"/>
        <w:jc w:val="center"/>
        <w:rPr>
          <w:sz w:val="21"/>
          <w:szCs w:val="21"/>
        </w:rPr>
      </w:pPr>
      <w:r>
        <w:rPr>
          <w:b/>
          <w:bCs/>
          <w:sz w:val="21"/>
          <w:szCs w:val="21"/>
        </w:rPr>
        <w:t xml:space="preserve">Table </w:t>
      </w:r>
      <w:r>
        <w:rPr>
          <w:rFonts w:hint="eastAsia"/>
          <w:b/>
          <w:bCs/>
          <w:sz w:val="21"/>
          <w:szCs w:val="21"/>
        </w:rPr>
        <w:t>S</w:t>
      </w:r>
      <w:r>
        <w:rPr>
          <w:b/>
          <w:bCs/>
          <w:sz w:val="21"/>
          <w:szCs w:val="21"/>
        </w:rPr>
        <w:t xml:space="preserve">2 </w:t>
      </w:r>
      <w:r>
        <w:rPr>
          <w:sz w:val="21"/>
          <w:szCs w:val="21"/>
        </w:rPr>
        <w:t>Assignments of FT-IR Bands (cm</w:t>
      </w:r>
      <w:r>
        <w:rPr>
          <w:sz w:val="21"/>
          <w:szCs w:val="21"/>
          <w:vertAlign w:val="superscript"/>
        </w:rPr>
        <w:t>-1</w:t>
      </w:r>
      <w:r>
        <w:rPr>
          <w:sz w:val="21"/>
          <w:szCs w:val="21"/>
        </w:rPr>
        <w:t xml:space="preserve">) of E340, E540 and E740 at 25 </w:t>
      </w:r>
      <w:r>
        <w:rPr>
          <w:sz w:val="21"/>
          <w:szCs w:val="21"/>
          <w:vertAlign w:val="superscript"/>
        </w:rPr>
        <w:t>o</w:t>
      </w:r>
      <w:r>
        <w:rPr>
          <w:sz w:val="21"/>
          <w:szCs w:val="21"/>
        </w:rPr>
        <w:t>C</w:t>
      </w:r>
    </w:p>
    <w:tbl>
      <w:tblPr>
        <w:tblStyle w:val="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524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Borders>
              <w:top w:val="single" w:color="auto" w:sz="4" w:space="0"/>
              <w:left w:val="nil"/>
              <w:bottom w:val="single" w:color="auto" w:sz="4" w:space="0"/>
              <w:right w:val="nil"/>
            </w:tcBorders>
          </w:tcPr>
          <w:p>
            <w:pPr>
              <w:widowControl w:val="0"/>
              <w:spacing w:line="360" w:lineRule="auto"/>
              <w:jc w:val="center"/>
            </w:pPr>
            <w:r>
              <w:t>FT-IR Bands (cm</w:t>
            </w:r>
            <w:r>
              <w:rPr>
                <w:vertAlign w:val="superscript"/>
              </w:rPr>
              <w:t>-1</w:t>
            </w:r>
            <w:r>
              <w:t>)</w:t>
            </w:r>
          </w:p>
        </w:tc>
        <w:tc>
          <w:tcPr>
            <w:tcW w:w="5244" w:type="dxa"/>
            <w:tcBorders>
              <w:top w:val="single" w:color="auto" w:sz="4" w:space="0"/>
              <w:left w:val="nil"/>
              <w:bottom w:val="single" w:color="auto" w:sz="4" w:space="0"/>
              <w:right w:val="nil"/>
            </w:tcBorders>
          </w:tcPr>
          <w:p>
            <w:pPr>
              <w:widowControl w:val="0"/>
              <w:spacing w:line="360" w:lineRule="auto"/>
              <w:jc w:val="center"/>
            </w:pPr>
            <w:r>
              <w:t>Assignment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Borders>
              <w:top w:val="single" w:color="auto" w:sz="4" w:space="0"/>
              <w:left w:val="nil"/>
              <w:bottom w:val="nil"/>
              <w:right w:val="nil"/>
            </w:tcBorders>
          </w:tcPr>
          <w:p>
            <w:pPr>
              <w:widowControl w:val="0"/>
              <w:spacing w:line="360" w:lineRule="auto"/>
              <w:jc w:val="center"/>
            </w:pPr>
            <w:r>
              <w:t>3583-3495</w:t>
            </w:r>
          </w:p>
        </w:tc>
        <w:tc>
          <w:tcPr>
            <w:tcW w:w="5244" w:type="dxa"/>
            <w:tcBorders>
              <w:top w:val="single" w:color="auto" w:sz="4" w:space="0"/>
              <w:left w:val="nil"/>
              <w:bottom w:val="nil"/>
              <w:right w:val="nil"/>
            </w:tcBorders>
          </w:tcPr>
          <w:p>
            <w:pPr>
              <w:widowControl w:val="0"/>
              <w:spacing w:line="360" w:lineRule="auto"/>
              <w:jc w:val="center"/>
            </w:pPr>
            <w:r>
              <w:t>O-H str</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Borders>
              <w:top w:val="nil"/>
              <w:left w:val="nil"/>
              <w:bottom w:val="nil"/>
              <w:right w:val="nil"/>
            </w:tcBorders>
            <w:vAlign w:val="center"/>
          </w:tcPr>
          <w:p>
            <w:pPr>
              <w:pStyle w:val="2"/>
              <w:widowControl w:val="0"/>
              <w:spacing w:line="360" w:lineRule="auto"/>
              <w:jc w:val="center"/>
            </w:pPr>
            <w:r>
              <w:t>2972-2870</w:t>
            </w:r>
          </w:p>
        </w:tc>
        <w:tc>
          <w:tcPr>
            <w:tcW w:w="5244" w:type="dxa"/>
            <w:tcBorders>
              <w:top w:val="nil"/>
              <w:left w:val="nil"/>
              <w:bottom w:val="nil"/>
              <w:right w:val="nil"/>
            </w:tcBorders>
            <w:vAlign w:val="center"/>
          </w:tcPr>
          <w:p>
            <w:pPr>
              <w:pStyle w:val="2"/>
              <w:widowControl w:val="0"/>
              <w:spacing w:line="360" w:lineRule="auto"/>
              <w:jc w:val="center"/>
            </w:pPr>
            <w:r>
              <w:t>C-H str of CH</w:t>
            </w:r>
            <w:r>
              <w:rPr>
                <w:vertAlign w:val="subscript"/>
              </w:rPr>
              <w:t>3</w:t>
            </w:r>
            <w:r>
              <w:t xml:space="preserve"> and CH</w:t>
            </w:r>
            <w:r>
              <w:rPr>
                <w:vertAlign w:val="subscript"/>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Borders>
              <w:top w:val="nil"/>
              <w:left w:val="nil"/>
              <w:bottom w:val="nil"/>
              <w:right w:val="nil"/>
            </w:tcBorders>
            <w:vAlign w:val="center"/>
          </w:tcPr>
          <w:p>
            <w:pPr>
              <w:pStyle w:val="2"/>
              <w:widowControl w:val="0"/>
              <w:spacing w:line="360" w:lineRule="auto"/>
              <w:jc w:val="center"/>
            </w:pPr>
            <w:r>
              <w:t>1453</w:t>
            </w:r>
          </w:p>
        </w:tc>
        <w:tc>
          <w:tcPr>
            <w:tcW w:w="5244" w:type="dxa"/>
            <w:tcBorders>
              <w:top w:val="nil"/>
              <w:left w:val="nil"/>
              <w:bottom w:val="nil"/>
              <w:right w:val="nil"/>
            </w:tcBorders>
            <w:vAlign w:val="center"/>
          </w:tcPr>
          <w:p>
            <w:pPr>
              <w:pStyle w:val="2"/>
              <w:widowControl w:val="0"/>
              <w:spacing w:line="360" w:lineRule="auto"/>
              <w:jc w:val="center"/>
            </w:pPr>
            <w:r>
              <w:t>C-H twist vibration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Borders>
              <w:top w:val="nil"/>
              <w:left w:val="nil"/>
              <w:bottom w:val="nil"/>
              <w:right w:val="nil"/>
            </w:tcBorders>
            <w:vAlign w:val="center"/>
          </w:tcPr>
          <w:p>
            <w:pPr>
              <w:pStyle w:val="2"/>
              <w:widowControl w:val="0"/>
              <w:spacing w:line="360" w:lineRule="auto"/>
              <w:jc w:val="center"/>
            </w:pPr>
            <w:r>
              <w:t>1374</w:t>
            </w:r>
          </w:p>
        </w:tc>
        <w:tc>
          <w:tcPr>
            <w:tcW w:w="5244" w:type="dxa"/>
            <w:tcBorders>
              <w:top w:val="nil"/>
              <w:left w:val="nil"/>
              <w:bottom w:val="nil"/>
              <w:right w:val="nil"/>
            </w:tcBorders>
            <w:vAlign w:val="center"/>
          </w:tcPr>
          <w:p>
            <w:pPr>
              <w:pStyle w:val="2"/>
              <w:widowControl w:val="0"/>
              <w:spacing w:line="360" w:lineRule="auto"/>
              <w:jc w:val="center"/>
            </w:pPr>
            <w:r>
              <w:t>CH</w:t>
            </w:r>
            <w:r>
              <w:rPr>
                <w:vertAlign w:val="subscript"/>
              </w:rPr>
              <w:t>3</w:t>
            </w:r>
            <w:r>
              <w:t xml:space="preserve"> symm deformation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Borders>
              <w:top w:val="nil"/>
              <w:left w:val="nil"/>
              <w:bottom w:val="single" w:color="auto" w:sz="4" w:space="0"/>
              <w:right w:val="nil"/>
            </w:tcBorders>
            <w:vAlign w:val="center"/>
          </w:tcPr>
          <w:p>
            <w:pPr>
              <w:pStyle w:val="2"/>
              <w:widowControl w:val="0"/>
              <w:spacing w:line="360" w:lineRule="auto"/>
              <w:jc w:val="center"/>
            </w:pPr>
            <w:r>
              <w:t>1108, 938</w:t>
            </w:r>
          </w:p>
        </w:tc>
        <w:tc>
          <w:tcPr>
            <w:tcW w:w="5244" w:type="dxa"/>
            <w:tcBorders>
              <w:top w:val="nil"/>
              <w:left w:val="nil"/>
              <w:bottom w:val="single" w:color="auto" w:sz="4" w:space="0"/>
              <w:right w:val="nil"/>
            </w:tcBorders>
            <w:vAlign w:val="center"/>
          </w:tcPr>
          <w:p>
            <w:pPr>
              <w:pStyle w:val="2"/>
              <w:widowControl w:val="0"/>
              <w:spacing w:line="360" w:lineRule="auto"/>
              <w:jc w:val="center"/>
            </w:pPr>
            <w:r>
              <w:t>Antisymm and symm C-O-C str</w:t>
            </w:r>
          </w:p>
        </w:tc>
      </w:tr>
    </w:tbl>
    <w:p/>
    <w:p>
      <w:pPr>
        <w:spacing w:line="360" w:lineRule="auto"/>
        <w:jc w:val="center"/>
        <w:rPr>
          <w:sz w:val="21"/>
          <w:szCs w:val="21"/>
        </w:rPr>
      </w:pPr>
    </w:p>
    <w:p>
      <w:pPr>
        <w:spacing w:line="360" w:lineRule="auto"/>
        <w:rPr>
          <w:b/>
          <w:bCs/>
          <w:kern w:val="2"/>
        </w:rPr>
      </w:pPr>
      <w:r>
        <w:rPr>
          <w:b/>
          <w:bCs/>
          <w:kern w:val="2"/>
        </w:rPr>
        <w:t xml:space="preserve">3.1.2 </w:t>
      </w:r>
      <w:r>
        <w:rPr>
          <w:b/>
          <w:bCs/>
          <w:kern w:val="2"/>
          <w:vertAlign w:val="superscript"/>
        </w:rPr>
        <w:t>1</w:t>
      </w:r>
      <w:r>
        <w:rPr>
          <w:b/>
          <w:bCs/>
          <w:kern w:val="2"/>
        </w:rPr>
        <w:t>H NMR</w:t>
      </w:r>
    </w:p>
    <w:p>
      <w:pPr>
        <w:spacing w:line="360" w:lineRule="auto"/>
        <w:ind w:firstLine="480" w:firstLineChars="200"/>
        <w:jc w:val="both"/>
      </w:pPr>
      <w:r>
        <w:rPr>
          <w:bCs/>
          <w:szCs w:val="21"/>
        </w:rPr>
        <w:t xml:space="preserve">The </w:t>
      </w:r>
      <w:r>
        <w:rPr>
          <w:bCs/>
          <w:szCs w:val="21"/>
          <w:vertAlign w:val="superscript"/>
        </w:rPr>
        <w:t>1</w:t>
      </w:r>
      <w:r>
        <w:rPr>
          <w:bCs/>
          <w:szCs w:val="21"/>
        </w:rPr>
        <w:t>H NMR results of these</w:t>
      </w:r>
      <w:r>
        <w:t xml:space="preserve"> copolymers </w:t>
      </w:r>
      <w:r>
        <w:rPr>
          <w:bCs/>
          <w:szCs w:val="21"/>
        </w:rPr>
        <w:t>were shown in Fig.</w:t>
      </w:r>
      <w:r>
        <w:rPr>
          <w:rFonts w:hint="eastAsia"/>
          <w:bCs/>
          <w:szCs w:val="21"/>
        </w:rPr>
        <w:t>S</w:t>
      </w:r>
      <w:r>
        <w:rPr>
          <w:bCs/>
          <w:szCs w:val="21"/>
        </w:rPr>
        <w:t>2.</w:t>
      </w:r>
      <w:r>
        <w:rPr>
          <w:rFonts w:eastAsia="Tahoma"/>
        </w:rPr>
        <w:t xml:space="preserve"> </w:t>
      </w:r>
      <w:r>
        <w:t>In three spectrum diagrams, there were</w:t>
      </w:r>
      <w:r>
        <w:rPr>
          <w:rFonts w:eastAsia="Tahoma"/>
        </w:rPr>
        <w:t xml:space="preserve"> significant absorption peak</w:t>
      </w:r>
      <w:r>
        <w:t>s at</w:t>
      </w:r>
      <w:r>
        <w:rPr>
          <w:rFonts w:eastAsia="Tahoma"/>
        </w:rPr>
        <w:t xml:space="preserve"> about 1.0</w:t>
      </w:r>
      <w:r>
        <w:t>8</w:t>
      </w:r>
      <w:r>
        <w:rPr>
          <w:rFonts w:eastAsia="Tahoma"/>
        </w:rPr>
        <w:t>~1.1</w:t>
      </w:r>
      <w:r>
        <w:t>0</w:t>
      </w:r>
      <w:r>
        <w:rPr>
          <w:rFonts w:eastAsia="Tahoma"/>
        </w:rPr>
        <w:t xml:space="preserve"> ppm, which represent</w:t>
      </w:r>
      <w:r>
        <w:t>ed</w:t>
      </w:r>
      <w:r>
        <w:rPr>
          <w:rFonts w:eastAsia="Tahoma"/>
        </w:rPr>
        <w:t xml:space="preserve"> </w:t>
      </w:r>
      <w:r>
        <w:t>the</w:t>
      </w:r>
      <w:r>
        <w:rPr>
          <w:rFonts w:eastAsia="Tahoma"/>
        </w:rPr>
        <w:t xml:space="preserve"> signal peak of the methyl protons of PO</w:t>
      </w:r>
      <w:r>
        <w:t xml:space="preserve">, such results were in according with the FT-IR. However, From the small partial enlarged diagram in </w:t>
      </w:r>
      <w:r>
        <w:rPr>
          <w:bCs/>
          <w:szCs w:val="21"/>
        </w:rPr>
        <w:t xml:space="preserve">Fig.2, there were some differences for three copolymers in the </w:t>
      </w:r>
      <w:r>
        <w:rPr>
          <w:rFonts w:eastAsia="Tahoma"/>
        </w:rPr>
        <w:t>absorption peak</w:t>
      </w:r>
      <w:r>
        <w:t xml:space="preserve"> at</w:t>
      </w:r>
      <w:r>
        <w:rPr>
          <w:rFonts w:eastAsia="Tahoma"/>
        </w:rPr>
        <w:t xml:space="preserve"> about 1.0</w:t>
      </w:r>
      <w:r>
        <w:t>8</w:t>
      </w:r>
      <w:r>
        <w:rPr>
          <w:rFonts w:eastAsia="Tahoma"/>
        </w:rPr>
        <w:t>~1.1</w:t>
      </w:r>
      <w:r>
        <w:t>0</w:t>
      </w:r>
      <w:r>
        <w:rPr>
          <w:rFonts w:eastAsia="Tahoma"/>
        </w:rPr>
        <w:t xml:space="preserve"> ppm</w:t>
      </w:r>
      <w:r>
        <w:t xml:space="preserve">, which could demonstrate that the E340 and E740 were terminated with PO and the E540 was terminated with EO. Another significant absorption peak at about 3.41~3.66 ppm represented the peak of methylene </w:t>
      </w:r>
      <w:r>
        <w:rPr>
          <w:rFonts w:eastAsia="Tahoma"/>
        </w:rPr>
        <w:t>protons</w:t>
      </w:r>
      <w:r>
        <w:t xml:space="preserve"> of EO and PO. In addition, the a</w:t>
      </w:r>
      <w:r>
        <w:rPr>
          <w:rFonts w:eastAsia="Tahoma"/>
        </w:rPr>
        <w:t>bsorption peak</w:t>
      </w:r>
      <w:r>
        <w:t xml:space="preserve"> at 4.7 ppm represented</w:t>
      </w:r>
      <w:r>
        <w:rPr>
          <w:rFonts w:eastAsia="Tahoma"/>
        </w:rPr>
        <w:t xml:space="preserve"> </w:t>
      </w:r>
      <w:r>
        <w:t>the peak of water in the solvent.</w:t>
      </w:r>
      <w:r>
        <w:rPr>
          <w:rFonts w:eastAsia="Tahoma"/>
        </w:rPr>
        <w:t xml:space="preserve"> </w:t>
      </w:r>
      <w:r>
        <w:t>According to</w:t>
      </w:r>
      <w:r>
        <w:rPr>
          <w:rFonts w:eastAsia="Tahoma"/>
        </w:rPr>
        <w:t xml:space="preserve"> the ratio </w:t>
      </w:r>
      <w:r>
        <w:t xml:space="preserve">of </w:t>
      </w:r>
      <w:r>
        <w:rPr>
          <w:rFonts w:eastAsia="Tahoma"/>
        </w:rPr>
        <w:t>proton absorption</w:t>
      </w:r>
      <w:r>
        <w:t xml:space="preserve"> </w:t>
      </w:r>
      <w:r>
        <w:rPr>
          <w:rFonts w:eastAsia="Tahoma"/>
        </w:rPr>
        <w:t>peak area</w:t>
      </w:r>
      <w:r>
        <w:t xml:space="preserve"> at ~3.63 ppm and ~1.09 ppm, the value of EO/PO can be got. As can be seen from </w:t>
      </w:r>
      <w:r>
        <w:rPr>
          <w:bCs/>
          <w:szCs w:val="21"/>
        </w:rPr>
        <w:t>Fig.</w:t>
      </w:r>
      <w:r>
        <w:rPr>
          <w:rFonts w:hint="eastAsia"/>
          <w:bCs/>
          <w:szCs w:val="21"/>
        </w:rPr>
        <w:t>S</w:t>
      </w:r>
      <w:r>
        <w:rPr>
          <w:bCs/>
          <w:szCs w:val="21"/>
        </w:rPr>
        <w:t>2,</w:t>
      </w:r>
      <w:r>
        <w:t xml:space="preserve"> the EO/PO value of</w:t>
      </w:r>
      <w:r>
        <w:rPr>
          <w:rFonts w:eastAsia="Tahoma"/>
        </w:rPr>
        <w:t xml:space="preserve"> </w:t>
      </w:r>
      <w:r>
        <w:t>three copolymers were all 2/3, which can certify that these synthesized copolymers had the same content of EO/PO.</w:t>
      </w:r>
    </w:p>
    <w:p>
      <w:pPr>
        <w:spacing w:line="360" w:lineRule="auto"/>
        <w:ind w:firstLine="480" w:firstLineChars="200"/>
        <w:jc w:val="center"/>
      </w:pPr>
      <w:r>
        <w:object>
          <v:shape id="_x0000_i1026" o:spt="75" alt="" type="#_x0000_t75" style="height:227.3pt;width:337.55pt;" o:ole="t" filled="f" o:preferrelative="t" stroked="f" coordsize="21600,21600">
            <v:path/>
            <v:fill on="f" focussize="0,0"/>
            <v:stroke on="f"/>
            <v:imagedata r:id="rId7" cropleft="4191f" croptop="2371f" cropright="4191f" cropbottom="5928f" o:title=""/>
            <o:lock v:ext="edit" aspectratio="f"/>
            <w10:wrap type="none"/>
            <w10:anchorlock/>
          </v:shape>
          <o:OLEObject Type="Embed" ProgID="Origin50.Graph" ShapeID="_x0000_i1026" DrawAspect="Content" ObjectID="_1468075726" r:id="rId6">
            <o:LockedField>false</o:LockedField>
          </o:OLEObject>
        </w:object>
      </w:r>
    </w:p>
    <w:p>
      <w:pPr>
        <w:spacing w:line="360" w:lineRule="auto"/>
        <w:ind w:firstLine="422" w:firstLineChars="200"/>
        <w:jc w:val="center"/>
      </w:pPr>
      <w:r>
        <w:rPr>
          <w:b/>
          <w:bCs/>
          <w:sz w:val="21"/>
          <w:szCs w:val="21"/>
        </w:rPr>
        <w:t xml:space="preserve">Fig. </w:t>
      </w:r>
      <w:r>
        <w:rPr>
          <w:rFonts w:hint="eastAsia"/>
          <w:b/>
          <w:bCs/>
          <w:sz w:val="21"/>
          <w:szCs w:val="21"/>
        </w:rPr>
        <w:t>S</w:t>
      </w:r>
      <w:r>
        <w:rPr>
          <w:b/>
          <w:bCs/>
          <w:sz w:val="21"/>
          <w:szCs w:val="21"/>
        </w:rPr>
        <w:t>2</w:t>
      </w:r>
      <w:r>
        <w:rPr>
          <w:sz w:val="21"/>
          <w:szCs w:val="21"/>
        </w:rPr>
        <w:t xml:space="preserve"> </w:t>
      </w:r>
      <w:r>
        <w:rPr>
          <w:sz w:val="21"/>
          <w:szCs w:val="21"/>
          <w:vertAlign w:val="superscript"/>
        </w:rPr>
        <w:t>1</w:t>
      </w:r>
      <w:r>
        <w:rPr>
          <w:sz w:val="21"/>
          <w:szCs w:val="21"/>
        </w:rPr>
        <w:t>H NMR spectrum of the series of multiblock copolymers in this study</w:t>
      </w:r>
    </w:p>
    <w:p>
      <w:pPr>
        <w:spacing w:line="360" w:lineRule="auto"/>
        <w:rPr>
          <w:b/>
          <w:bCs/>
          <w:kern w:val="2"/>
        </w:rPr>
      </w:pPr>
      <w:r>
        <w:rPr>
          <w:b/>
          <w:bCs/>
          <w:kern w:val="2"/>
        </w:rPr>
        <w:t xml:space="preserve">3.1.3 </w:t>
      </w:r>
      <w:r>
        <w:fldChar w:fldCharType="begin"/>
      </w:r>
      <w:r>
        <w:instrText xml:space="preserve"> HYPERLINK "C:/Documents%20and%20Settings/Administrator/Local%20Settings/Application%20Data/Yodao/DeskDict/frame/20141202111015/javascript:void(0);" </w:instrText>
      </w:r>
      <w:r>
        <w:fldChar w:fldCharType="separate"/>
      </w:r>
      <w:r>
        <w:rPr>
          <w:b/>
          <w:bCs/>
          <w:kern w:val="2"/>
        </w:rPr>
        <w:t>Molecular</w:t>
      </w:r>
      <w:r>
        <w:rPr>
          <w:b/>
          <w:bCs/>
          <w:kern w:val="2"/>
        </w:rPr>
        <w:fldChar w:fldCharType="end"/>
      </w:r>
      <w:r>
        <w:rPr>
          <w:b/>
          <w:bCs/>
          <w:kern w:val="2"/>
        </w:rPr>
        <w:t xml:space="preserve"> </w:t>
      </w:r>
      <w:r>
        <w:fldChar w:fldCharType="begin"/>
      </w:r>
      <w:r>
        <w:instrText xml:space="preserve"> HYPERLINK "C:/Documents%20and%20Settings/Administrator/Local%20Settings/Application%20Data/Yodao/DeskDict/frame/20141202111015/javascript:void(0);" </w:instrText>
      </w:r>
      <w:r>
        <w:fldChar w:fldCharType="separate"/>
      </w:r>
      <w:r>
        <w:rPr>
          <w:b/>
          <w:bCs/>
          <w:kern w:val="2"/>
        </w:rPr>
        <w:t>weight</w:t>
      </w:r>
      <w:r>
        <w:rPr>
          <w:b/>
          <w:bCs/>
          <w:kern w:val="2"/>
        </w:rPr>
        <w:fldChar w:fldCharType="end"/>
      </w:r>
      <w:r>
        <w:rPr>
          <w:b/>
          <w:bCs/>
          <w:kern w:val="2"/>
        </w:rPr>
        <w:t xml:space="preserve"> and polydispersity</w:t>
      </w:r>
    </w:p>
    <w:p>
      <w:pPr>
        <w:widowControl w:val="0"/>
        <w:spacing w:line="360" w:lineRule="auto"/>
        <w:ind w:firstLine="480" w:firstLineChars="200"/>
        <w:jc w:val="both"/>
        <w:rPr>
          <w:iCs/>
        </w:rPr>
      </w:pPr>
      <w:r>
        <w:rPr>
          <w:iCs/>
        </w:rPr>
        <w:t xml:space="preserve">The weight average molecular weight Mw, the number average molecular weight Mn and the polydispersity Mw/Mn of three obtained multiblock copolymers were characterized by GPC and the analysis results were summarized in Table </w:t>
      </w:r>
      <w:r>
        <w:rPr>
          <w:rFonts w:hint="eastAsia"/>
          <w:iCs/>
        </w:rPr>
        <w:t>S</w:t>
      </w:r>
      <w:r>
        <w:rPr>
          <w:iCs/>
        </w:rPr>
        <w:t xml:space="preserve">3. As a result, the molecular weights of three obtained </w:t>
      </w:r>
      <w:r>
        <w:t>tri-, penta- and hepta-</w:t>
      </w:r>
      <w:r>
        <w:rPr>
          <w:iCs/>
        </w:rPr>
        <w:t>block copolymers were close to the theoretical expectations. The results of polydispersity Mw/Mn also indicated that these synthesized multiblock copolymers had a relative narrow molecular weight distribution, however, which broadened with the increased number of the blocks.</w:t>
      </w:r>
    </w:p>
    <w:p>
      <w:pPr>
        <w:widowControl w:val="0"/>
        <w:spacing w:line="360" w:lineRule="auto"/>
        <w:jc w:val="center"/>
        <w:rPr>
          <w:rFonts w:eastAsia="AdvGulliv-B"/>
          <w:sz w:val="21"/>
          <w:szCs w:val="21"/>
        </w:rPr>
      </w:pPr>
      <w:r>
        <w:rPr>
          <w:b/>
          <w:bCs/>
          <w:sz w:val="21"/>
          <w:szCs w:val="21"/>
        </w:rPr>
        <w:t xml:space="preserve">Table </w:t>
      </w:r>
      <w:r>
        <w:rPr>
          <w:rFonts w:hint="eastAsia"/>
          <w:b/>
          <w:bCs/>
          <w:sz w:val="21"/>
          <w:szCs w:val="21"/>
        </w:rPr>
        <w:t>S</w:t>
      </w:r>
      <w:r>
        <w:rPr>
          <w:b/>
          <w:bCs/>
          <w:sz w:val="21"/>
          <w:szCs w:val="21"/>
        </w:rPr>
        <w:t>3</w:t>
      </w:r>
      <w:r>
        <w:rPr>
          <w:sz w:val="21"/>
          <w:szCs w:val="21"/>
        </w:rPr>
        <w:t xml:space="preserve"> The molecular weight and polydispersity of three multiblock copolymers</w:t>
      </w:r>
    </w:p>
    <w:tbl>
      <w:tblPr>
        <w:tblStyle w:val="3"/>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094"/>
        <w:gridCol w:w="2095"/>
        <w:gridCol w:w="2095"/>
        <w:gridCol w:w="209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97" w:hRule="atLeast"/>
          <w:jc w:val="center"/>
        </w:trPr>
        <w:tc>
          <w:tcPr>
            <w:tcW w:w="2094" w:type="dxa"/>
            <w:vAlign w:val="center"/>
          </w:tcPr>
          <w:p>
            <w:pPr>
              <w:spacing w:line="360" w:lineRule="auto"/>
              <w:jc w:val="center"/>
            </w:pPr>
            <w:r>
              <w:t>Multiblock copolymers</w:t>
            </w:r>
          </w:p>
        </w:tc>
        <w:tc>
          <w:tcPr>
            <w:tcW w:w="2095" w:type="dxa"/>
            <w:vAlign w:val="center"/>
          </w:tcPr>
          <w:p>
            <w:pPr>
              <w:widowControl w:val="0"/>
              <w:jc w:val="center"/>
              <w:rPr>
                <w:rFonts w:eastAsia="AdvGulliv-B"/>
                <w:i/>
                <w:vertAlign w:val="superscript"/>
              </w:rPr>
            </w:pPr>
            <w:r>
              <w:rPr>
                <w:rFonts w:eastAsia="AdvGulliv-B"/>
              </w:rPr>
              <w:t>Mw</w:t>
            </w:r>
          </w:p>
          <w:p>
            <w:pPr>
              <w:widowControl w:val="0"/>
              <w:jc w:val="center"/>
              <w:rPr>
                <w:rFonts w:eastAsia="AdvGulliv-B"/>
              </w:rPr>
            </w:pPr>
            <w:r>
              <w:rPr>
                <w:rFonts w:eastAsia="AdvGulliv-B"/>
              </w:rPr>
              <w:t>(×10</w:t>
            </w:r>
            <w:r>
              <w:rPr>
                <w:rFonts w:eastAsia="AdvGulliv-B"/>
                <w:vertAlign w:val="superscript"/>
              </w:rPr>
              <w:t>3</w:t>
            </w:r>
            <w:r>
              <w:rPr>
                <w:rFonts w:eastAsia="AdvGulliv-B"/>
              </w:rPr>
              <w:t>g/mol)</w:t>
            </w:r>
          </w:p>
        </w:tc>
        <w:tc>
          <w:tcPr>
            <w:tcW w:w="2095" w:type="dxa"/>
            <w:vAlign w:val="center"/>
          </w:tcPr>
          <w:p>
            <w:pPr>
              <w:widowControl w:val="0"/>
              <w:jc w:val="center"/>
              <w:rPr>
                <w:rFonts w:eastAsia="AdvGulliv-B"/>
                <w:i/>
                <w:vertAlign w:val="superscript"/>
              </w:rPr>
            </w:pPr>
            <w:r>
              <w:rPr>
                <w:rFonts w:eastAsia="AdvGulliv-B"/>
              </w:rPr>
              <w:t>Mn</w:t>
            </w:r>
          </w:p>
          <w:p>
            <w:pPr>
              <w:widowControl w:val="0"/>
              <w:jc w:val="center"/>
              <w:rPr>
                <w:rFonts w:eastAsia="AdvGulliv-B"/>
              </w:rPr>
            </w:pPr>
            <w:r>
              <w:rPr>
                <w:rFonts w:eastAsia="AdvGulliv-B"/>
              </w:rPr>
              <w:t>(×10</w:t>
            </w:r>
            <w:r>
              <w:rPr>
                <w:rFonts w:eastAsia="AdvGulliv-B"/>
                <w:vertAlign w:val="superscript"/>
              </w:rPr>
              <w:t>3</w:t>
            </w:r>
            <w:r>
              <w:rPr>
                <w:rFonts w:eastAsia="AdvGulliv-B"/>
              </w:rPr>
              <w:t>g/mol)</w:t>
            </w:r>
          </w:p>
        </w:tc>
        <w:tc>
          <w:tcPr>
            <w:tcW w:w="2095" w:type="dxa"/>
            <w:vAlign w:val="center"/>
          </w:tcPr>
          <w:p>
            <w:pPr>
              <w:widowControl w:val="0"/>
              <w:jc w:val="center"/>
              <w:rPr>
                <w:rFonts w:eastAsia="AdvGulliv-B"/>
              </w:rPr>
            </w:pPr>
            <w:r>
              <w:rPr>
                <w:rFonts w:eastAsia="AdvGulliv-B"/>
              </w:rPr>
              <w:t>Polydispersity</w:t>
            </w:r>
          </w:p>
          <w:p>
            <w:pPr>
              <w:widowControl w:val="0"/>
              <w:jc w:val="center"/>
              <w:rPr>
                <w:rFonts w:eastAsia="AdvGulliv-B"/>
              </w:rPr>
            </w:pPr>
            <w:r>
              <w:rPr>
                <w:rFonts w:eastAsia="AdvGulliv-B"/>
              </w:rPr>
              <w:t>(M</w:t>
            </w:r>
            <w:r>
              <w:rPr>
                <w:rFonts w:eastAsia="AdvGulliv-B"/>
                <w:vertAlign w:val="subscript"/>
              </w:rPr>
              <w:t>W</w:t>
            </w:r>
            <w:r>
              <w:rPr>
                <w:rFonts w:eastAsia="AdvGulliv-B"/>
              </w:rPr>
              <w:t>/Mn)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04" w:hRule="atLeast"/>
          <w:jc w:val="center"/>
        </w:trPr>
        <w:tc>
          <w:tcPr>
            <w:tcW w:w="2094" w:type="dxa"/>
            <w:vAlign w:val="center"/>
          </w:tcPr>
          <w:p>
            <w:pPr>
              <w:spacing w:line="360" w:lineRule="auto"/>
              <w:jc w:val="center"/>
            </w:pPr>
            <w:r>
              <w:t>E340</w:t>
            </w:r>
          </w:p>
        </w:tc>
        <w:tc>
          <w:tcPr>
            <w:tcW w:w="2095" w:type="dxa"/>
            <w:vAlign w:val="center"/>
          </w:tcPr>
          <w:p>
            <w:pPr>
              <w:widowControl w:val="0"/>
              <w:jc w:val="center"/>
              <w:rPr>
                <w:rFonts w:eastAsia="AdvGulliv-B"/>
              </w:rPr>
            </w:pPr>
            <w:r>
              <w:rPr>
                <w:rFonts w:eastAsia="AdvGulliv-B"/>
              </w:rPr>
              <w:t>4531</w:t>
            </w:r>
          </w:p>
        </w:tc>
        <w:tc>
          <w:tcPr>
            <w:tcW w:w="2095" w:type="dxa"/>
            <w:vAlign w:val="center"/>
          </w:tcPr>
          <w:p>
            <w:pPr>
              <w:widowControl w:val="0"/>
              <w:jc w:val="center"/>
              <w:rPr>
                <w:rFonts w:eastAsia="AdvGulliv-B"/>
              </w:rPr>
            </w:pPr>
            <w:r>
              <w:rPr>
                <w:rFonts w:eastAsia="AdvGulliv-B"/>
              </w:rPr>
              <w:t>4468</w:t>
            </w:r>
          </w:p>
        </w:tc>
        <w:tc>
          <w:tcPr>
            <w:tcW w:w="2095" w:type="dxa"/>
            <w:vAlign w:val="center"/>
          </w:tcPr>
          <w:p>
            <w:pPr>
              <w:widowControl w:val="0"/>
              <w:jc w:val="center"/>
              <w:rPr>
                <w:rFonts w:eastAsia="AdvGulliv-B"/>
              </w:rPr>
            </w:pPr>
            <w:r>
              <w:rPr>
                <w:rFonts w:eastAsia="AdvGulliv-B"/>
              </w:rPr>
              <w:t>1.014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04" w:hRule="atLeast"/>
          <w:jc w:val="center"/>
        </w:trPr>
        <w:tc>
          <w:tcPr>
            <w:tcW w:w="2094" w:type="dxa"/>
            <w:vAlign w:val="center"/>
          </w:tcPr>
          <w:p>
            <w:pPr>
              <w:spacing w:line="360" w:lineRule="auto"/>
              <w:jc w:val="center"/>
            </w:pPr>
            <w:r>
              <w:t>E540</w:t>
            </w:r>
          </w:p>
        </w:tc>
        <w:tc>
          <w:tcPr>
            <w:tcW w:w="2095" w:type="dxa"/>
            <w:vAlign w:val="center"/>
          </w:tcPr>
          <w:p>
            <w:pPr>
              <w:widowControl w:val="0"/>
              <w:jc w:val="center"/>
              <w:rPr>
                <w:rFonts w:eastAsia="AdvGulliv-B"/>
              </w:rPr>
            </w:pPr>
            <w:r>
              <w:rPr>
                <w:rFonts w:eastAsia="AdvGulliv-B"/>
              </w:rPr>
              <w:t>5392</w:t>
            </w:r>
          </w:p>
        </w:tc>
        <w:tc>
          <w:tcPr>
            <w:tcW w:w="2095" w:type="dxa"/>
            <w:vAlign w:val="center"/>
          </w:tcPr>
          <w:p>
            <w:pPr>
              <w:widowControl w:val="0"/>
              <w:jc w:val="center"/>
              <w:rPr>
                <w:rFonts w:eastAsia="AdvGulliv-B"/>
              </w:rPr>
            </w:pPr>
            <w:r>
              <w:rPr>
                <w:rFonts w:eastAsia="AdvGulliv-B"/>
              </w:rPr>
              <w:t>4789</w:t>
            </w:r>
          </w:p>
        </w:tc>
        <w:tc>
          <w:tcPr>
            <w:tcW w:w="2095" w:type="dxa"/>
            <w:vAlign w:val="center"/>
          </w:tcPr>
          <w:p>
            <w:pPr>
              <w:widowControl w:val="0"/>
              <w:jc w:val="center"/>
              <w:rPr>
                <w:rFonts w:eastAsia="AdvGulliv-B"/>
              </w:rPr>
            </w:pPr>
            <w:r>
              <w:rPr>
                <w:rFonts w:eastAsia="AdvGulliv-B"/>
              </w:rPr>
              <w:t>1.126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4" w:hRule="atLeast"/>
          <w:jc w:val="center"/>
        </w:trPr>
        <w:tc>
          <w:tcPr>
            <w:tcW w:w="2094" w:type="dxa"/>
            <w:vAlign w:val="center"/>
          </w:tcPr>
          <w:p>
            <w:pPr>
              <w:spacing w:line="360" w:lineRule="auto"/>
              <w:jc w:val="center"/>
            </w:pPr>
            <w:r>
              <w:t>E740</w:t>
            </w:r>
          </w:p>
        </w:tc>
        <w:tc>
          <w:tcPr>
            <w:tcW w:w="2095" w:type="dxa"/>
            <w:vAlign w:val="center"/>
          </w:tcPr>
          <w:p>
            <w:pPr>
              <w:widowControl w:val="0"/>
              <w:jc w:val="center"/>
              <w:rPr>
                <w:rFonts w:eastAsia="AdvGulliv-B"/>
              </w:rPr>
            </w:pPr>
            <w:r>
              <w:rPr>
                <w:rFonts w:eastAsia="AdvGulliv-B"/>
              </w:rPr>
              <w:t>4794</w:t>
            </w:r>
          </w:p>
        </w:tc>
        <w:tc>
          <w:tcPr>
            <w:tcW w:w="2095" w:type="dxa"/>
            <w:vAlign w:val="center"/>
          </w:tcPr>
          <w:p>
            <w:pPr>
              <w:widowControl w:val="0"/>
              <w:jc w:val="center"/>
              <w:rPr>
                <w:rFonts w:eastAsia="AdvGulliv-B"/>
              </w:rPr>
            </w:pPr>
            <w:r>
              <w:rPr>
                <w:rFonts w:eastAsia="AdvGulliv-B"/>
              </w:rPr>
              <w:t>3737</w:t>
            </w:r>
          </w:p>
        </w:tc>
        <w:tc>
          <w:tcPr>
            <w:tcW w:w="2095" w:type="dxa"/>
            <w:vAlign w:val="center"/>
          </w:tcPr>
          <w:p>
            <w:pPr>
              <w:widowControl w:val="0"/>
              <w:jc w:val="center"/>
              <w:rPr>
                <w:rFonts w:eastAsia="AdvGulliv-B"/>
              </w:rPr>
            </w:pPr>
            <w:r>
              <w:rPr>
                <w:rFonts w:eastAsia="AdvGulliv-B"/>
              </w:rPr>
              <w:t>1.283</w:t>
            </w:r>
          </w:p>
        </w:tc>
      </w:tr>
    </w:tbl>
    <w:p>
      <w:pPr>
        <w:widowControl w:val="0"/>
        <w:spacing w:line="360" w:lineRule="auto"/>
        <w:rPr>
          <w:b/>
          <w:bCs/>
          <w:sz w:val="21"/>
          <w:szCs w:val="21"/>
        </w:rPr>
      </w:pPr>
    </w:p>
    <w:p>
      <w:pPr>
        <w:spacing w:line="360" w:lineRule="auto"/>
        <w:rPr>
          <w:b/>
          <w:bCs/>
          <w:kern w:val="2"/>
        </w:rPr>
      </w:pPr>
      <w:r>
        <w:rPr>
          <w:b/>
          <w:bCs/>
          <w:kern w:val="2"/>
        </w:rPr>
        <w:t>3.</w:t>
      </w:r>
      <w:r>
        <w:rPr>
          <w:rFonts w:hint="eastAsia"/>
          <w:b/>
          <w:bCs/>
          <w:kern w:val="2"/>
        </w:rPr>
        <w:t>2</w:t>
      </w:r>
      <w:r>
        <w:rPr>
          <w:b/>
          <w:bCs/>
          <w:kern w:val="2"/>
        </w:rPr>
        <w:t xml:space="preserve"> Comparison of the dynamic modulus of copolymers</w:t>
      </w:r>
    </w:p>
    <w:p>
      <w:pPr>
        <w:spacing w:line="360" w:lineRule="auto"/>
        <w:jc w:val="both"/>
      </w:pPr>
      <w:r>
        <w:t xml:space="preserve">    Modulus was the ratio of the stress and strain of materials under the effect of external forces. The storage modulus G', that was the elasticity modulus, reflects the ability to resist the elastic deformation of materials. Loss modulus G", that was the viscous modulus, reflected the viscosity deformation of materials. The dynamic modulus of copolymers had a strong dependence on the morphological structure so that researches on G' and G" could reflect important information of the internal structure of copolymer molecules.</w:t>
      </w:r>
    </w:p>
    <w:p>
      <w:pPr>
        <w:spacing w:line="360" w:lineRule="auto"/>
        <w:jc w:val="both"/>
      </w:pPr>
      <w:r>
        <w:t xml:space="preserve">    The linear viscoelastic region referred to the strain which was proportional to the applied stress. Only when the measurement was performed in the linear viscoelastic area, the characteristic constants of materials could be obtained successfully. So it need to determine the linear viscoelastic region firstly to choose the suitable stress. In this case, there would be large enough resulting response of dynamic shock scanning in the linear viscoelastic area and meanwhile the destruction of material structures due to the shear movement would be avoided.</w:t>
      </w:r>
    </w:p>
    <w:p>
      <w:pPr>
        <w:spacing w:line="360" w:lineRule="auto"/>
        <w:jc w:val="center"/>
      </w:pPr>
      <w:r>
        <w:object>
          <v:shape id="_x0000_i1027" o:spt="75" type="#_x0000_t75" style="height:161.25pt;width:210pt;" o:ole="t" filled="f" o:preferrelative="t" stroked="f" coordsize="21600,21600">
            <v:path/>
            <v:fill on="f" focussize="0,0"/>
            <v:stroke on="f" joinstyle="miter"/>
            <v:imagedata r:id="rId9" o:title=""/>
            <o:lock v:ext="edit" aspectratio="f"/>
            <w10:wrap type="none"/>
            <w10:anchorlock/>
          </v:shape>
          <o:OLEObject Type="Embed" ProgID="Origin50.Graph" ShapeID="_x0000_i1027" DrawAspect="Content" ObjectID="_1468075727" r:id="rId8">
            <o:LockedField>false</o:LockedField>
          </o:OLEObject>
        </w:object>
      </w:r>
      <w:r>
        <w:object>
          <v:shape id="_x0000_i1028" o:spt="75" type="#_x0000_t75" style="height:161.25pt;width:204pt;" o:ole="t" filled="f" o:preferrelative="t" stroked="f" coordsize="21600,21600">
            <v:path/>
            <v:fill on="f" focussize="0,0"/>
            <v:stroke on="f" joinstyle="miter"/>
            <v:imagedata r:id="rId11" o:title=""/>
            <o:lock v:ext="edit" aspectratio="f"/>
            <w10:wrap type="none"/>
            <w10:anchorlock/>
          </v:shape>
          <o:OLEObject Type="Embed" ProgID="Origin50.Graph" ShapeID="_x0000_i1028" DrawAspect="Content" ObjectID="_1468075728" r:id="rId10">
            <o:LockedField>false</o:LockedField>
          </o:OLEObject>
        </w:object>
      </w:r>
    </w:p>
    <w:p>
      <w:pPr>
        <w:spacing w:line="360" w:lineRule="auto"/>
        <w:jc w:val="center"/>
        <w:rPr>
          <w:sz w:val="21"/>
          <w:szCs w:val="21"/>
        </w:rPr>
      </w:pPr>
      <w:r>
        <w:rPr>
          <w:b/>
          <w:bCs/>
          <w:sz w:val="21"/>
          <w:szCs w:val="21"/>
        </w:rPr>
        <w:t xml:space="preserve">Fig. </w:t>
      </w:r>
      <w:r>
        <w:rPr>
          <w:rFonts w:hint="eastAsia"/>
          <w:b/>
          <w:bCs/>
          <w:sz w:val="21"/>
          <w:szCs w:val="21"/>
        </w:rPr>
        <w:t>S3</w:t>
      </w:r>
      <w:r>
        <w:rPr>
          <w:sz w:val="21"/>
          <w:szCs w:val="21"/>
        </w:rPr>
        <w:t xml:space="preserve"> The modulus of E340and E540 as function of </w:t>
      </w:r>
      <w:r>
        <w:t>angular</w:t>
      </w:r>
      <w:r>
        <w:rPr>
          <w:rFonts w:eastAsia="Tahoma"/>
        </w:rPr>
        <w:t xml:space="preserve"> frequency</w:t>
      </w:r>
      <w:r>
        <w:rPr>
          <w:sz w:val="21"/>
          <w:szCs w:val="21"/>
        </w:rPr>
        <w:t xml:space="preserve"> ω at 30℃</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pPr>
      <w:r>
        <w:rPr>
          <w:rFonts w:hint="eastAsia"/>
        </w:rPr>
        <w:t>I</w:t>
      </w:r>
      <w:r>
        <w:t>t had shown that the G' and G" of E540 intersected in the angular frequency about ~200 rad·s</w:t>
      </w:r>
      <w:r>
        <w:rPr>
          <w:vertAlign w:val="superscript"/>
        </w:rPr>
        <w:t>-1</w:t>
      </w:r>
      <w:r>
        <w:t xml:space="preserve"> and the G' and G" of E340 and E740 intersected in the higher frequency zone.</w:t>
      </w:r>
    </w:p>
    <w:p>
      <w:pPr>
        <w:spacing w:line="360" w:lineRule="auto"/>
        <w:rPr>
          <w:b/>
          <w:bCs/>
          <w:kern w:val="2"/>
        </w:rPr>
      </w:pPr>
      <w:r>
        <w:rPr>
          <w:b/>
          <w:bCs/>
          <w:kern w:val="2"/>
        </w:rPr>
        <w:t>3.3 Aggregation behavior of multiblock copolymers in aqueous solutions</w:t>
      </w:r>
    </w:p>
    <w:p>
      <w:pPr>
        <w:spacing w:line="360" w:lineRule="auto"/>
        <w:ind w:firstLine="480"/>
        <w:jc w:val="both"/>
      </w:pPr>
      <w:r>
        <w:t xml:space="preserve"> The critical micelle concentration CMC values and surface tension values corresponding to the CMC values were determined separately from the figure, and all data are listed in Table </w:t>
      </w:r>
      <w:r>
        <w:rPr>
          <w:rFonts w:hint="eastAsia"/>
        </w:rPr>
        <w:t>S</w:t>
      </w:r>
      <w:r>
        <w:t xml:space="preserve">4. </w:t>
      </w:r>
    </w:p>
    <w:p>
      <w:pPr>
        <w:widowControl w:val="0"/>
        <w:snapToGrid w:val="0"/>
        <w:spacing w:before="156" w:beforeLines="50" w:after="156" w:afterLines="50"/>
        <w:jc w:val="center"/>
        <w:rPr>
          <w:b/>
          <w:bCs/>
          <w:sz w:val="21"/>
          <w:szCs w:val="21"/>
        </w:rPr>
      </w:pPr>
      <w:r>
        <w:rPr>
          <w:b/>
          <w:bCs/>
          <w:sz w:val="21"/>
          <w:szCs w:val="21"/>
        </w:rPr>
        <w:t xml:space="preserve">Table </w:t>
      </w:r>
      <w:r>
        <w:rPr>
          <w:rFonts w:hint="eastAsia"/>
          <w:b/>
          <w:bCs/>
          <w:sz w:val="21"/>
          <w:szCs w:val="21"/>
        </w:rPr>
        <w:t>S</w:t>
      </w:r>
      <w:r>
        <w:rPr>
          <w:b/>
          <w:bCs/>
          <w:sz w:val="21"/>
          <w:szCs w:val="21"/>
        </w:rPr>
        <w:t>4  The critical micelle concentration and surface tension value of different copolymers</w:t>
      </w:r>
    </w:p>
    <w:tbl>
      <w:tblPr>
        <w:tblStyle w:val="3"/>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9"/>
        <w:gridCol w:w="1980"/>
        <w:gridCol w:w="1980"/>
        <w:gridCol w:w="198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979" w:type="dxa"/>
            <w:tcBorders>
              <w:bottom w:val="single" w:color="auto" w:sz="4" w:space="0"/>
            </w:tcBorders>
            <w:shd w:val="clear" w:color="auto" w:fill="auto"/>
            <w:vAlign w:val="center"/>
          </w:tcPr>
          <w:p>
            <w:pPr>
              <w:widowControl w:val="0"/>
              <w:jc w:val="center"/>
              <w:rPr>
                <w:b/>
                <w:bCs/>
                <w:sz w:val="21"/>
                <w:szCs w:val="21"/>
              </w:rPr>
            </w:pPr>
            <w:r>
              <w:rPr>
                <w:sz w:val="21"/>
                <w:szCs w:val="21"/>
              </w:rPr>
              <w:t>Polymer samples</w:t>
            </w:r>
          </w:p>
        </w:tc>
        <w:tc>
          <w:tcPr>
            <w:tcW w:w="1980" w:type="dxa"/>
            <w:tcBorders>
              <w:bottom w:val="single" w:color="auto" w:sz="4" w:space="0"/>
            </w:tcBorders>
            <w:shd w:val="clear" w:color="auto" w:fill="auto"/>
            <w:vAlign w:val="center"/>
          </w:tcPr>
          <w:p>
            <w:pPr>
              <w:widowControl w:val="0"/>
              <w:jc w:val="center"/>
              <w:rPr>
                <w:b/>
                <w:bCs/>
                <w:sz w:val="21"/>
                <w:szCs w:val="21"/>
              </w:rPr>
            </w:pPr>
            <w:r>
              <w:rPr>
                <w:sz w:val="21"/>
                <w:szCs w:val="21"/>
              </w:rPr>
              <w:t>E340</w:t>
            </w:r>
          </w:p>
        </w:tc>
        <w:tc>
          <w:tcPr>
            <w:tcW w:w="1980" w:type="dxa"/>
            <w:tcBorders>
              <w:bottom w:val="single" w:color="auto" w:sz="4" w:space="0"/>
            </w:tcBorders>
            <w:shd w:val="clear" w:color="auto" w:fill="auto"/>
            <w:vAlign w:val="center"/>
          </w:tcPr>
          <w:p>
            <w:pPr>
              <w:widowControl w:val="0"/>
              <w:jc w:val="center"/>
              <w:rPr>
                <w:b/>
                <w:bCs/>
                <w:sz w:val="21"/>
                <w:szCs w:val="21"/>
              </w:rPr>
            </w:pPr>
            <w:r>
              <w:rPr>
                <w:sz w:val="21"/>
                <w:szCs w:val="21"/>
              </w:rPr>
              <w:t>E540</w:t>
            </w:r>
          </w:p>
        </w:tc>
        <w:tc>
          <w:tcPr>
            <w:tcW w:w="1980" w:type="dxa"/>
            <w:tcBorders>
              <w:bottom w:val="single" w:color="auto" w:sz="4" w:space="0"/>
            </w:tcBorders>
            <w:shd w:val="clear" w:color="auto" w:fill="auto"/>
            <w:vAlign w:val="center"/>
          </w:tcPr>
          <w:p>
            <w:pPr>
              <w:widowControl w:val="0"/>
              <w:jc w:val="center"/>
              <w:rPr>
                <w:b/>
                <w:bCs/>
                <w:sz w:val="21"/>
                <w:szCs w:val="21"/>
              </w:rPr>
            </w:pPr>
            <w:r>
              <w:rPr>
                <w:sz w:val="21"/>
                <w:szCs w:val="21"/>
              </w:rPr>
              <w:t>E740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79" w:type="dxa"/>
            <w:tcBorders>
              <w:top w:val="single" w:color="auto" w:sz="4" w:space="0"/>
            </w:tcBorders>
            <w:shd w:val="clear" w:color="auto" w:fill="auto"/>
            <w:vAlign w:val="center"/>
          </w:tcPr>
          <w:p>
            <w:pPr>
              <w:widowControl w:val="0"/>
              <w:jc w:val="center"/>
              <w:rPr>
                <w:b/>
                <w:bCs/>
                <w:sz w:val="21"/>
                <w:szCs w:val="21"/>
              </w:rPr>
            </w:pPr>
            <w:r>
              <w:rPr>
                <w:sz w:val="21"/>
                <w:szCs w:val="21"/>
              </w:rPr>
              <w:t>CMC/mg·L</w:t>
            </w:r>
            <w:r>
              <w:rPr>
                <w:sz w:val="21"/>
                <w:szCs w:val="21"/>
                <w:vertAlign w:val="superscript"/>
              </w:rPr>
              <w:t>-1</w:t>
            </w:r>
          </w:p>
        </w:tc>
        <w:tc>
          <w:tcPr>
            <w:tcW w:w="1980" w:type="dxa"/>
            <w:tcBorders>
              <w:top w:val="single" w:color="auto" w:sz="4" w:space="0"/>
            </w:tcBorders>
            <w:shd w:val="clear" w:color="auto" w:fill="auto"/>
            <w:vAlign w:val="center"/>
          </w:tcPr>
          <w:p>
            <w:pPr>
              <w:widowControl w:val="0"/>
              <w:jc w:val="center"/>
              <w:rPr>
                <w:b/>
                <w:bCs/>
                <w:sz w:val="21"/>
                <w:szCs w:val="21"/>
              </w:rPr>
            </w:pPr>
            <w:r>
              <w:rPr>
                <w:sz w:val="21"/>
                <w:szCs w:val="21"/>
              </w:rPr>
              <w:t>3</w:t>
            </w:r>
          </w:p>
        </w:tc>
        <w:tc>
          <w:tcPr>
            <w:tcW w:w="1980" w:type="dxa"/>
            <w:tcBorders>
              <w:top w:val="single" w:color="auto" w:sz="4" w:space="0"/>
            </w:tcBorders>
            <w:shd w:val="clear" w:color="auto" w:fill="auto"/>
            <w:vAlign w:val="center"/>
          </w:tcPr>
          <w:p>
            <w:pPr>
              <w:widowControl w:val="0"/>
              <w:jc w:val="center"/>
              <w:rPr>
                <w:b/>
                <w:bCs/>
                <w:sz w:val="21"/>
                <w:szCs w:val="21"/>
              </w:rPr>
            </w:pPr>
            <w:r>
              <w:rPr>
                <w:sz w:val="21"/>
                <w:szCs w:val="21"/>
              </w:rPr>
              <w:t>6</w:t>
            </w:r>
          </w:p>
        </w:tc>
        <w:tc>
          <w:tcPr>
            <w:tcW w:w="1980" w:type="dxa"/>
            <w:tcBorders>
              <w:top w:val="single" w:color="auto" w:sz="4" w:space="0"/>
            </w:tcBorders>
            <w:shd w:val="clear" w:color="auto" w:fill="auto"/>
            <w:vAlign w:val="center"/>
          </w:tcPr>
          <w:p>
            <w:pPr>
              <w:widowControl w:val="0"/>
              <w:jc w:val="center"/>
              <w:rPr>
                <w:b/>
                <w:bCs/>
                <w:sz w:val="21"/>
                <w:szCs w:val="21"/>
              </w:rPr>
            </w:pPr>
            <w:r>
              <w:rPr>
                <w:sz w:val="21"/>
                <w:szCs w:val="21"/>
              </w:rPr>
              <w:t>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1979" w:type="dxa"/>
            <w:shd w:val="clear" w:color="auto" w:fill="auto"/>
            <w:vAlign w:val="center"/>
          </w:tcPr>
          <w:p>
            <w:pPr>
              <w:widowControl w:val="0"/>
              <w:jc w:val="center"/>
              <w:rPr>
                <w:b/>
                <w:bCs/>
                <w:sz w:val="21"/>
                <w:szCs w:val="21"/>
              </w:rPr>
            </w:pPr>
            <w:r>
              <w:rPr>
                <w:sz w:val="21"/>
                <w:szCs w:val="21"/>
              </w:rPr>
              <w:t>γ</w:t>
            </w:r>
            <w:r>
              <w:rPr>
                <w:sz w:val="21"/>
                <w:szCs w:val="21"/>
                <w:vertAlign w:val="subscript"/>
              </w:rPr>
              <w:t>CMC</w:t>
            </w:r>
            <w:r>
              <w:rPr>
                <w:sz w:val="21"/>
                <w:szCs w:val="21"/>
              </w:rPr>
              <w:t>/mN·m</w:t>
            </w:r>
            <w:r>
              <w:rPr>
                <w:sz w:val="21"/>
                <w:szCs w:val="21"/>
                <w:vertAlign w:val="superscript"/>
              </w:rPr>
              <w:t>-1</w:t>
            </w:r>
          </w:p>
        </w:tc>
        <w:tc>
          <w:tcPr>
            <w:tcW w:w="1980" w:type="dxa"/>
            <w:shd w:val="clear" w:color="auto" w:fill="auto"/>
            <w:vAlign w:val="center"/>
          </w:tcPr>
          <w:p>
            <w:pPr>
              <w:widowControl w:val="0"/>
              <w:jc w:val="center"/>
              <w:rPr>
                <w:b/>
                <w:bCs/>
                <w:sz w:val="21"/>
                <w:szCs w:val="21"/>
              </w:rPr>
            </w:pPr>
            <w:r>
              <w:rPr>
                <w:sz w:val="21"/>
                <w:szCs w:val="21"/>
              </w:rPr>
              <w:t>52.2</w:t>
            </w:r>
          </w:p>
        </w:tc>
        <w:tc>
          <w:tcPr>
            <w:tcW w:w="1980" w:type="dxa"/>
            <w:shd w:val="clear" w:color="auto" w:fill="auto"/>
            <w:vAlign w:val="center"/>
          </w:tcPr>
          <w:p>
            <w:pPr>
              <w:widowControl w:val="0"/>
              <w:jc w:val="center"/>
              <w:rPr>
                <w:b/>
                <w:bCs/>
                <w:sz w:val="21"/>
                <w:szCs w:val="21"/>
              </w:rPr>
            </w:pPr>
            <w:r>
              <w:rPr>
                <w:sz w:val="21"/>
                <w:szCs w:val="21"/>
              </w:rPr>
              <w:t>51.3</w:t>
            </w:r>
          </w:p>
        </w:tc>
        <w:tc>
          <w:tcPr>
            <w:tcW w:w="1980" w:type="dxa"/>
            <w:shd w:val="clear" w:color="auto" w:fill="auto"/>
            <w:vAlign w:val="center"/>
          </w:tcPr>
          <w:p>
            <w:pPr>
              <w:widowControl w:val="0"/>
              <w:jc w:val="center"/>
              <w:rPr>
                <w:b/>
                <w:bCs/>
                <w:sz w:val="21"/>
                <w:szCs w:val="21"/>
              </w:rPr>
            </w:pPr>
            <w:r>
              <w:rPr>
                <w:sz w:val="21"/>
                <w:szCs w:val="21"/>
              </w:rPr>
              <w:t>47.4</w:t>
            </w:r>
          </w:p>
        </w:tc>
      </w:tr>
    </w:tbl>
    <w:p>
      <w:pPr>
        <w:spacing w:line="360" w:lineRule="auto"/>
        <w:ind w:firstLine="480"/>
        <w:jc w:val="both"/>
      </w:pPr>
    </w:p>
    <w:p>
      <w:pPr>
        <w:spacing w:line="360" w:lineRule="auto"/>
        <w:ind w:firstLine="480"/>
        <w:jc w:val="both"/>
      </w:pPr>
      <w:r>
        <w:t>The aggregation number of micelles, as a structural characteristic parameter of surfactants, contain</w:t>
      </w:r>
      <w:r>
        <w:rPr>
          <w:rFonts w:hint="eastAsia"/>
          <w:lang w:val="en-US" w:eastAsia="zh-CN"/>
        </w:rPr>
        <w:t>ed</w:t>
      </w:r>
      <w:r>
        <w:t xml:space="preserve"> indirect information about the size and shape of micelles, which depend</w:t>
      </w:r>
      <w:r>
        <w:rPr>
          <w:rFonts w:hint="eastAsia"/>
          <w:lang w:val="en-US" w:eastAsia="zh-CN"/>
        </w:rPr>
        <w:t>ed</w:t>
      </w:r>
      <w:r>
        <w:t xml:space="preserve"> on the chemical properties, temperature, concentration, and ion strength of the surfactant. This experiment measured the micelle aggregation number Nagg of block polymers using static fluorescence quenching technology. This approach was neither affected by the intermolecular interaction forces nor constrained by the micellar morphology. Pyrene and benzophenone </w:t>
      </w:r>
      <w:r>
        <w:rPr>
          <w:rFonts w:hint="eastAsia"/>
          <w:lang w:val="en-US" w:eastAsia="zh-CN"/>
        </w:rPr>
        <w:t>we</w:t>
      </w:r>
      <w:r>
        <w:t>re used as fluorescent probes and quenchers. The final concentration of pyrene was 1.0×10</w:t>
      </w:r>
      <w:r>
        <w:rPr>
          <w:vertAlign w:val="superscript"/>
        </w:rPr>
        <w:t>-6</w:t>
      </w:r>
      <w:r>
        <w:t>mol·L</w:t>
      </w:r>
      <w:r>
        <w:rPr>
          <w:vertAlign w:val="superscript"/>
        </w:rPr>
        <w:t>-1</w:t>
      </w:r>
      <w:r>
        <w:t>, and the quencher was 0 mol·L</w:t>
      </w:r>
      <w:r>
        <w:rPr>
          <w:vertAlign w:val="superscript"/>
        </w:rPr>
        <w:t>-1</w:t>
      </w:r>
      <w:r>
        <w:t>、2×10</w:t>
      </w:r>
      <w:r>
        <w:rPr>
          <w:vertAlign w:val="superscript"/>
        </w:rPr>
        <w:t>-5</w:t>
      </w:r>
      <w:r>
        <w:t>mol·L</w:t>
      </w:r>
      <w:r>
        <w:rPr>
          <w:vertAlign w:val="superscript"/>
        </w:rPr>
        <w:t>-1</w:t>
      </w:r>
      <w:r>
        <w:t>、4×10</w:t>
      </w:r>
      <w:r>
        <w:rPr>
          <w:vertAlign w:val="superscript"/>
        </w:rPr>
        <w:t>-5</w:t>
      </w:r>
      <w:r>
        <w:t>mol·L</w:t>
      </w:r>
      <w:r>
        <w:rPr>
          <w:vertAlign w:val="superscript"/>
        </w:rPr>
        <w:t>-1</w:t>
      </w:r>
      <w:r>
        <w:t>、6×10</w:t>
      </w:r>
      <w:r>
        <w:rPr>
          <w:vertAlign w:val="superscript"/>
        </w:rPr>
        <w:t>-5</w:t>
      </w:r>
      <w:r>
        <w:t>mol·L</w:t>
      </w:r>
      <w:r>
        <w:rPr>
          <w:vertAlign w:val="superscript"/>
        </w:rPr>
        <w:t>-1</w:t>
      </w:r>
      <w:r>
        <w:t>、8×10</w:t>
      </w:r>
      <w:r>
        <w:rPr>
          <w:vertAlign w:val="superscript"/>
        </w:rPr>
        <w:t>-5</w:t>
      </w:r>
      <w:r>
        <w:t>mol·L</w:t>
      </w:r>
      <w:r>
        <w:rPr>
          <w:vertAlign w:val="superscript"/>
        </w:rPr>
        <w:t>-1</w:t>
      </w:r>
      <w:r>
        <w:t>. The number of micelles Nagg can be calculated by the following equation:</w:t>
      </w:r>
    </w:p>
    <w:p>
      <w:pPr>
        <w:widowControl w:val="0"/>
        <w:shd w:val="clear" w:color="auto" w:fill="FFFFFF"/>
        <w:adjustRightInd w:val="0"/>
        <w:snapToGrid w:val="0"/>
        <w:spacing w:line="360" w:lineRule="auto"/>
        <w:ind w:firstLine="2160" w:firstLineChars="900"/>
        <w:rPr>
          <w:kern w:val="2"/>
        </w:rPr>
      </w:pPr>
      <w:r>
        <w:rPr>
          <w:i/>
          <w:iCs/>
          <w:kern w:val="2"/>
        </w:rPr>
        <w:t>N</w:t>
      </w:r>
      <w:r>
        <w:rPr>
          <w:kern w:val="2"/>
          <w:vertAlign w:val="subscript"/>
        </w:rPr>
        <w:t>agg</w:t>
      </w:r>
      <w:r>
        <w:rPr>
          <w:kern w:val="2"/>
        </w:rPr>
        <w:t>=</w:t>
      </w:r>
      <w:r>
        <w:rPr>
          <w:i/>
          <w:iCs/>
          <w:kern w:val="2"/>
        </w:rPr>
        <w:t xml:space="preserve"> C</w:t>
      </w:r>
      <w:r>
        <w:rPr>
          <w:i/>
          <w:iCs/>
          <w:kern w:val="2"/>
          <w:vertAlign w:val="subscript"/>
        </w:rPr>
        <w:t>copolymer</w:t>
      </w:r>
      <w:r>
        <w:rPr>
          <w:kern w:val="2"/>
        </w:rPr>
        <w:t xml:space="preserve"> /[M]</w:t>
      </w:r>
      <w:r>
        <w:rPr>
          <w:kern w:val="2"/>
          <w:position w:val="-24"/>
        </w:rPr>
        <w:object>
          <v:shape id="_x0000_i1029" o:spt="75" type="#_x0000_t75" style="height:32.25pt;width:78pt;" o:ole="t" filled="f" o:preferrelative="t" stroked="f" coordsize="21600,21600">
            <v:path/>
            <v:fill on="f" focussize="0,0"/>
            <v:stroke on="f" joinstyle="miter"/>
            <v:imagedata r:id="rId13" o:title=""/>
            <o:lock v:ext="edit" aspectratio="t"/>
            <w10:wrap type="none"/>
            <w10:anchorlock/>
          </v:shape>
          <o:OLEObject Type="Embed" ProgID="Equation.3" ShapeID="_x0000_i1029" DrawAspect="Content" ObjectID="_1468075729" r:id="rId12">
            <o:LockedField>false</o:LockedField>
          </o:OLEObject>
        </w:object>
      </w:r>
      <w:r>
        <w:rPr>
          <w:kern w:val="2"/>
        </w:rPr>
        <w:t>/</w:t>
      </w:r>
      <w:r>
        <w:rPr>
          <w:rFonts w:hint="eastAsia"/>
          <w:kern w:val="2"/>
        </w:rPr>
        <w:t>C</w:t>
      </w:r>
      <w:r>
        <w:rPr>
          <w:rFonts w:hint="eastAsia"/>
          <w:kern w:val="2"/>
          <w:vertAlign w:val="subscript"/>
        </w:rPr>
        <w:t>q</w:t>
      </w:r>
    </w:p>
    <w:p>
      <w:pPr>
        <w:spacing w:line="360" w:lineRule="auto"/>
        <w:ind w:firstLine="480"/>
        <w:jc w:val="both"/>
      </w:pPr>
      <w:r>
        <w:t xml:space="preserve">Where [M] </w:t>
      </w:r>
      <w:r>
        <w:rPr>
          <w:rFonts w:hint="eastAsia"/>
          <w:lang w:val="en-US" w:eastAsia="zh-CN"/>
        </w:rPr>
        <w:t>wa</w:t>
      </w:r>
      <w:r>
        <w:t xml:space="preserve">s the molar concentration of the hydrophobic microenvironment, Cq </w:t>
      </w:r>
      <w:r>
        <w:rPr>
          <w:rFonts w:hint="eastAsia"/>
          <w:lang w:val="en-US" w:eastAsia="zh-CN"/>
        </w:rPr>
        <w:t>wa</w:t>
      </w:r>
      <w:r>
        <w:t>s the molar concentration of the quencher, and I</w:t>
      </w:r>
      <w:r>
        <w:rPr>
          <w:vertAlign w:val="subscript"/>
        </w:rPr>
        <w:t>0</w:t>
      </w:r>
      <w:r>
        <w:t xml:space="preserve"> and I represent</w:t>
      </w:r>
      <w:r>
        <w:rPr>
          <w:rFonts w:hint="eastAsia"/>
          <w:lang w:val="en-US" w:eastAsia="zh-CN"/>
        </w:rPr>
        <w:t>ed</w:t>
      </w:r>
      <w:r>
        <w:t xml:space="preserve"> the fluorescence intensity of the pyrene at 373 nm in the absence and presence of the quencher, respectively.</w:t>
      </w:r>
    </w:p>
    <w:p>
      <w:pPr>
        <w:spacing w:line="360" w:lineRule="auto"/>
        <w:jc w:val="both"/>
      </w:pPr>
      <w:r>
        <w:object>
          <v:shape id="_x0000_i1030" o:spt="75" type="#_x0000_t75" style="height:169.5pt;width:196.5pt;" o:ole="t" filled="f" o:preferrelative="t" stroked="f" coordsize="21600,21600">
            <v:path/>
            <v:fill on="f" focussize="0,0"/>
            <v:stroke on="f" joinstyle="miter"/>
            <v:imagedata r:id="rId15" o:title=""/>
            <o:lock v:ext="edit" aspectratio="f"/>
            <w10:wrap type="none"/>
            <w10:anchorlock/>
          </v:shape>
          <o:OLEObject Type="Embed" ProgID="Origin50.Graph" ShapeID="_x0000_i1030" DrawAspect="Content" ObjectID="_1468075730" r:id="rId14">
            <o:LockedField>false</o:LockedField>
          </o:OLEObject>
        </w:object>
      </w:r>
      <w:r>
        <w:object>
          <v:shape id="_x0000_i1031" o:spt="75" type="#_x0000_t75" style="height:168.75pt;width:200.25pt;" o:ole="t" filled="f" o:preferrelative="t" stroked="f" coordsize="21600,21600">
            <v:path/>
            <v:fill on="f" focussize="0,0"/>
            <v:stroke on="f" joinstyle="miter"/>
            <v:imagedata r:id="rId17" o:title=""/>
            <o:lock v:ext="edit" aspectratio="f"/>
            <w10:wrap type="none"/>
            <w10:anchorlock/>
          </v:shape>
          <o:OLEObject Type="Embed" ProgID="Origin50.Graph" ShapeID="_x0000_i1031" DrawAspect="Content" ObjectID="_1468075731" r:id="rId16">
            <o:LockedField>false</o:LockedField>
          </o:OLEObject>
        </w:object>
      </w:r>
    </w:p>
    <w:p>
      <w:pPr>
        <w:spacing w:line="360" w:lineRule="auto"/>
        <w:jc w:val="center"/>
      </w:pPr>
      <w:r>
        <w:t>Fig.</w:t>
      </w:r>
      <w:r>
        <w:rPr>
          <w:rFonts w:hint="eastAsia"/>
        </w:rPr>
        <w:t>S4</w:t>
      </w:r>
      <w:r>
        <w:t xml:space="preserve">  Fluorescence spectra of the first vibronic band of pyrene monomer in the series of copolymer aqueous solutions at a certain concentrations of quencher, E540 (a), the comparison between E340, E540 and E740 (b)</w:t>
      </w:r>
    </w:p>
    <w:p>
      <w:pPr>
        <w:spacing w:line="360" w:lineRule="auto"/>
        <w:ind w:firstLine="480"/>
        <w:jc w:val="both"/>
      </w:pPr>
      <w:bookmarkStart w:id="0" w:name="_Toc17775"/>
      <w:bookmarkStart w:id="1" w:name="_Toc27484"/>
      <w:bookmarkStart w:id="2" w:name="_Toc2211"/>
      <w:r>
        <w:t>The fluorescence spectrum of the first peak of pyrene in the aqueous polymer solution (5000 mg L</w:t>
      </w:r>
      <w:r>
        <w:rPr>
          <w:vertAlign w:val="superscript"/>
        </w:rPr>
        <w:t>-1</w:t>
      </w:r>
      <w:r>
        <w:t xml:space="preserve">) at different quencher concentrations was as shown in Figure </w:t>
      </w:r>
      <w:r>
        <w:rPr>
          <w:rFonts w:hint="eastAsia"/>
        </w:rPr>
        <w:t>S4</w:t>
      </w:r>
      <w:r>
        <w:t>(a), which showed that the emission intensity of the peak is decreased with the increase of the quencher concentration. The plots made by ln(I</w:t>
      </w:r>
      <w:r>
        <w:rPr>
          <w:vertAlign w:val="subscript"/>
        </w:rPr>
        <w:t>0</w:t>
      </w:r>
      <w:r>
        <w:t xml:space="preserve">/I) for Cq </w:t>
      </w:r>
      <w:r>
        <w:rPr>
          <w:rFonts w:hint="eastAsia"/>
          <w:lang w:val="en-US" w:eastAsia="zh-CN"/>
        </w:rPr>
        <w:t>we</w:t>
      </w:r>
      <w:r>
        <w:t xml:space="preserve">re all lines passing through the origin, as shown in Figure </w:t>
      </w:r>
      <w:r>
        <w:rPr>
          <w:rFonts w:hint="eastAsia"/>
        </w:rPr>
        <w:t>S4</w:t>
      </w:r>
      <w:r>
        <w:t xml:space="preserve"> (b), Nagg can be obtained from the slope of the lines in the figure, and the results </w:t>
      </w:r>
      <w:r>
        <w:rPr>
          <w:rFonts w:hint="eastAsia"/>
          <w:lang w:val="en-US" w:eastAsia="zh-CN"/>
        </w:rPr>
        <w:t>we</w:t>
      </w:r>
      <w:r>
        <w:t>re shown in Table 5.</w:t>
      </w:r>
    </w:p>
    <w:p>
      <w:pPr>
        <w:spacing w:line="360" w:lineRule="auto"/>
        <w:ind w:firstLine="480"/>
        <w:jc w:val="both"/>
      </w:pPr>
      <w:r>
        <w:t xml:space="preserve">The data in the table </w:t>
      </w:r>
      <w:r>
        <w:rPr>
          <w:rFonts w:hint="eastAsia"/>
        </w:rPr>
        <w:t>S</w:t>
      </w:r>
      <w:r>
        <w:t>5 illustrated that the number of micelle clusters of different polymers was E340&gt; E540&gt; E740 for 5,000 mg L</w:t>
      </w:r>
      <w:r>
        <w:rPr>
          <w:vertAlign w:val="superscript"/>
        </w:rPr>
        <w:t>-1</w:t>
      </w:r>
      <w:r>
        <w:t xml:space="preserve">. As the number of blocks increased, the process of forming micelles by polymer molecules gradually became complicated. At the same concentration, polymers with smaller blocks </w:t>
      </w:r>
      <w:r>
        <w:rPr>
          <w:rFonts w:hint="eastAsia"/>
          <w:lang w:val="en-US" w:eastAsia="zh-CN"/>
        </w:rPr>
        <w:t>we</w:t>
      </w:r>
      <w:r>
        <w:t xml:space="preserve">re more likely to form micelles and accumulate, and the aggregation number of micelles </w:t>
      </w:r>
      <w:r>
        <w:rPr>
          <w:rFonts w:hint="eastAsia"/>
          <w:lang w:val="en-US" w:eastAsia="zh-CN"/>
        </w:rPr>
        <w:t>wa</w:t>
      </w:r>
      <w:r>
        <w:t>s relatively large.</w:t>
      </w:r>
    </w:p>
    <w:p>
      <w:pPr>
        <w:widowControl w:val="0"/>
        <w:snapToGrid w:val="0"/>
        <w:spacing w:before="156" w:beforeLines="50" w:after="156" w:afterLines="50"/>
        <w:jc w:val="center"/>
        <w:outlineLvl w:val="0"/>
        <w:rPr>
          <w:b/>
          <w:sz w:val="21"/>
          <w:szCs w:val="21"/>
        </w:rPr>
      </w:pPr>
      <w:r>
        <w:rPr>
          <w:b/>
          <w:sz w:val="21"/>
          <w:szCs w:val="21"/>
        </w:rPr>
        <w:t xml:space="preserve">Table </w:t>
      </w:r>
      <w:r>
        <w:rPr>
          <w:rFonts w:hint="eastAsia"/>
          <w:b/>
          <w:sz w:val="21"/>
          <w:szCs w:val="21"/>
        </w:rPr>
        <w:t>S</w:t>
      </w:r>
      <w:r>
        <w:rPr>
          <w:b/>
          <w:sz w:val="21"/>
          <w:szCs w:val="21"/>
        </w:rPr>
        <w:t>5  N</w:t>
      </w:r>
      <w:r>
        <w:rPr>
          <w:b/>
          <w:sz w:val="21"/>
          <w:szCs w:val="21"/>
          <w:vertAlign w:val="subscript"/>
        </w:rPr>
        <w:t>agg</w:t>
      </w:r>
      <w:r>
        <w:rPr>
          <w:b/>
          <w:sz w:val="21"/>
          <w:szCs w:val="21"/>
        </w:rPr>
        <w:t xml:space="preserve"> obtained from steady-state fluorescence quenching technique</w:t>
      </w:r>
      <w:bookmarkEnd w:id="0"/>
      <w:bookmarkEnd w:id="1"/>
      <w:bookmarkEnd w:id="2"/>
    </w:p>
    <w:tbl>
      <w:tblPr>
        <w:tblStyle w:val="3"/>
        <w:tblpPr w:leftFromText="180" w:rightFromText="180" w:vertAnchor="text" w:horzAnchor="page" w:tblpXSpec="center" w:tblpY="155"/>
        <w:tblOverlap w:val="never"/>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37"/>
        <w:gridCol w:w="2103"/>
        <w:gridCol w:w="2282"/>
        <w:gridCol w:w="159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037" w:type="dxa"/>
            <w:vAlign w:val="center"/>
          </w:tcPr>
          <w:p>
            <w:pPr>
              <w:widowControl w:val="0"/>
              <w:spacing w:line="360" w:lineRule="auto"/>
              <w:jc w:val="center"/>
              <w:rPr>
                <w:sz w:val="21"/>
                <w:szCs w:val="21"/>
              </w:rPr>
            </w:pPr>
            <w:r>
              <w:rPr>
                <w:sz w:val="21"/>
                <w:szCs w:val="21"/>
              </w:rPr>
              <w:t>Characteristics</w:t>
            </w:r>
          </w:p>
        </w:tc>
        <w:tc>
          <w:tcPr>
            <w:tcW w:w="2103" w:type="dxa"/>
            <w:vAlign w:val="center"/>
          </w:tcPr>
          <w:p>
            <w:pPr>
              <w:widowControl w:val="0"/>
              <w:spacing w:line="360" w:lineRule="auto"/>
              <w:jc w:val="center"/>
              <w:rPr>
                <w:sz w:val="21"/>
                <w:szCs w:val="21"/>
              </w:rPr>
            </w:pPr>
            <w:r>
              <w:rPr>
                <w:sz w:val="21"/>
                <w:szCs w:val="21"/>
              </w:rPr>
              <w:t>E340</w:t>
            </w:r>
          </w:p>
        </w:tc>
        <w:tc>
          <w:tcPr>
            <w:tcW w:w="2282" w:type="dxa"/>
            <w:vAlign w:val="center"/>
          </w:tcPr>
          <w:p>
            <w:pPr>
              <w:widowControl w:val="0"/>
              <w:spacing w:line="360" w:lineRule="auto"/>
              <w:jc w:val="center"/>
              <w:rPr>
                <w:sz w:val="21"/>
                <w:szCs w:val="21"/>
              </w:rPr>
            </w:pPr>
            <w:r>
              <w:rPr>
                <w:sz w:val="21"/>
                <w:szCs w:val="21"/>
              </w:rPr>
              <w:t>E540</w:t>
            </w:r>
          </w:p>
        </w:tc>
        <w:tc>
          <w:tcPr>
            <w:tcW w:w="1597" w:type="dxa"/>
            <w:vAlign w:val="center"/>
          </w:tcPr>
          <w:p>
            <w:pPr>
              <w:widowControl w:val="0"/>
              <w:spacing w:line="360" w:lineRule="auto"/>
              <w:jc w:val="center"/>
              <w:rPr>
                <w:sz w:val="21"/>
                <w:szCs w:val="21"/>
              </w:rPr>
            </w:pPr>
            <w:r>
              <w:rPr>
                <w:sz w:val="21"/>
                <w:szCs w:val="21"/>
              </w:rPr>
              <w:t>E740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037" w:type="dxa"/>
            <w:vAlign w:val="center"/>
          </w:tcPr>
          <w:p>
            <w:pPr>
              <w:widowControl w:val="0"/>
              <w:spacing w:line="360" w:lineRule="auto"/>
              <w:jc w:val="center"/>
              <w:rPr>
                <w:sz w:val="21"/>
                <w:szCs w:val="21"/>
              </w:rPr>
            </w:pPr>
            <w:r>
              <w:rPr>
                <w:sz w:val="21"/>
                <w:szCs w:val="21"/>
              </w:rPr>
              <w:t>C/mg·L</w:t>
            </w:r>
            <w:r>
              <w:rPr>
                <w:sz w:val="21"/>
                <w:szCs w:val="21"/>
                <w:vertAlign w:val="superscript"/>
              </w:rPr>
              <w:t>-1</w:t>
            </w:r>
          </w:p>
        </w:tc>
        <w:tc>
          <w:tcPr>
            <w:tcW w:w="5982" w:type="dxa"/>
            <w:gridSpan w:val="3"/>
            <w:vAlign w:val="center"/>
          </w:tcPr>
          <w:p>
            <w:pPr>
              <w:widowControl w:val="0"/>
              <w:spacing w:line="360" w:lineRule="auto"/>
              <w:jc w:val="center"/>
              <w:rPr>
                <w:sz w:val="21"/>
                <w:szCs w:val="21"/>
              </w:rPr>
            </w:pPr>
            <w:r>
              <w:rPr>
                <w:sz w:val="21"/>
                <w:szCs w:val="21"/>
              </w:rPr>
              <w:t>5000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037" w:type="dxa"/>
            <w:vAlign w:val="center"/>
          </w:tcPr>
          <w:p>
            <w:pPr>
              <w:widowControl w:val="0"/>
              <w:spacing w:line="360" w:lineRule="auto"/>
              <w:jc w:val="center"/>
              <w:rPr>
                <w:sz w:val="21"/>
                <w:szCs w:val="21"/>
              </w:rPr>
            </w:pPr>
            <w:r>
              <w:rPr>
                <w:sz w:val="21"/>
                <w:szCs w:val="21"/>
              </w:rPr>
              <w:t>N</w:t>
            </w:r>
            <w:r>
              <w:rPr>
                <w:sz w:val="21"/>
                <w:szCs w:val="21"/>
                <w:vertAlign w:val="subscript"/>
              </w:rPr>
              <w:t>agg</w:t>
            </w:r>
          </w:p>
        </w:tc>
        <w:tc>
          <w:tcPr>
            <w:tcW w:w="2103" w:type="dxa"/>
            <w:vAlign w:val="center"/>
          </w:tcPr>
          <w:p>
            <w:pPr>
              <w:widowControl w:val="0"/>
              <w:spacing w:line="360" w:lineRule="auto"/>
              <w:jc w:val="center"/>
              <w:rPr>
                <w:sz w:val="21"/>
                <w:szCs w:val="21"/>
              </w:rPr>
            </w:pPr>
            <w:r>
              <w:t>22.35</w:t>
            </w:r>
          </w:p>
        </w:tc>
        <w:tc>
          <w:tcPr>
            <w:tcW w:w="2282" w:type="dxa"/>
            <w:vAlign w:val="center"/>
          </w:tcPr>
          <w:p>
            <w:pPr>
              <w:widowControl w:val="0"/>
              <w:spacing w:line="360" w:lineRule="auto"/>
              <w:jc w:val="center"/>
              <w:rPr>
                <w:sz w:val="21"/>
                <w:szCs w:val="21"/>
              </w:rPr>
            </w:pPr>
            <w:r>
              <w:t>18.14</w:t>
            </w:r>
          </w:p>
        </w:tc>
        <w:tc>
          <w:tcPr>
            <w:tcW w:w="1597" w:type="dxa"/>
            <w:vAlign w:val="center"/>
          </w:tcPr>
          <w:p>
            <w:pPr>
              <w:widowControl w:val="0"/>
              <w:tabs>
                <w:tab w:val="center" w:pos="931"/>
                <w:tab w:val="right" w:pos="1743"/>
              </w:tabs>
              <w:spacing w:line="360" w:lineRule="auto"/>
              <w:jc w:val="center"/>
              <w:rPr>
                <w:sz w:val="21"/>
                <w:szCs w:val="21"/>
              </w:rPr>
            </w:pPr>
            <w:r>
              <w:t>13.7</w:t>
            </w:r>
          </w:p>
        </w:tc>
      </w:tr>
    </w:tbl>
    <w:p>
      <w:pPr>
        <w:spacing w:line="360" w:lineRule="auto"/>
        <w:jc w:val="both"/>
      </w:pPr>
    </w:p>
    <w:p>
      <w:pPr>
        <w:spacing w:line="360" w:lineRule="auto"/>
        <w:rPr>
          <w:b/>
          <w:bCs/>
          <w:kern w:val="2"/>
        </w:rPr>
      </w:pPr>
      <w:r>
        <w:t xml:space="preserve"> </w:t>
      </w:r>
      <w:r>
        <w:rPr>
          <w:b/>
          <w:bCs/>
          <w:kern w:val="2"/>
        </w:rPr>
        <w:t>3.4 Microemulsion property of multiblock copolymers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pPr>
      <w:r>
        <w:t>Microemulsion was an optically isotropic, transparent, and thermodynamically stable medium, which formed by the mutually dissolved water and oil phase under the function of the interfacial film</w:t>
      </w:r>
      <w:r>
        <w:rPr>
          <w:vertAlign w:val="superscript"/>
        </w:rPr>
        <w:fldChar w:fldCharType="begin"/>
      </w:r>
      <w:r>
        <w:rPr>
          <w:vertAlign w:val="superscript"/>
        </w:rPr>
        <w:instrText xml:space="preserve"> ADDIN NE.Ref.{5125E6A8-7B84-49E0-BDC5-55FE7BD85418}</w:instrText>
      </w:r>
      <w:r>
        <w:rPr>
          <w:vertAlign w:val="superscript"/>
        </w:rPr>
        <w:fldChar w:fldCharType="separate"/>
      </w:r>
      <w:r>
        <w:rPr>
          <w:rFonts w:eastAsiaTheme="minorEastAsia"/>
          <w:color w:val="080000"/>
          <w:vertAlign w:val="superscript"/>
        </w:rPr>
        <w:t>[2]</w:t>
      </w:r>
      <w:r>
        <w:rPr>
          <w:vertAlign w:val="superscript"/>
        </w:rPr>
        <w:fldChar w:fldCharType="end"/>
      </w:r>
      <w:r>
        <w:t xml:space="preserve">. The property and phase-transition of the microemulsion were mainly controlled by the interfacial film, which was mainly composed of the surfactant and cosurfactant, so that the type and property of the surfactant had important influences on the performance of the microemulsion. </w:t>
      </w:r>
    </w:p>
    <w:p>
      <w:pPr>
        <w:jc w:val="center"/>
      </w:pPr>
      <w:r>
        <w:drawing>
          <wp:inline distT="0" distB="0" distL="114300" distR="114300">
            <wp:extent cx="2518410" cy="2324735"/>
            <wp:effectExtent l="0" t="0" r="15240" b="1841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18"/>
                    <a:stretch>
                      <a:fillRect/>
                    </a:stretch>
                  </pic:blipFill>
                  <pic:spPr>
                    <a:xfrm>
                      <a:off x="0" y="0"/>
                      <a:ext cx="2518410" cy="2324735"/>
                    </a:xfrm>
                    <a:prstGeom prst="rect">
                      <a:avLst/>
                    </a:prstGeom>
                    <a:noFill/>
                    <a:ln>
                      <a:noFill/>
                    </a:ln>
                  </pic:spPr>
                </pic:pic>
              </a:graphicData>
            </a:graphic>
          </wp:inline>
        </w:drawing>
      </w:r>
    </w:p>
    <w:p>
      <w:pPr>
        <w:spacing w:line="360" w:lineRule="auto"/>
        <w:jc w:val="center"/>
        <w:rPr>
          <w:rStyle w:val="5"/>
        </w:rPr>
      </w:pPr>
      <w:r>
        <w:rPr>
          <w:b/>
          <w:bCs/>
          <w:sz w:val="21"/>
          <w:szCs w:val="21"/>
        </w:rPr>
        <w:t xml:space="preserve">Fig. </w:t>
      </w:r>
      <w:r>
        <w:rPr>
          <w:rFonts w:hint="eastAsia"/>
          <w:b/>
          <w:bCs/>
          <w:sz w:val="21"/>
          <w:szCs w:val="21"/>
        </w:rPr>
        <w:t>S5</w:t>
      </w:r>
      <w:r>
        <w:rPr>
          <w:rStyle w:val="5"/>
        </w:rPr>
        <w:t xml:space="preserve"> Ternary phase diagram of the multiblock copolymers/n-butylalcohol/hexamethylene/water system at 30 ± 0.2 ℃. (The component content in the system was in mass fraction;W represented the aqueous phase;O represented the hexamethylen phase; S and C represented multiblock copolymers and n-butyl alcohol, respectively)</w:t>
      </w:r>
    </w:p>
    <w:p>
      <w:pPr>
        <w:widowControl w:val="0"/>
        <w:autoSpaceDE w:val="0"/>
        <w:autoSpaceDN w:val="0"/>
        <w:adjustRightInd w:val="0"/>
        <w:rPr>
          <w:rFonts w:ascii="宋体" w:hAnsiTheme="minorHAnsi" w:cstheme="minorBidi"/>
        </w:rPr>
      </w:pPr>
      <w:r>
        <w:fldChar w:fldCharType="begin"/>
      </w:r>
      <w:r>
        <w:instrText xml:space="preserve"> ADDIN NE.Bib</w:instrText>
      </w:r>
      <w:r>
        <w:fldChar w:fldCharType="separate"/>
      </w:r>
    </w:p>
    <w:p>
      <w:pPr>
        <w:widowControl w:val="0"/>
        <w:autoSpaceDE w:val="0"/>
        <w:autoSpaceDN w:val="0"/>
        <w:adjustRightInd w:val="0"/>
        <w:rPr>
          <w:rFonts w:ascii="宋体" w:hAnsiTheme="minorHAnsi" w:cstheme="minorBidi"/>
        </w:rPr>
      </w:pPr>
      <w:r>
        <w:rPr>
          <w:b/>
          <w:bCs/>
          <w:color w:val="000000"/>
          <w:sz w:val="20"/>
          <w:szCs w:val="20"/>
        </w:rPr>
        <w:t>REFERENCES</w:t>
      </w:r>
    </w:p>
    <w:p>
      <w:pPr>
        <w:widowControl w:val="0"/>
        <w:autoSpaceDE w:val="0"/>
        <w:autoSpaceDN w:val="0"/>
        <w:adjustRightInd w:val="0"/>
        <w:ind w:left="500" w:hanging="460"/>
        <w:rPr>
          <w:rFonts w:ascii="宋体" w:hAnsiTheme="minorHAnsi" w:cstheme="minorBidi"/>
        </w:rPr>
      </w:pPr>
      <w:r>
        <w:rPr>
          <w:color w:val="000000"/>
          <w:sz w:val="20"/>
          <w:szCs w:val="20"/>
        </w:rPr>
        <w:t xml:space="preserve">[1] </w:t>
      </w:r>
      <w:bookmarkStart w:id="3" w:name="_neb2AB80D40_09BE_4658_A638_0A7E8617C247"/>
      <w:r>
        <w:rPr>
          <w:color w:val="000000"/>
          <w:sz w:val="20"/>
          <w:szCs w:val="20"/>
        </w:rPr>
        <w:t xml:space="preserve">Geoffrey D. Moeser, Kaitlin A. Roach, William H. Green, Paul E. Laibinis, and T. Alan Hatton. 2002. Water-based magnetic fluids as extractants for synthetic organic compounds. </w:t>
      </w:r>
      <w:r>
        <w:rPr>
          <w:i/>
          <w:iCs/>
          <w:color w:val="000000"/>
          <w:sz w:val="20"/>
          <w:szCs w:val="20"/>
        </w:rPr>
        <w:t>Ind. Eng. Chem. Res.</w:t>
      </w:r>
      <w:r>
        <w:rPr>
          <w:color w:val="000000"/>
          <w:sz w:val="20"/>
          <w:szCs w:val="20"/>
        </w:rPr>
        <w:t xml:space="preserve"> (2002), 4739-4749. DOI 10.1021/ie0202118</w:t>
      </w:r>
      <w:bookmarkEnd w:id="3"/>
    </w:p>
    <w:p>
      <w:pPr>
        <w:widowControl w:val="0"/>
        <w:autoSpaceDE w:val="0"/>
        <w:autoSpaceDN w:val="0"/>
        <w:adjustRightInd w:val="0"/>
        <w:ind w:left="500" w:hanging="460"/>
        <w:rPr>
          <w:rFonts w:ascii="宋体" w:hAnsiTheme="minorHAnsi" w:cstheme="minorBidi"/>
        </w:rPr>
      </w:pPr>
      <w:r>
        <w:rPr>
          <w:color w:val="000000"/>
          <w:sz w:val="20"/>
          <w:szCs w:val="20"/>
        </w:rPr>
        <w:t xml:space="preserve">[2] </w:t>
      </w:r>
      <w:bookmarkStart w:id="4" w:name="_neb3D3311DB_3766_426A_8DB7_226F84FFC832"/>
      <w:r>
        <w:rPr>
          <w:color w:val="000000"/>
          <w:sz w:val="20"/>
          <w:szCs w:val="20"/>
        </w:rPr>
        <w:t xml:space="preserve">Christian P. Mehnert, Raymond A. Cook, Nicholas C. Dispenziere, and Mobae Afeworki. 2002. Supported ionic liquid catalysis-a new concept for homogeneous hydroformylation catalysis. </w:t>
      </w:r>
      <w:r>
        <w:rPr>
          <w:i/>
          <w:iCs/>
          <w:color w:val="000000"/>
          <w:sz w:val="20"/>
          <w:szCs w:val="20"/>
        </w:rPr>
        <w:t>J. Am. Chem. Soc.</w:t>
      </w:r>
      <w:r>
        <w:rPr>
          <w:color w:val="000000"/>
          <w:sz w:val="20"/>
          <w:szCs w:val="20"/>
        </w:rPr>
        <w:t xml:space="preserve"> (2002), 12932-12933. DOI 10.1021/ja0279242</w:t>
      </w:r>
      <w:bookmarkEnd w:id="4"/>
    </w:p>
    <w:p>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Gulliv-B">
    <w:altName w:val="宋体"/>
    <w:panose1 w:val="00000000000000000000"/>
    <w:charset w:val="86"/>
    <w:family w:val="auto"/>
    <w:pitch w:val="default"/>
    <w:sig w:usb0="00000000" w:usb1="00000000" w:usb2="00000000" w:usb3="00000000" w:csb0="00040000" w:csb1="00000000"/>
  </w:font>
  <w:font w:name="AdvGulliv-R">
    <w:altName w:val="宋体"/>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YjA4NWRmNWYyOGJhOTBjNzhlMmY4MDAxMDY1MzkifQ=="/>
    <w:docVar w:name="NE.Ref{1A3651CC-F1D6-41E5-A1A2-29868F8CBB0A}" w:val=" ADDIN NE.Ref.{1A3651CC-F1D6-41E5-A1A2-29868F8CBB0A}&lt;Citation&gt;&lt;Group&gt;&lt;References&gt;&lt;Item&gt;&lt;ID&gt;1033&lt;/ID&gt;&lt;UID&gt;{2AB80D40-09BE-4658-A638-0A7E8617C247}&lt;/UID&gt;&lt;Title&gt;Water-based magnetic fluids as extractants for synthetic organic compounds&lt;/Title&gt;&lt;Template&gt;Journal Article&lt;/Template&gt;&lt;Star&gt;1&lt;/Star&gt;&lt;Tag&gt;0&lt;/Tag&gt;&lt;Author&gt;Moeser, Geoffrey D; Roach, Kaitlin A; Green, William H; Laibinis, Paul E; Hatton, T Alan&lt;/Author&gt;&lt;Year&gt;2002&lt;/Year&gt;&lt;Details&gt;&lt;_accessed&gt;65268633&lt;/_accessed&gt;&lt;_alternate_title&gt;Ind. Eng. Chem. Res.Industrial &amp;amp; Engineering Chemistry Research&lt;/_alternate_title&gt;&lt;_collection_scope&gt;SCIE;EI&lt;/_collection_scope&gt;&lt;_created&gt;65268633&lt;/_created&gt;&lt;_date&gt;2002-09-01&lt;/_date&gt;&lt;_date_display&gt;2002_x000d__x000a_2002/09/01&lt;/_date_display&gt;&lt;_doi&gt;10.1021/ie0202118&lt;/_doi&gt;&lt;_impact_factor&gt;   4.200&lt;/_impact_factor&gt;&lt;_isbn&gt;0888-5885&lt;/_isbn&gt;&lt;_issue&gt;19&lt;/_issue&gt;&lt;_journal&gt;Industrial &amp;amp; Engineering Chemistry Research&lt;/_journal&gt;&lt;_modified&gt;65268633&lt;/_modified&gt;&lt;_ori_publication&gt;American Chemical Society&lt;/_ori_publication&gt;&lt;_pages&gt;4739-4749&lt;/_pages&gt;&lt;_social_category&gt;工程：化工(3)&lt;/_social_category&gt;&lt;_url&gt;https://doi.org/10.1021/ie0202118&lt;/_url&gt;&lt;_volume&gt;41&lt;/_volume&gt;&lt;/Details&gt;&lt;Extra&gt;&lt;DBUID&gt;{69D9E804-6DF9-41C4-90C8-B5342133F09C}&lt;/DBUID&gt;&lt;/Extra&gt;&lt;/Item&gt;&lt;/References&gt;&lt;/Group&gt;&lt;/Citation&gt;_x000a_"/>
    <w:docVar w:name="NE.Ref{413CDB23-FB11-4911-853E-4DC809423AC3}" w:val=" ADDIN NE.Ref.{413CDB23-FB11-4911-853E-4DC809423AC3}&lt;Citation&gt;&lt;Group&gt;&lt;References&gt;&lt;Item&gt;&lt;ID&gt;1033&lt;/ID&gt;&lt;UID&gt;{2AB80D40-09BE-4658-A638-0A7E8617C247}&lt;/UID&gt;&lt;Title&gt;Water-based magnetic fluids as extractants for synthetic organic compounds&lt;/Title&gt;&lt;Template&gt;Journal Article&lt;/Template&gt;&lt;Star&gt;1&lt;/Star&gt;&lt;Tag&gt;0&lt;/Tag&gt;&lt;Author&gt;Moeser, Geoffrey D; Roach, Kaitlin A; Green, William H; Laibinis, Paul E; Hatton, T Alan&lt;/Author&gt;&lt;Year&gt;2002&lt;/Year&gt;&lt;Details&gt;&lt;_accessed&gt;65268633&lt;/_accessed&gt;&lt;_alternate_title&gt;Ind. Eng. Chem. Res.Industrial &amp;amp; Engineering Chemistry Research&lt;/_alternate_title&gt;&lt;_collection_scope&gt;SCIE;EI&lt;/_collection_scope&gt;&lt;_created&gt;65268633&lt;/_created&gt;&lt;_date&gt;2002-09-01&lt;/_date&gt;&lt;_date_display&gt;2002_x000d__x000a_2002/09/01&lt;/_date_display&gt;&lt;_doi&gt;10.1021/ie0202118&lt;/_doi&gt;&lt;_impact_factor&gt;   4.200&lt;/_impact_factor&gt;&lt;_isbn&gt;0888-5885&lt;/_isbn&gt;&lt;_issue&gt;19&lt;/_issue&gt;&lt;_journal&gt;Industrial &amp;amp; Engineering Chemistry Research&lt;/_journal&gt;&lt;_modified&gt;65268633&lt;/_modified&gt;&lt;_ori_publication&gt;American Chemical Society&lt;/_ori_publication&gt;&lt;_pages&gt;4739-4749&lt;/_pages&gt;&lt;_social_category&gt;工程：化工(3)&lt;/_social_category&gt;&lt;_url&gt;https://doi.org/10.1021/ie0202118&lt;/_url&gt;&lt;_volume&gt;41&lt;/_volume&gt;&lt;/Details&gt;&lt;Extra&gt;&lt;DBUID&gt;{69D9E804-6DF9-41C4-90C8-B5342133F09C}&lt;/DBUID&gt;&lt;/Extra&gt;&lt;/Item&gt;&lt;/References&gt;&lt;/Group&gt;&lt;/Citation&gt;_x000a_"/>
    <w:docVar w:name="NE.Ref{5125E6A8-7B84-49E0-BDC5-55FE7BD85418}" w:val=" ADDIN NE.Ref.{5125E6A8-7B84-49E0-BDC5-55FE7BD85418}&lt;Citation&gt;&lt;Group&gt;&lt;References&gt;&lt;Item&gt;&lt;ID&gt;1050&lt;/ID&gt;&lt;UID&gt;{3D3311DB-3766-426A-8DB7-226F84FFC832}&lt;/UID&gt;&lt;Title&gt;Supported ionic liquid catalysis-a new concept for homogeneous hydroformylation catalysis&lt;/Title&gt;&lt;Template&gt;Journal Article&lt;/Template&gt;&lt;Star&gt;1&lt;/Star&gt;&lt;Tag&gt;0&lt;/Tag&gt;&lt;Author&gt;Mehnert, Christian P; Cook, Raymond A; Dispenziere, Nicholas C; Afeworki, Mobae&lt;/Author&gt;&lt;Year&gt;2002&lt;/Year&gt;&lt;Details&gt;&lt;_accessed&gt;65268686&lt;/_accessed&gt;&lt;_alternate_title&gt;J. Am. Chem. Soc.Journal of the American Chemical Society&lt;/_alternate_title&gt;&lt;_collection_scope&gt;SCIE;EI&lt;/_collection_scope&gt;&lt;_created&gt;65268686&lt;/_created&gt;&lt;_date&gt;2002-11-01&lt;/_date&gt;&lt;_date_display&gt;2002_x000d__x000a_2002/11/01&lt;/_date_display&gt;&lt;_doi&gt;10.1021/ja0279242&lt;/_doi&gt;&lt;_impact_factor&gt;  15.000&lt;/_impact_factor&gt;&lt;_isbn&gt;0002-7863&lt;/_isbn&gt;&lt;_issue&gt;44&lt;/_issue&gt;&lt;_journal&gt;Journal of the American Chemical Society&lt;/_journal&gt;&lt;_modified&gt;65268687&lt;/_modified&gt;&lt;_ori_publication&gt;American Chemical Society&lt;/_ori_publication&gt;&lt;_pages&gt;12932-12933&lt;/_pages&gt;&lt;_social_category&gt;化学综合(1)&lt;/_social_category&gt;&lt;_url&gt;https://doi.org/10.1021/ja0279242&lt;/_url&gt;&lt;_volume&gt;124&lt;/_volume&gt;&lt;/Details&gt;&lt;Extra&gt;&lt;DBUID&gt;{69D9E804-6DF9-41C4-90C8-B5342133F09C}&lt;/DBUID&gt;&lt;/Extra&gt;&lt;/Item&gt;&lt;/References&gt;&lt;/Group&gt;&lt;/Citation&gt;_x000a_"/>
    <w:docVar w:name="ne_docsoft" w:val="MSWord"/>
    <w:docVar w:name="ne_docversion" w:val="NoteExpress 2.0"/>
    <w:docVar w:name="ne_stylename" w:val="ACM COMPUTING SURVEYS"/>
  </w:docVars>
  <w:rsids>
    <w:rsidRoot w:val="67E15209"/>
    <w:rsid w:val="005E1143"/>
    <w:rsid w:val="00A06132"/>
    <w:rsid w:val="00C22412"/>
    <w:rsid w:val="1A4B4AA3"/>
    <w:rsid w:val="1BA905B1"/>
    <w:rsid w:val="2B2D4AE3"/>
    <w:rsid w:val="494D7A88"/>
    <w:rsid w:val="67E15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4">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spacing w:before="100" w:beforeAutospacing="1" w:after="100" w:afterAutospacing="1"/>
    </w:pPr>
  </w:style>
  <w:style w:type="character" w:styleId="5">
    <w:name w:val="annotation reference"/>
    <w:autoRedefine/>
    <w:qFormat/>
    <w:uiPriority w:val="0"/>
    <w:rPr>
      <w:sz w:val="21"/>
      <w:szCs w:val="21"/>
    </w:rPr>
  </w:style>
  <w:style w:type="paragraph" w:customStyle="1" w:styleId="6">
    <w:name w:val="TA_Main_Text"/>
    <w:basedOn w:val="1"/>
    <w:qFormat/>
    <w:uiPriority w:val="0"/>
    <w:pPr>
      <w:spacing w:line="480" w:lineRule="auto"/>
      <w:ind w:firstLine="202"/>
    </w:p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8.png"/><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1908</Words>
  <Characters>10881</Characters>
  <Lines>90</Lines>
  <Paragraphs>25</Paragraphs>
  <TotalTime>28</TotalTime>
  <ScaleCrop>false</ScaleCrop>
  <LinksUpToDate>false</LinksUpToDate>
  <CharactersWithSpaces>12764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2024-02-05T06:25:00Z</dcterms:created>
  <dc:creator>邹坤</dc:creator>
  <dc:description>NE.Ref</dc:description>
  <cp:lastModifiedBy>蒋晓霞</cp:lastModifiedBy>
  <dcterms:modified xsi:type="dcterms:W3CDTF">2024-02-18T09:04:55Z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F444DC08A96B43B6BA133913D8085375_13</vt:lpwstr>
  </property>
</Properties>
</file>