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Supplemental Table 1</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24"/>
          <w:szCs w:val="24"/>
        </w:rPr>
      </w:pPr>
      <w:r w:rsidDel="00000000" w:rsidR="00000000" w:rsidRPr="00000000">
        <w:rPr>
          <w:rtl w:val="0"/>
        </w:rPr>
      </w:r>
    </w:p>
    <w:tbl>
      <w:tblPr>
        <w:tblStyle w:val="Table1"/>
        <w:tblW w:w="9090.0" w:type="dxa"/>
        <w:jc w:val="left"/>
        <w:tblInd w:w="26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560"/>
        <w:gridCol w:w="4530"/>
        <w:tblGridChange w:id="0">
          <w:tblGrid>
            <w:gridCol w:w="4560"/>
            <w:gridCol w:w="4530"/>
          </w:tblGrid>
        </w:tblGridChange>
      </w:tblGrid>
      <w:tr>
        <w:trPr>
          <w:cantSplit w:val="0"/>
          <w:trHeight w:val="38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Supplemental Table 1: Search criteria used in the TriNetX database to identify patients that met inclusion criteria. These characteristics were shared between patients in both cohorts unless otherwise identified. The left column contains the diagnostic codes used to identify patients, while the right column contains the code descriptions. Oropharyngectomy and trans-oral robotic surgery (TORS) timing was constrained to be on the same date.</w:t>
            </w:r>
          </w:p>
        </w:tc>
      </w:tr>
      <w:tr>
        <w:trPr>
          <w:cantSplit w:val="0"/>
          <w:trHeight w:val="380" w:hRule="atLeast"/>
          <w:tblHeader w:val="0"/>
        </w:trPr>
        <w:tc>
          <w:tcPr>
            <w:gridSpan w:val="2"/>
            <w:shd w:fill="efefef"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Was diagnosed with oropharyngeal squamous cell carcinoma</w:t>
            </w:r>
          </w:p>
        </w:tc>
      </w:tr>
      <w:tr>
        <w:trPr>
          <w:cantSplit w:val="0"/>
          <w:trHeight w:val="3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UMLS:ICD10CM:C09</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Malignant neoplasm of tonsil</w:t>
            </w:r>
          </w:p>
        </w:tc>
      </w:tr>
      <w:tr>
        <w:trPr>
          <w:cantSplit w:val="0"/>
          <w:trHeight w:val="3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UMLS:ICD10CM:C10</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Malignant neoplasm of oropharynx</w:t>
            </w:r>
          </w:p>
        </w:tc>
      </w:tr>
      <w:tr>
        <w:trPr>
          <w:cantSplit w:val="0"/>
          <w:trHeight w:val="380" w:hRule="atLeast"/>
          <w:tblHeader w:val="0"/>
        </w:trPr>
        <w:tc>
          <w:tcPr>
            <w:gridSpan w:val="2"/>
            <w:shd w:fill="efefef"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w:t>
            </w:r>
          </w:p>
        </w:tc>
      </w:tr>
      <w:tr>
        <w:trPr>
          <w:cantSplit w:val="0"/>
          <w:trHeight w:val="380" w:hRule="atLeast"/>
          <w:tblHeader w:val="0"/>
        </w:trPr>
        <w:tc>
          <w:tcPr>
            <w:gridSpan w:val="2"/>
            <w:shd w:fill="efefef"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Underwent oropharyngectomy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UMLS:CPT:1007091</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Excision and Destruction Procedures on the Palate and Uvula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UMLS:CPT:1007168</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Excision and Destruction Procedures on the Pharynx, Adenoids, and Tonsils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UMLS:SNOMED:232540006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Excision of lesion of oropharynx</w:t>
            </w:r>
          </w:p>
        </w:tc>
      </w:tr>
      <w:tr>
        <w:trPr>
          <w:cantSplit w:val="0"/>
          <w:trHeight w:val="380" w:hRule="atLeast"/>
          <w:tblHeader w:val="0"/>
        </w:trPr>
        <w:tc>
          <w:tcPr>
            <w:gridSpan w:val="2"/>
            <w:shd w:fill="efefef"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w:t>
            </w:r>
          </w:p>
        </w:tc>
      </w:tr>
      <w:tr>
        <w:trPr>
          <w:cantSplit w:val="0"/>
          <w:trHeight w:val="380" w:hRule="atLeast"/>
          <w:tblHeader w:val="0"/>
        </w:trPr>
        <w:tc>
          <w:tcPr>
            <w:gridSpan w:val="2"/>
            <w:shd w:fill="efefef"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Underwent TORS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UMLS:ICD10PCS:8E09XCZ</w:t>
            </w:r>
          </w:p>
        </w:tc>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Robotic Assisted Procedure of Head and Neck Region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UMLS:ICD10PCS:8E090CZ</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Robotic Assisted Procedure of Head and Neck Region, Open Approach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UMLS:ICD10PCS:8E097CZ</w:t>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Robotic Assisted Procedure of Head and Neck Region, Via Natural or Artificial Opening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UMLS:ICD10PCS:8E098CZ</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Robotic Assisted Procedure of Head and Neck Region, Via Natural or Artificial Opening Endoscopic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UMLS:SNOMED:711364006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Robotic assisted surgery</w:t>
            </w:r>
          </w:p>
        </w:tc>
      </w:tr>
      <w:tr>
        <w:trPr>
          <w:cantSplit w:val="0"/>
          <w:trHeight w:val="380" w:hRule="atLeast"/>
          <w:tblHeader w:val="0"/>
        </w:trPr>
        <w:tc>
          <w:tcPr>
            <w:gridSpan w:val="2"/>
            <w:shd w:fill="efefef"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AND</w:t>
            </w:r>
          </w:p>
        </w:tc>
      </w:tr>
      <w:tr>
        <w:trPr>
          <w:cantSplit w:val="0"/>
          <w:tblHeader w:val="0"/>
        </w:trPr>
        <w:tc>
          <w:tcPr>
            <w:shd w:fill="efefef"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Cohort A</w:t>
            </w:r>
          </w:p>
        </w:tc>
        <w:tc>
          <w:tcPr>
            <w:shd w:fill="efefef"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Cohort B</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Received enoxaparin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Did not receive enoxaparin</w:t>
            </w:r>
          </w:p>
        </w:tc>
      </w:tr>
    </w:tbl>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264" w:right="0" w:hanging="264"/>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Supplemental Table 2</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4" w:right="0" w:hanging="264"/>
        <w:jc w:val="left"/>
        <w:rPr>
          <w:rFonts w:ascii="Times New Roman" w:cs="Times New Roman" w:eastAsia="Times New Roman" w:hAnsi="Times New Roman"/>
          <w:sz w:val="24"/>
          <w:szCs w:val="24"/>
        </w:rPr>
      </w:pPr>
      <w:r w:rsidDel="00000000" w:rsidR="00000000" w:rsidRPr="00000000">
        <w:rPr>
          <w:rtl w:val="0"/>
        </w:rPr>
      </w:r>
    </w:p>
    <w:tbl>
      <w:tblPr>
        <w:tblStyle w:val="Table2"/>
        <w:tblW w:w="9090.0" w:type="dxa"/>
        <w:jc w:val="left"/>
        <w:tblInd w:w="26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655"/>
        <w:gridCol w:w="6435"/>
        <w:tblGridChange w:id="0">
          <w:tblGrid>
            <w:gridCol w:w="2655"/>
            <w:gridCol w:w="6435"/>
          </w:tblGrid>
        </w:tblGridChange>
      </w:tblGrid>
      <w:tr>
        <w:trPr>
          <w:cantSplit w:val="0"/>
          <w:trHeight w:val="380" w:hRule="atLeast"/>
          <w:tblHeader w:val="0"/>
        </w:trPr>
        <w:tc>
          <w:tcPr>
            <w:gridSpan w:val="2"/>
            <w:shd w:fill="d9d9d9"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Supplemental Table 2: Keywords used to determine whether the patient needed operative control of a hemorrhage after TORS oropharyngectomy, and the timing of the complication. The left column contains the procedure codes used to identify patients, while the right column contains the code descriptions. The time constraint was set to less than one week after surgery and 7-30 days after surgery to obtain primary and secondary bleeding rates, respectively.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UMLS:CPT:42960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Control oropharyngeal hemorrhage, primary or secondary (eg, post-tonsillectomy); simple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UMLS:CPT:42962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Control oropharyngeal hemorrhage, primary or secondary (eg, post-tonsillectomy); with secondary surgical intervention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UMLS:ICD10PCS:0W33XZZ</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Control Bleeding in Oral Cavity and Throat, External Approach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UMLS:ICD10PCS:0W330ZZ</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Control Bleeding in Oral Cavity and Throat, Open Approach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UMLS:ICD10PCS:0W333ZZ</w:t>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Control Bleeding in Oral Cavity and Throat, Percutaneous Approach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UMLS:ICD10PCS:0W334ZZ</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Control Bleeding in Oral Cavity and Throat, Percutaneous Endoscopic Approach</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UMLS:ICD10PCS:0W337ZZ</w:t>
            </w:r>
          </w:p>
        </w:tc>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Control Bleeding in Oral Cavity and Throat, Via Natural or Artificial Opening</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UMLS:ICD10PCS:0W338ZZ</w:t>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Control Bleeding in Oral Cavity and Throat, Via Natural or Artificial Opening Endoscopic</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UMLS:SNOMED:10953000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480" w:lineRule="auto"/>
              <w:ind w:left="0" w:right="0" w:firstLine="0"/>
              <w:jc w:val="left"/>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Control of hemorrhage after tonsillectomy and adenoidectomy</w:t>
            </w:r>
          </w:p>
        </w:tc>
      </w:tr>
    </w:tbl>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4" w:right="0" w:hanging="264"/>
        <w:jc w:val="left"/>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orient="portrait"/>
      <w:pgMar w:bottom="1440" w:top="1440" w:left="1440" w:right="1440" w:header="720" w:footer="720"/>
      <w:lnNumType w:countBy="1" w:start="0" w:restart="continuous"/>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