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1D88BA" w14:textId="06218874" w:rsidR="00267C5E" w:rsidRDefault="00F918A4">
      <w:pPr>
        <w:rPr>
          <w:rFonts w:ascii="Times New Roman" w:hAnsi="Times New Roman" w:cs="Times New Roman"/>
          <w:b/>
          <w:bCs/>
        </w:rPr>
      </w:pPr>
      <w:r w:rsidRPr="00F918A4">
        <w:rPr>
          <w:rFonts w:ascii="Times New Roman" w:hAnsi="Times New Roman" w:cs="Times New Roman"/>
          <w:b/>
          <w:bCs/>
        </w:rPr>
        <w:t>Supplementary Figures</w:t>
      </w:r>
    </w:p>
    <w:p w14:paraId="5E234EE5" w14:textId="77777777" w:rsidR="00267C5E" w:rsidRDefault="00267C5E">
      <w:pPr>
        <w:rPr>
          <w:rFonts w:ascii="Times New Roman" w:hAnsi="Times New Roman" w:cs="Times New Roman"/>
          <w:b/>
          <w:bCs/>
        </w:rPr>
      </w:pPr>
    </w:p>
    <w:p w14:paraId="30D357B1" w14:textId="77777777" w:rsidR="00267C5E" w:rsidRDefault="00267C5E">
      <w:pPr>
        <w:rPr>
          <w:rFonts w:ascii="Times New Roman" w:hAnsi="Times New Roman" w:cs="Times New Roman"/>
          <w:b/>
          <w:bCs/>
        </w:rPr>
      </w:pPr>
    </w:p>
    <w:p w14:paraId="4E133D7D" w14:textId="3A834902" w:rsidR="00F918A4" w:rsidRDefault="00267C5E" w:rsidP="00267C5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9949F5A" wp14:editId="7EC4AB6D">
            <wp:extent cx="5485539" cy="3733800"/>
            <wp:effectExtent l="0" t="0" r="1270" b="0"/>
            <wp:docPr id="1265498886" name="Picture 1" descr="A group of diagrams with numbers and symbo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498886" name="Picture 1" descr="A group of diagrams with numbers and symbols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8677" cy="3763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B0118" w14:textId="37BCDD2A" w:rsidR="00F918A4" w:rsidRDefault="00F918A4">
      <w:pPr>
        <w:rPr>
          <w:rFonts w:ascii="Times New Roman" w:hAnsi="Times New Roman" w:cs="Times New Roman"/>
          <w:b/>
          <w:bCs/>
        </w:rPr>
      </w:pPr>
    </w:p>
    <w:p w14:paraId="0E4F9999" w14:textId="0ABA537B" w:rsidR="00F918A4" w:rsidRDefault="00F918A4" w:rsidP="00F918A4">
      <w:pPr>
        <w:jc w:val="both"/>
        <w:rPr>
          <w:rFonts w:ascii="Times New Roman" w:hAnsi="Times New Roman" w:cs="Times New Roman"/>
        </w:rPr>
      </w:pPr>
      <w:r w:rsidRPr="00F918A4">
        <w:rPr>
          <w:rFonts w:ascii="Times New Roman" w:hAnsi="Times New Roman" w:cs="Times New Roman"/>
          <w:b/>
          <w:bCs/>
        </w:rPr>
        <w:t xml:space="preserve">Supplementary Figure 1: Loss of CD47 decreases expression of markers for pluripotency, proliferation, and apoptosis in </w:t>
      </w:r>
      <w:r w:rsidR="00370F02">
        <w:rPr>
          <w:rFonts w:ascii="Times New Roman" w:hAnsi="Times New Roman" w:cs="Times New Roman"/>
          <w:b/>
          <w:bCs/>
        </w:rPr>
        <w:t>MSC</w:t>
      </w:r>
      <w:r w:rsidRPr="00F918A4">
        <w:rPr>
          <w:rFonts w:ascii="Times New Roman" w:hAnsi="Times New Roman" w:cs="Times New Roman"/>
          <w:b/>
          <w:bCs/>
        </w:rPr>
        <w:t>.</w:t>
      </w:r>
      <w:r w:rsidRPr="00F918A4">
        <w:rPr>
          <w:rFonts w:ascii="Times New Roman" w:hAnsi="Times New Roman" w:cs="Times New Roman"/>
        </w:rPr>
        <w:t xml:space="preserve"> Gene analysis of marrow cells harvested from the femur and tibia of WT (n=3) and CD47-null (n=3) after 1 passage. </w:t>
      </w:r>
      <w:r w:rsidR="009F2D3F">
        <w:rPr>
          <w:rFonts w:ascii="Times New Roman" w:hAnsi="Times New Roman" w:cs="Times New Roman"/>
          <w:b/>
          <w:bCs/>
        </w:rPr>
        <w:t>a-g</w:t>
      </w:r>
      <w:r w:rsidRPr="00F918A4">
        <w:rPr>
          <w:rFonts w:ascii="Times New Roman" w:hAnsi="Times New Roman" w:cs="Times New Roman"/>
        </w:rPr>
        <w:t xml:space="preserve">, </w:t>
      </w:r>
      <w:r w:rsidR="00AD61CC">
        <w:rPr>
          <w:rFonts w:ascii="Times New Roman" w:hAnsi="Times New Roman" w:cs="Times New Roman"/>
        </w:rPr>
        <w:t>P</w:t>
      </w:r>
      <w:r w:rsidRPr="00F918A4">
        <w:rPr>
          <w:rFonts w:ascii="Times New Roman" w:hAnsi="Times New Roman" w:cs="Times New Roman"/>
        </w:rPr>
        <w:t xml:space="preserve">luripotent stem cell markers, Oct4, Klf4, c-Myc, alkaline phosphatase (ALP), apoptosis marker caspase 3 (CAP3), and proliferation marker forkhead box M1 (FOXm1).  Graphs indicate WT and CD47-null gene expression normalized to the housekeeping gene, GAPDH, relative to WT mice. </w:t>
      </w:r>
      <w:r w:rsidR="00D941FE">
        <w:rPr>
          <w:rFonts w:ascii="Times New Roman" w:hAnsi="Times New Roman" w:cs="Times New Roman"/>
        </w:rPr>
        <w:t>M</w:t>
      </w:r>
      <w:r w:rsidR="00D941FE" w:rsidRPr="00305A6A">
        <w:rPr>
          <w:rFonts w:ascii="Times New Roman" w:hAnsi="Times New Roman" w:cs="Times New Roman"/>
        </w:rPr>
        <w:t>ean±</w:t>
      </w:r>
      <w:r w:rsidR="000E2198">
        <w:rPr>
          <w:rFonts w:ascii="Times New Roman" w:hAnsi="Times New Roman" w:cs="Times New Roman"/>
        </w:rPr>
        <w:t>SD,</w:t>
      </w:r>
      <w:r w:rsidR="000E2198" w:rsidRPr="00186773">
        <w:rPr>
          <w:rFonts w:ascii="Times New Roman" w:hAnsi="Times New Roman" w:cs="Times New Roman"/>
        </w:rPr>
        <w:t xml:space="preserve"> *</w:t>
      </w:r>
      <w:r w:rsidRPr="00F918A4">
        <w:rPr>
          <w:rFonts w:ascii="Times New Roman" w:hAnsi="Times New Roman" w:cs="Times New Roman"/>
          <w:i/>
          <w:iCs/>
        </w:rPr>
        <w:t>P&lt;</w:t>
      </w:r>
      <w:r w:rsidRPr="00F918A4">
        <w:rPr>
          <w:rFonts w:ascii="Times New Roman" w:hAnsi="Times New Roman" w:cs="Times New Roman"/>
        </w:rPr>
        <w:t>0.05, **</w:t>
      </w:r>
      <w:r w:rsidRPr="00F918A4">
        <w:rPr>
          <w:rFonts w:ascii="Times New Roman" w:hAnsi="Times New Roman" w:cs="Times New Roman"/>
          <w:i/>
          <w:iCs/>
        </w:rPr>
        <w:t>P&lt;</w:t>
      </w:r>
      <w:r w:rsidRPr="00F918A4">
        <w:rPr>
          <w:rFonts w:ascii="Times New Roman" w:hAnsi="Times New Roman" w:cs="Times New Roman"/>
        </w:rPr>
        <w:t>0.01, ***</w:t>
      </w:r>
      <w:r w:rsidRPr="00F918A4">
        <w:rPr>
          <w:rFonts w:ascii="Times New Roman" w:hAnsi="Times New Roman" w:cs="Times New Roman"/>
          <w:i/>
          <w:iCs/>
        </w:rPr>
        <w:t>P&lt;</w:t>
      </w:r>
      <w:r w:rsidRPr="00F918A4">
        <w:rPr>
          <w:rFonts w:ascii="Times New Roman" w:hAnsi="Times New Roman" w:cs="Times New Roman"/>
        </w:rPr>
        <w:t>0.001, two-</w:t>
      </w:r>
      <w:r w:rsidR="00E44508">
        <w:rPr>
          <w:rFonts w:ascii="Times New Roman" w:hAnsi="Times New Roman" w:cs="Times New Roman"/>
        </w:rPr>
        <w:t>sided</w:t>
      </w:r>
      <w:r w:rsidRPr="00F918A4">
        <w:rPr>
          <w:rFonts w:ascii="Times New Roman" w:hAnsi="Times New Roman" w:cs="Times New Roman"/>
        </w:rPr>
        <w:t xml:space="preserve"> t test</w:t>
      </w:r>
      <w:r w:rsidR="004848B1">
        <w:rPr>
          <w:rFonts w:ascii="Times New Roman" w:hAnsi="Times New Roman" w:cs="Times New Roman"/>
        </w:rPr>
        <w:t>s</w:t>
      </w:r>
      <w:r w:rsidRPr="00F918A4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br w:type="page"/>
      </w:r>
    </w:p>
    <w:p w14:paraId="3B881840" w14:textId="1AFE05AA" w:rsidR="00F918A4" w:rsidRDefault="009F2D3F" w:rsidP="0016146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E2C0B0C" wp14:editId="164E1665">
            <wp:extent cx="5753100" cy="4102100"/>
            <wp:effectExtent l="0" t="0" r="0" b="0"/>
            <wp:docPr id="1556370360" name="Picture 1" descr="A diagram of different types of cel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370360" name="Picture 1" descr="A diagram of different types of cells&#10;&#10;Description automatically generated with medium confidenc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44BA0" w14:textId="77777777" w:rsidR="00F918A4" w:rsidRDefault="00F918A4" w:rsidP="00F918A4">
      <w:pPr>
        <w:jc w:val="both"/>
        <w:rPr>
          <w:rFonts w:ascii="Times New Roman" w:hAnsi="Times New Roman" w:cs="Times New Roman"/>
          <w:b/>
          <w:bCs/>
        </w:rPr>
      </w:pPr>
    </w:p>
    <w:p w14:paraId="052A7135" w14:textId="78A0FDC4" w:rsidR="00F918A4" w:rsidRPr="00F918A4" w:rsidRDefault="00F918A4" w:rsidP="00F918A4">
      <w:pPr>
        <w:jc w:val="both"/>
        <w:rPr>
          <w:rFonts w:ascii="Times New Roman" w:hAnsi="Times New Roman" w:cs="Times New Roman"/>
        </w:rPr>
      </w:pPr>
      <w:r w:rsidRPr="00F918A4">
        <w:rPr>
          <w:rFonts w:ascii="Times New Roman" w:hAnsi="Times New Roman" w:cs="Times New Roman"/>
          <w:b/>
          <w:bCs/>
        </w:rPr>
        <w:t>Supplementary Figure 2:</w:t>
      </w:r>
      <w:r w:rsidRPr="00F918A4">
        <w:rPr>
          <w:rFonts w:ascii="Times New Roman" w:hAnsi="Times New Roman" w:cs="Times New Roman"/>
        </w:rPr>
        <w:t xml:space="preserve"> </w:t>
      </w:r>
      <w:r w:rsidRPr="00F918A4">
        <w:rPr>
          <w:rFonts w:ascii="Times New Roman" w:hAnsi="Times New Roman" w:cs="Times New Roman"/>
          <w:b/>
          <w:bCs/>
        </w:rPr>
        <w:t>Loss of CD47 does not increase mesenchymal stem cell apoptosis.</w:t>
      </w:r>
    </w:p>
    <w:p w14:paraId="291EFFB0" w14:textId="6BEDFAF1" w:rsidR="00F918A4" w:rsidRDefault="00F918A4" w:rsidP="00F918A4">
      <w:pPr>
        <w:jc w:val="both"/>
        <w:rPr>
          <w:rFonts w:ascii="Times New Roman" w:hAnsi="Times New Roman" w:cs="Times New Roman"/>
        </w:rPr>
      </w:pPr>
      <w:r w:rsidRPr="00F918A4">
        <w:rPr>
          <w:rFonts w:ascii="Times New Roman" w:hAnsi="Times New Roman" w:cs="Times New Roman"/>
        </w:rPr>
        <w:t>Apoptotic analysis of cells harvested from the femur and tibia of WT (n=3) and CD47-</w:t>
      </w:r>
      <w:r w:rsidR="005307BE" w:rsidRPr="00F918A4">
        <w:rPr>
          <w:rFonts w:ascii="Times New Roman" w:hAnsi="Times New Roman" w:cs="Times New Roman"/>
        </w:rPr>
        <w:t>null (</w:t>
      </w:r>
      <w:r w:rsidRPr="00F918A4">
        <w:rPr>
          <w:rFonts w:ascii="Times New Roman" w:hAnsi="Times New Roman" w:cs="Times New Roman"/>
        </w:rPr>
        <w:t xml:space="preserve">n=3) mice. </w:t>
      </w:r>
      <w:proofErr w:type="gramStart"/>
      <w:r w:rsidR="009F2D3F">
        <w:rPr>
          <w:rFonts w:ascii="Times New Roman" w:hAnsi="Times New Roman" w:cs="Times New Roman"/>
          <w:b/>
          <w:bCs/>
        </w:rPr>
        <w:t>a</w:t>
      </w:r>
      <w:r w:rsidRPr="00F918A4">
        <w:rPr>
          <w:rFonts w:ascii="Times New Roman" w:hAnsi="Times New Roman" w:cs="Times New Roman"/>
        </w:rPr>
        <w:t>,</w:t>
      </w:r>
      <w:proofErr w:type="gramEnd"/>
      <w:r w:rsidRPr="00F918A4">
        <w:rPr>
          <w:rFonts w:ascii="Times New Roman" w:hAnsi="Times New Roman" w:cs="Times New Roman"/>
        </w:rPr>
        <w:t xml:space="preserve"> Flow cytometry gating scheme for cell density (left) and double</w:t>
      </w:r>
      <w:r w:rsidR="007E1382">
        <w:rPr>
          <w:rFonts w:ascii="Times New Roman" w:hAnsi="Times New Roman" w:cs="Times New Roman"/>
        </w:rPr>
        <w:t>t</w:t>
      </w:r>
      <w:r w:rsidRPr="00F918A4">
        <w:rPr>
          <w:rFonts w:ascii="Times New Roman" w:hAnsi="Times New Roman" w:cs="Times New Roman"/>
        </w:rPr>
        <w:t xml:space="preserve"> discrimination (right).  </w:t>
      </w:r>
      <w:r w:rsidR="009F2D3F">
        <w:rPr>
          <w:rFonts w:ascii="Times New Roman" w:hAnsi="Times New Roman" w:cs="Times New Roman"/>
          <w:b/>
          <w:bCs/>
        </w:rPr>
        <w:t>b</w:t>
      </w:r>
      <w:r w:rsidRPr="00F918A4">
        <w:rPr>
          <w:rFonts w:ascii="Times New Roman" w:hAnsi="Times New Roman" w:cs="Times New Roman"/>
        </w:rPr>
        <w:t xml:space="preserve">, Representative </w:t>
      </w:r>
      <w:r w:rsidR="00AD61CC">
        <w:rPr>
          <w:rFonts w:ascii="Times New Roman" w:hAnsi="Times New Roman" w:cs="Times New Roman"/>
        </w:rPr>
        <w:t>plots</w:t>
      </w:r>
      <w:r w:rsidRPr="00F918A4">
        <w:rPr>
          <w:rFonts w:ascii="Times New Roman" w:hAnsi="Times New Roman" w:cs="Times New Roman"/>
        </w:rPr>
        <w:t xml:space="preserve"> of WT and CD47-null with quadrant overlay to segment aliv</w:t>
      </w:r>
      <w:r w:rsidR="007E1382">
        <w:rPr>
          <w:rFonts w:ascii="Times New Roman" w:hAnsi="Times New Roman" w:cs="Times New Roman"/>
        </w:rPr>
        <w:t>e</w:t>
      </w:r>
      <w:r w:rsidRPr="00F918A4">
        <w:rPr>
          <w:rFonts w:ascii="Times New Roman" w:hAnsi="Times New Roman" w:cs="Times New Roman"/>
        </w:rPr>
        <w:t>, apoptotic, and apoptotic/necrotic</w:t>
      </w:r>
      <w:r w:rsidR="007E1382">
        <w:rPr>
          <w:rFonts w:ascii="Times New Roman" w:hAnsi="Times New Roman" w:cs="Times New Roman"/>
        </w:rPr>
        <w:t xml:space="preserve"> </w:t>
      </w:r>
      <w:r w:rsidRPr="00F918A4">
        <w:rPr>
          <w:rFonts w:ascii="Times New Roman" w:hAnsi="Times New Roman" w:cs="Times New Roman"/>
        </w:rPr>
        <w:t xml:space="preserve">cells. </w:t>
      </w:r>
      <w:r w:rsidR="009F2D3F">
        <w:rPr>
          <w:rFonts w:ascii="Times New Roman" w:hAnsi="Times New Roman" w:cs="Times New Roman"/>
          <w:b/>
          <w:bCs/>
        </w:rPr>
        <w:t>c</w:t>
      </w:r>
      <w:r w:rsidRPr="00F918A4">
        <w:rPr>
          <w:rFonts w:ascii="Times New Roman" w:hAnsi="Times New Roman" w:cs="Times New Roman"/>
        </w:rPr>
        <w:t xml:space="preserve">, Comparison of WT and CD47-null population percentage of alive, apoptotic, and apoptotic/necrotic cells. </w:t>
      </w:r>
      <w:r w:rsidR="00D941FE">
        <w:rPr>
          <w:rFonts w:ascii="Times New Roman" w:hAnsi="Times New Roman" w:cs="Times New Roman"/>
        </w:rPr>
        <w:t>M</w:t>
      </w:r>
      <w:r w:rsidR="00D941FE" w:rsidRPr="00305A6A">
        <w:rPr>
          <w:rFonts w:ascii="Times New Roman" w:hAnsi="Times New Roman" w:cs="Times New Roman"/>
        </w:rPr>
        <w:t>ean±</w:t>
      </w:r>
      <w:r w:rsidR="00D941FE">
        <w:rPr>
          <w:rFonts w:ascii="Times New Roman" w:hAnsi="Times New Roman" w:cs="Times New Roman"/>
        </w:rPr>
        <w:t>SD,</w:t>
      </w:r>
      <w:r w:rsidR="00D941FE" w:rsidRPr="00186773">
        <w:rPr>
          <w:rFonts w:ascii="Times New Roman" w:hAnsi="Times New Roman" w:cs="Times New Roman"/>
        </w:rPr>
        <w:t xml:space="preserve"> </w:t>
      </w:r>
      <w:r w:rsidRPr="00F918A4">
        <w:rPr>
          <w:rFonts w:ascii="Times New Roman" w:hAnsi="Times New Roman" w:cs="Times New Roman"/>
        </w:rPr>
        <w:t>*</w:t>
      </w:r>
      <w:r w:rsidRPr="00F918A4">
        <w:rPr>
          <w:rFonts w:ascii="Times New Roman" w:hAnsi="Times New Roman" w:cs="Times New Roman"/>
          <w:i/>
          <w:iCs/>
        </w:rPr>
        <w:t>P&lt;</w:t>
      </w:r>
      <w:r w:rsidRPr="00F918A4">
        <w:rPr>
          <w:rFonts w:ascii="Times New Roman" w:hAnsi="Times New Roman" w:cs="Times New Roman"/>
        </w:rPr>
        <w:t xml:space="preserve">0.05, two-sided t test. </w:t>
      </w:r>
      <w:r>
        <w:rPr>
          <w:rFonts w:ascii="Times New Roman" w:hAnsi="Times New Roman" w:cs="Times New Roman"/>
        </w:rPr>
        <w:br w:type="page"/>
      </w:r>
    </w:p>
    <w:p w14:paraId="45D5DE91" w14:textId="30A0D996" w:rsidR="00F918A4" w:rsidRPr="009F2D3F" w:rsidRDefault="009F2D3F" w:rsidP="009F2D3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E6A3F2C" wp14:editId="4375B92F">
            <wp:extent cx="5842000" cy="2794000"/>
            <wp:effectExtent l="0" t="0" r="0" b="0"/>
            <wp:docPr id="1664601961" name="Picture 2" descr="A diagram of a white circle with blue do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601961" name="Picture 2" descr="A diagram of a white circle with blue dots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08460" w14:textId="63F0B925" w:rsidR="00F918A4" w:rsidRDefault="00F918A4" w:rsidP="009F2D3F">
      <w:pPr>
        <w:jc w:val="both"/>
        <w:rPr>
          <w:rFonts w:ascii="Times New Roman" w:hAnsi="Times New Roman" w:cs="Times New Roman"/>
        </w:rPr>
      </w:pPr>
      <w:r w:rsidRPr="00F918A4">
        <w:rPr>
          <w:rFonts w:ascii="Times New Roman" w:hAnsi="Times New Roman" w:cs="Times New Roman"/>
          <w:b/>
          <w:bCs/>
        </w:rPr>
        <w:t xml:space="preserve">Supplementary Figure </w:t>
      </w:r>
      <w:r w:rsidR="00C06E31">
        <w:rPr>
          <w:rFonts w:ascii="Times New Roman" w:hAnsi="Times New Roman" w:cs="Times New Roman"/>
          <w:b/>
          <w:bCs/>
        </w:rPr>
        <w:t>3</w:t>
      </w:r>
      <w:r w:rsidRPr="00F918A4">
        <w:rPr>
          <w:rFonts w:ascii="Times New Roman" w:hAnsi="Times New Roman" w:cs="Times New Roman"/>
          <w:b/>
          <w:bCs/>
        </w:rPr>
        <w:t xml:space="preserve">: Loss of CD47 does not inhibit osteoblast differentiation. </w:t>
      </w:r>
      <w:r w:rsidRPr="00F918A4">
        <w:rPr>
          <w:rFonts w:ascii="Times New Roman" w:hAnsi="Times New Roman" w:cs="Times New Roman"/>
        </w:rPr>
        <w:t xml:space="preserve">Osteogenic analysis of marrow cells harvested from the femur and tibia of WT (n=2) and CD47-null (n=3) mice. </w:t>
      </w:r>
      <w:r w:rsidR="009F2D3F">
        <w:rPr>
          <w:rFonts w:ascii="Times New Roman" w:hAnsi="Times New Roman" w:cs="Times New Roman"/>
          <w:b/>
          <w:bCs/>
        </w:rPr>
        <w:t>a</w:t>
      </w:r>
      <w:r w:rsidRPr="00F918A4">
        <w:rPr>
          <w:rFonts w:ascii="Times New Roman" w:hAnsi="Times New Roman" w:cs="Times New Roman"/>
        </w:rPr>
        <w:t>, At day 14, plates with stained with either alizarin red</w:t>
      </w:r>
      <w:r w:rsidR="007E1382">
        <w:rPr>
          <w:rFonts w:ascii="Times New Roman" w:hAnsi="Times New Roman" w:cs="Times New Roman"/>
        </w:rPr>
        <w:t xml:space="preserve"> s (ARS)</w:t>
      </w:r>
      <w:r w:rsidRPr="00F918A4">
        <w:rPr>
          <w:rFonts w:ascii="Times New Roman" w:hAnsi="Times New Roman" w:cs="Times New Roman"/>
        </w:rPr>
        <w:t xml:space="preserve"> or ALP/Neutral Red.</w:t>
      </w:r>
      <w:r w:rsidR="00AD61CC">
        <w:rPr>
          <w:rFonts w:ascii="Times New Roman" w:hAnsi="Times New Roman" w:cs="Times New Roman"/>
        </w:rPr>
        <w:t xml:space="preserve"> </w:t>
      </w:r>
      <w:r w:rsidR="009F2D3F">
        <w:rPr>
          <w:rFonts w:ascii="Times New Roman" w:hAnsi="Times New Roman" w:cs="Times New Roman"/>
          <w:b/>
          <w:bCs/>
        </w:rPr>
        <w:t>b,</w:t>
      </w:r>
      <w:r w:rsidRPr="00F918A4">
        <w:rPr>
          <w:rFonts w:ascii="Times New Roman" w:hAnsi="Times New Roman" w:cs="Times New Roman"/>
        </w:rPr>
        <w:t xml:space="preserve"> </w:t>
      </w:r>
      <w:r w:rsidR="00AD61CC">
        <w:rPr>
          <w:rFonts w:ascii="Times New Roman" w:hAnsi="Times New Roman" w:cs="Times New Roman"/>
        </w:rPr>
        <w:t xml:space="preserve">% </w:t>
      </w:r>
      <w:r w:rsidRPr="00F918A4">
        <w:rPr>
          <w:rFonts w:ascii="Times New Roman" w:hAnsi="Times New Roman" w:cs="Times New Roman"/>
        </w:rPr>
        <w:t>Area of ALP and ARS staining</w:t>
      </w:r>
      <w:r w:rsidR="009F2D3F">
        <w:rPr>
          <w:rFonts w:ascii="Times New Roman" w:hAnsi="Times New Roman" w:cs="Times New Roman"/>
        </w:rPr>
        <w:t xml:space="preserve">. </w:t>
      </w:r>
      <w:r w:rsidR="009F2D3F">
        <w:rPr>
          <w:rFonts w:ascii="Times New Roman" w:hAnsi="Times New Roman" w:cs="Times New Roman"/>
          <w:b/>
          <w:bCs/>
        </w:rPr>
        <w:t>c,</w:t>
      </w:r>
      <w:r w:rsidRPr="00F918A4">
        <w:rPr>
          <w:rFonts w:ascii="Times New Roman" w:hAnsi="Times New Roman" w:cs="Times New Roman"/>
        </w:rPr>
        <w:t xml:space="preserve"> </w:t>
      </w:r>
      <w:r w:rsidR="007E1382">
        <w:rPr>
          <w:rFonts w:ascii="Times New Roman" w:hAnsi="Times New Roman" w:cs="Times New Roman"/>
        </w:rPr>
        <w:t>% a</w:t>
      </w:r>
      <w:r w:rsidRPr="00F918A4">
        <w:rPr>
          <w:rFonts w:ascii="Times New Roman" w:hAnsi="Times New Roman" w:cs="Times New Roman"/>
        </w:rPr>
        <w:t xml:space="preserve">rea of ARS staining relative to ALP staining. </w:t>
      </w:r>
      <w:r w:rsidR="00D941FE">
        <w:rPr>
          <w:rFonts w:ascii="Times New Roman" w:hAnsi="Times New Roman" w:cs="Times New Roman"/>
        </w:rPr>
        <w:t>M</w:t>
      </w:r>
      <w:r w:rsidR="00D941FE" w:rsidRPr="00305A6A">
        <w:rPr>
          <w:rFonts w:ascii="Times New Roman" w:hAnsi="Times New Roman" w:cs="Times New Roman"/>
        </w:rPr>
        <w:t>ean±</w:t>
      </w:r>
      <w:r w:rsidR="00D941FE">
        <w:rPr>
          <w:rFonts w:ascii="Times New Roman" w:hAnsi="Times New Roman" w:cs="Times New Roman"/>
        </w:rPr>
        <w:t>SD,</w:t>
      </w:r>
      <w:r w:rsidR="00D941FE" w:rsidRPr="00186773">
        <w:rPr>
          <w:rFonts w:ascii="Times New Roman" w:hAnsi="Times New Roman" w:cs="Times New Roman"/>
        </w:rPr>
        <w:t xml:space="preserve"> </w:t>
      </w:r>
      <w:r w:rsidRPr="00F918A4">
        <w:rPr>
          <w:rFonts w:ascii="Times New Roman" w:hAnsi="Times New Roman" w:cs="Times New Roman"/>
        </w:rPr>
        <w:t>*</w:t>
      </w:r>
      <w:r w:rsidRPr="00F918A4">
        <w:rPr>
          <w:rFonts w:ascii="Times New Roman" w:hAnsi="Times New Roman" w:cs="Times New Roman"/>
          <w:i/>
          <w:iCs/>
        </w:rPr>
        <w:t>P&lt;</w:t>
      </w:r>
      <w:r w:rsidRPr="00F918A4">
        <w:rPr>
          <w:rFonts w:ascii="Times New Roman" w:hAnsi="Times New Roman" w:cs="Times New Roman"/>
        </w:rPr>
        <w:t>0.05, **</w:t>
      </w:r>
      <w:r w:rsidRPr="00F918A4">
        <w:rPr>
          <w:rFonts w:ascii="Times New Roman" w:hAnsi="Times New Roman" w:cs="Times New Roman"/>
          <w:i/>
          <w:iCs/>
        </w:rPr>
        <w:t>P&lt;</w:t>
      </w:r>
      <w:r w:rsidRPr="00F918A4">
        <w:rPr>
          <w:rFonts w:ascii="Times New Roman" w:hAnsi="Times New Roman" w:cs="Times New Roman"/>
        </w:rPr>
        <w:t>0.01, two-sided t test.</w:t>
      </w:r>
    </w:p>
    <w:p w14:paraId="27B6958F" w14:textId="392369FB" w:rsidR="00F918A4" w:rsidRDefault="00F918A4" w:rsidP="0018677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4E1AD65" w14:textId="37238D08" w:rsidR="009F2D3F" w:rsidRDefault="00FE6E31" w:rsidP="002B63C6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69E636E8" wp14:editId="07EE1581">
            <wp:extent cx="5460289" cy="5969000"/>
            <wp:effectExtent l="0" t="0" r="1270" b="0"/>
            <wp:docPr id="1037452461" name="Picture 2" descr="A diagram of a diagram of a ce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452461" name="Picture 2" descr="A diagram of a diagram of a cell&#10;&#10;Description automatically generated with medium confidence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6" t="11572" r="9402" b="14862"/>
                    <a:stretch/>
                  </pic:blipFill>
                  <pic:spPr bwMode="auto">
                    <a:xfrm>
                      <a:off x="0" y="0"/>
                      <a:ext cx="5489110" cy="6000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CD0BA0" w14:textId="1E34B32D" w:rsidR="00186773" w:rsidRPr="00186773" w:rsidRDefault="00186773" w:rsidP="00FE6E31">
      <w:pPr>
        <w:jc w:val="both"/>
        <w:rPr>
          <w:rFonts w:ascii="Times New Roman" w:hAnsi="Times New Roman" w:cs="Times New Roman"/>
          <w:b/>
          <w:bCs/>
        </w:rPr>
      </w:pPr>
      <w:r w:rsidRPr="00186773">
        <w:rPr>
          <w:rFonts w:ascii="Times New Roman" w:hAnsi="Times New Roman" w:cs="Times New Roman"/>
          <w:b/>
          <w:bCs/>
        </w:rPr>
        <w:t xml:space="preserve">Supplementary Figure 4:   Loss of CD47 does not </w:t>
      </w:r>
      <w:r w:rsidR="00410FFE">
        <w:rPr>
          <w:rFonts w:ascii="Times New Roman" w:hAnsi="Times New Roman" w:cs="Times New Roman"/>
          <w:b/>
          <w:bCs/>
        </w:rPr>
        <w:t>impact baseline</w:t>
      </w:r>
      <w:r w:rsidRPr="00186773">
        <w:rPr>
          <w:rFonts w:ascii="Times New Roman" w:hAnsi="Times New Roman" w:cs="Times New Roman"/>
          <w:b/>
          <w:bCs/>
        </w:rPr>
        <w:t xml:space="preserve"> skeletal stem cell</w:t>
      </w:r>
      <w:r w:rsidR="00410FFE">
        <w:rPr>
          <w:rFonts w:ascii="Times New Roman" w:hAnsi="Times New Roman" w:cs="Times New Roman"/>
          <w:b/>
          <w:bCs/>
        </w:rPr>
        <w:t xml:space="preserve"> numbers</w:t>
      </w:r>
      <w:r w:rsidRPr="00186773">
        <w:rPr>
          <w:rFonts w:ascii="Times New Roman" w:hAnsi="Times New Roman" w:cs="Times New Roman"/>
          <w:b/>
          <w:bCs/>
        </w:rPr>
        <w:t xml:space="preserve">. </w:t>
      </w:r>
      <w:r w:rsidR="00AA2BDF">
        <w:rPr>
          <w:rFonts w:ascii="Times New Roman" w:hAnsi="Times New Roman" w:cs="Times New Roman"/>
        </w:rPr>
        <w:t>S</w:t>
      </w:r>
      <w:r w:rsidRPr="00186773">
        <w:rPr>
          <w:rFonts w:ascii="Times New Roman" w:hAnsi="Times New Roman" w:cs="Times New Roman"/>
        </w:rPr>
        <w:t xml:space="preserve">keletal stem cell marker analysis of periosteal </w:t>
      </w:r>
      <w:r w:rsidR="000A185A">
        <w:rPr>
          <w:rFonts w:ascii="Times New Roman" w:hAnsi="Times New Roman" w:cs="Times New Roman"/>
        </w:rPr>
        <w:t>MSC</w:t>
      </w:r>
      <w:r w:rsidRPr="00186773">
        <w:rPr>
          <w:rFonts w:ascii="Times New Roman" w:hAnsi="Times New Roman" w:cs="Times New Roman"/>
        </w:rPr>
        <w:t xml:space="preserve"> harvested from the femur and tibia of </w:t>
      </w:r>
      <w:r w:rsidR="009F2D3F" w:rsidRPr="00186773">
        <w:rPr>
          <w:rFonts w:ascii="Times New Roman" w:hAnsi="Times New Roman" w:cs="Times New Roman"/>
        </w:rPr>
        <w:t>10-week-old</w:t>
      </w:r>
      <w:r w:rsidRPr="00186773">
        <w:rPr>
          <w:rFonts w:ascii="Times New Roman" w:hAnsi="Times New Roman" w:cs="Times New Roman"/>
        </w:rPr>
        <w:t xml:space="preserve"> WT (n=6) and CD47-null (n=6) mice. Primary cells were stained with mesenchymal skeletal stem cell panel (fixable viability dye, lineage Negative, C</w:t>
      </w:r>
      <w:r w:rsidR="000A185A">
        <w:rPr>
          <w:rFonts w:ascii="Times New Roman" w:hAnsi="Times New Roman" w:cs="Times New Roman"/>
        </w:rPr>
        <w:t>D</w:t>
      </w:r>
      <w:r w:rsidRPr="00186773">
        <w:rPr>
          <w:rFonts w:ascii="Times New Roman" w:hAnsi="Times New Roman" w:cs="Times New Roman"/>
        </w:rPr>
        <w:t>50, C</w:t>
      </w:r>
      <w:r w:rsidR="000A185A">
        <w:rPr>
          <w:rFonts w:ascii="Times New Roman" w:hAnsi="Times New Roman" w:cs="Times New Roman"/>
        </w:rPr>
        <w:t>D</w:t>
      </w:r>
      <w:r w:rsidRPr="00186773">
        <w:rPr>
          <w:rFonts w:ascii="Times New Roman" w:hAnsi="Times New Roman" w:cs="Times New Roman"/>
        </w:rPr>
        <w:t>90, Ly51, C</w:t>
      </w:r>
      <w:r w:rsidR="000A185A">
        <w:rPr>
          <w:rFonts w:ascii="Times New Roman" w:hAnsi="Times New Roman" w:cs="Times New Roman"/>
        </w:rPr>
        <w:t>D</w:t>
      </w:r>
      <w:r w:rsidRPr="00186773">
        <w:rPr>
          <w:rFonts w:ascii="Times New Roman" w:hAnsi="Times New Roman" w:cs="Times New Roman"/>
        </w:rPr>
        <w:t>105, C</w:t>
      </w:r>
      <w:r w:rsidR="000A185A">
        <w:rPr>
          <w:rFonts w:ascii="Times New Roman" w:hAnsi="Times New Roman" w:cs="Times New Roman"/>
        </w:rPr>
        <w:t>D</w:t>
      </w:r>
      <w:r w:rsidRPr="00186773">
        <w:rPr>
          <w:rFonts w:ascii="Times New Roman" w:hAnsi="Times New Roman" w:cs="Times New Roman"/>
        </w:rPr>
        <w:t xml:space="preserve">200, </w:t>
      </w:r>
      <w:r w:rsidR="000A185A">
        <w:rPr>
          <w:rFonts w:ascii="Times New Roman" w:hAnsi="Times New Roman" w:cs="Times New Roman"/>
        </w:rPr>
        <w:t>CD</w:t>
      </w:r>
      <w:r w:rsidRPr="00186773">
        <w:rPr>
          <w:rFonts w:ascii="Times New Roman" w:hAnsi="Times New Roman" w:cs="Times New Roman"/>
        </w:rPr>
        <w:t xml:space="preserve">140a, Sca1), fixed and analyzed for flow cytometry. </w:t>
      </w:r>
      <w:r w:rsidR="00AA2BDF" w:rsidRPr="009F2D3F">
        <w:rPr>
          <w:rFonts w:ascii="Times New Roman" w:hAnsi="Times New Roman" w:cs="Times New Roman"/>
          <w:b/>
          <w:bCs/>
        </w:rPr>
        <w:t>a</w:t>
      </w:r>
      <w:r w:rsidRPr="00186773">
        <w:rPr>
          <w:rFonts w:ascii="Times New Roman" w:hAnsi="Times New Roman" w:cs="Times New Roman"/>
        </w:rPr>
        <w:t>, Gating scheme for mesenchymal stromal stem cells (mSSC), pre-bone cartilage progenitor cells (pBCSP), bone cartilage progenitor cells (BCSP), CD140a+ cells, and Sca1+ cells</w:t>
      </w:r>
      <w:r w:rsidR="009F2D3F">
        <w:rPr>
          <w:rFonts w:ascii="Times New Roman" w:hAnsi="Times New Roman" w:cs="Times New Roman"/>
        </w:rPr>
        <w:t>.</w:t>
      </w:r>
      <w:r w:rsidRPr="00186773">
        <w:rPr>
          <w:rFonts w:ascii="Times New Roman" w:hAnsi="Times New Roman" w:cs="Times New Roman"/>
        </w:rPr>
        <w:t xml:space="preserve"> </w:t>
      </w:r>
      <w:r w:rsidR="00AA2BDF" w:rsidRPr="009F2D3F">
        <w:rPr>
          <w:rFonts w:ascii="Times New Roman" w:hAnsi="Times New Roman" w:cs="Times New Roman"/>
          <w:b/>
          <w:bCs/>
        </w:rPr>
        <w:t>b</w:t>
      </w:r>
      <w:r w:rsidRPr="00186773">
        <w:rPr>
          <w:rFonts w:ascii="Times New Roman" w:hAnsi="Times New Roman" w:cs="Times New Roman"/>
        </w:rPr>
        <w:t xml:space="preserve">, bar plot depicting % of total stromal cells (Lineage </w:t>
      </w:r>
      <w:r w:rsidR="00D1396D">
        <w:rPr>
          <w:rFonts w:ascii="Times New Roman" w:hAnsi="Times New Roman" w:cs="Times New Roman"/>
        </w:rPr>
        <w:t>n</w:t>
      </w:r>
      <w:r w:rsidRPr="00186773">
        <w:rPr>
          <w:rFonts w:ascii="Times New Roman" w:hAnsi="Times New Roman" w:cs="Times New Roman"/>
        </w:rPr>
        <w:t>egative</w:t>
      </w:r>
      <w:r w:rsidR="00D1396D">
        <w:rPr>
          <w:rFonts w:ascii="Times New Roman" w:hAnsi="Times New Roman" w:cs="Times New Roman"/>
        </w:rPr>
        <w:t xml:space="preserve"> cells</w:t>
      </w:r>
      <w:r w:rsidRPr="00186773">
        <w:rPr>
          <w:rFonts w:ascii="Times New Roman" w:hAnsi="Times New Roman" w:cs="Times New Roman"/>
        </w:rPr>
        <w:t xml:space="preserve">) that each population contributes. </w:t>
      </w:r>
      <w:r w:rsidR="00D941FE">
        <w:rPr>
          <w:rFonts w:ascii="Times New Roman" w:hAnsi="Times New Roman" w:cs="Times New Roman"/>
        </w:rPr>
        <w:t>M</w:t>
      </w:r>
      <w:r w:rsidR="00D941FE" w:rsidRPr="00305A6A">
        <w:rPr>
          <w:rFonts w:ascii="Times New Roman" w:hAnsi="Times New Roman" w:cs="Times New Roman"/>
        </w:rPr>
        <w:t>ean±</w:t>
      </w:r>
      <w:r w:rsidR="00D941FE">
        <w:rPr>
          <w:rFonts w:ascii="Times New Roman" w:hAnsi="Times New Roman" w:cs="Times New Roman"/>
        </w:rPr>
        <w:t>SD, t</w:t>
      </w:r>
      <w:r w:rsidR="00D941FE" w:rsidRPr="00186773">
        <w:rPr>
          <w:rFonts w:ascii="Times New Roman" w:hAnsi="Times New Roman" w:cs="Times New Roman"/>
        </w:rPr>
        <w:t xml:space="preserve">wo-sided t test.  </w:t>
      </w:r>
    </w:p>
    <w:p w14:paraId="5C65070B" w14:textId="5C05D028" w:rsidR="004177B7" w:rsidRDefault="00620733" w:rsidP="005B711E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650F8513" wp14:editId="694973D0">
            <wp:extent cx="5927075" cy="2499128"/>
            <wp:effectExtent l="0" t="0" r="4445" b="3175"/>
            <wp:docPr id="389536804" name="Picture 2" descr="A comparison of red and blue graph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536804" name="Picture 2" descr="A comparison of red and blue graphs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62"/>
                    <a:stretch/>
                  </pic:blipFill>
                  <pic:spPr bwMode="auto">
                    <a:xfrm>
                      <a:off x="0" y="0"/>
                      <a:ext cx="5936399" cy="2503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7EB77B" w14:textId="0EBCC0BC" w:rsidR="00305A6A" w:rsidRDefault="002D619A" w:rsidP="008B4E4D">
      <w:pPr>
        <w:jc w:val="both"/>
        <w:rPr>
          <w:rFonts w:ascii="Times New Roman" w:hAnsi="Times New Roman" w:cs="Times New Roman"/>
        </w:rPr>
      </w:pPr>
      <w:r w:rsidRPr="002D619A">
        <w:rPr>
          <w:rFonts w:ascii="Times New Roman" w:hAnsi="Times New Roman" w:cs="Times New Roman"/>
          <w:b/>
          <w:bCs/>
        </w:rPr>
        <w:t xml:space="preserve">Supplementary Figure 5: Genetic knockout of CD47 has no effect on baseline vascular function or immediate ischemic response. </w:t>
      </w:r>
      <w:r w:rsidRPr="002D619A">
        <w:rPr>
          <w:rFonts w:ascii="Times New Roman" w:hAnsi="Times New Roman" w:cs="Times New Roman"/>
        </w:rPr>
        <w:t>Relative perfusion of WT</w:t>
      </w:r>
      <w:r w:rsidR="00E006ED">
        <w:rPr>
          <w:rFonts w:ascii="Times New Roman" w:hAnsi="Times New Roman" w:cs="Times New Roman"/>
        </w:rPr>
        <w:t xml:space="preserve"> (n=43)</w:t>
      </w:r>
      <w:r w:rsidRPr="002D619A">
        <w:rPr>
          <w:rFonts w:ascii="Times New Roman" w:hAnsi="Times New Roman" w:cs="Times New Roman"/>
        </w:rPr>
        <w:t xml:space="preserve"> and CD47-null </w:t>
      </w:r>
      <w:r w:rsidR="00E006ED">
        <w:rPr>
          <w:rFonts w:ascii="Times New Roman" w:hAnsi="Times New Roman" w:cs="Times New Roman"/>
        </w:rPr>
        <w:t xml:space="preserve">(n=32) </w:t>
      </w:r>
      <w:r w:rsidRPr="002D619A">
        <w:rPr>
          <w:rFonts w:ascii="Times New Roman" w:hAnsi="Times New Roman" w:cs="Times New Roman"/>
        </w:rPr>
        <w:t xml:space="preserve">mice </w:t>
      </w:r>
      <w:r w:rsidR="000A185A">
        <w:rPr>
          <w:rFonts w:ascii="Times New Roman" w:hAnsi="Times New Roman" w:cs="Times New Roman"/>
        </w:rPr>
        <w:t xml:space="preserve">before ischemia and </w:t>
      </w:r>
      <w:r w:rsidRPr="002D619A">
        <w:rPr>
          <w:rFonts w:ascii="Times New Roman" w:hAnsi="Times New Roman" w:cs="Times New Roman"/>
        </w:rPr>
        <w:t>9</w:t>
      </w:r>
      <w:r w:rsidR="000A185A">
        <w:rPr>
          <w:rFonts w:ascii="Times New Roman" w:hAnsi="Times New Roman" w:cs="Times New Roman"/>
        </w:rPr>
        <w:t xml:space="preserve"> days</w:t>
      </w:r>
      <w:r w:rsidRPr="002D619A">
        <w:rPr>
          <w:rFonts w:ascii="Times New Roman" w:hAnsi="Times New Roman" w:cs="Times New Roman"/>
        </w:rPr>
        <w:t xml:space="preserve"> post-ischemic tibia fracture using laser doppler flowmetry. </w:t>
      </w:r>
      <w:r w:rsidR="009F2D3F">
        <w:rPr>
          <w:rFonts w:ascii="Times New Roman" w:hAnsi="Times New Roman" w:cs="Times New Roman"/>
          <w:b/>
          <w:bCs/>
        </w:rPr>
        <w:t>a</w:t>
      </w:r>
      <w:r w:rsidRPr="002D619A">
        <w:rPr>
          <w:rFonts w:ascii="Times New Roman" w:hAnsi="Times New Roman" w:cs="Times New Roman"/>
        </w:rPr>
        <w:t>, Left: limb perfusion (mean±S</w:t>
      </w:r>
      <w:r w:rsidR="00A64905">
        <w:rPr>
          <w:rFonts w:ascii="Times New Roman" w:hAnsi="Times New Roman" w:cs="Times New Roman"/>
        </w:rPr>
        <w:t>D</w:t>
      </w:r>
      <w:r w:rsidRPr="002D619A">
        <w:rPr>
          <w:rFonts w:ascii="Times New Roman" w:hAnsi="Times New Roman" w:cs="Times New Roman"/>
        </w:rPr>
        <w:t xml:space="preserve">) </w:t>
      </w:r>
      <w:r w:rsidR="000A185A">
        <w:rPr>
          <w:rFonts w:ascii="Times New Roman" w:hAnsi="Times New Roman" w:cs="Times New Roman"/>
        </w:rPr>
        <w:t xml:space="preserve">pre-ischemic </w:t>
      </w:r>
      <w:r w:rsidR="00336B29">
        <w:rPr>
          <w:rFonts w:ascii="Times New Roman" w:hAnsi="Times New Roman" w:cs="Times New Roman"/>
        </w:rPr>
        <w:t>surgery f</w:t>
      </w:r>
      <w:r w:rsidRPr="002D619A">
        <w:rPr>
          <w:rFonts w:ascii="Times New Roman" w:hAnsi="Times New Roman" w:cs="Times New Roman"/>
        </w:rPr>
        <w:t>or WT and CD47-null mice in right and left limb.  No difference was seen between limb or genotype (</w:t>
      </w:r>
      <w:r w:rsidR="002A2FC8">
        <w:rPr>
          <w:rFonts w:ascii="Times New Roman" w:hAnsi="Times New Roman" w:cs="Times New Roman"/>
        </w:rPr>
        <w:t>o</w:t>
      </w:r>
      <w:r w:rsidR="00357F9D">
        <w:rPr>
          <w:rFonts w:ascii="Times New Roman" w:hAnsi="Times New Roman" w:cs="Times New Roman"/>
        </w:rPr>
        <w:t>ne</w:t>
      </w:r>
      <w:r w:rsidR="00914312">
        <w:rPr>
          <w:rFonts w:ascii="Times New Roman" w:hAnsi="Times New Roman" w:cs="Times New Roman"/>
        </w:rPr>
        <w:t>-way ANOVA</w:t>
      </w:r>
      <w:r w:rsidRPr="002D619A">
        <w:rPr>
          <w:rFonts w:ascii="Times New Roman" w:hAnsi="Times New Roman" w:cs="Times New Roman"/>
        </w:rPr>
        <w:t xml:space="preserve">). Right: </w:t>
      </w:r>
      <w:r w:rsidR="000A185A">
        <w:rPr>
          <w:rFonts w:ascii="Times New Roman" w:hAnsi="Times New Roman" w:cs="Times New Roman"/>
        </w:rPr>
        <w:t xml:space="preserve">limb perfusion </w:t>
      </w:r>
      <w:r w:rsidR="000A185A" w:rsidRPr="002D619A">
        <w:rPr>
          <w:rFonts w:ascii="Times New Roman" w:hAnsi="Times New Roman" w:cs="Times New Roman"/>
        </w:rPr>
        <w:t>(mean±</w:t>
      </w:r>
      <w:r w:rsidR="000A185A">
        <w:rPr>
          <w:rFonts w:ascii="Times New Roman" w:hAnsi="Times New Roman" w:cs="Times New Roman"/>
        </w:rPr>
        <w:t>SD</w:t>
      </w:r>
      <w:r w:rsidR="000A185A" w:rsidRPr="002D619A">
        <w:rPr>
          <w:rFonts w:ascii="Times New Roman" w:hAnsi="Times New Roman" w:cs="Times New Roman"/>
        </w:rPr>
        <w:t xml:space="preserve">) </w:t>
      </w:r>
      <w:r w:rsidRPr="002D619A">
        <w:rPr>
          <w:rFonts w:ascii="Times New Roman" w:hAnsi="Times New Roman" w:cs="Times New Roman"/>
        </w:rPr>
        <w:t>post-ischemic surgery for WT and CD47-null mice in right and left</w:t>
      </w:r>
      <w:r w:rsidR="000A185A">
        <w:rPr>
          <w:rFonts w:ascii="Times New Roman" w:hAnsi="Times New Roman" w:cs="Times New Roman"/>
        </w:rPr>
        <w:t xml:space="preserve"> </w:t>
      </w:r>
      <w:r w:rsidRPr="002D619A">
        <w:rPr>
          <w:rFonts w:ascii="Times New Roman" w:hAnsi="Times New Roman" w:cs="Times New Roman"/>
        </w:rPr>
        <w:t>limb</w:t>
      </w:r>
      <w:r w:rsidR="00D05501">
        <w:rPr>
          <w:rFonts w:ascii="Times New Roman" w:hAnsi="Times New Roman" w:cs="Times New Roman"/>
        </w:rPr>
        <w:t xml:space="preserve"> </w:t>
      </w:r>
      <w:r w:rsidR="00D05501" w:rsidRPr="002D619A">
        <w:rPr>
          <w:rFonts w:ascii="Times New Roman" w:hAnsi="Times New Roman" w:cs="Times New Roman"/>
        </w:rPr>
        <w:t>(</w:t>
      </w:r>
      <w:r w:rsidR="00D05501">
        <w:rPr>
          <w:rFonts w:ascii="Times New Roman" w:hAnsi="Times New Roman" w:cs="Times New Roman"/>
        </w:rPr>
        <w:t>One-way ANOVA</w:t>
      </w:r>
      <w:r w:rsidR="00D05501" w:rsidRPr="002D619A">
        <w:rPr>
          <w:rFonts w:ascii="Times New Roman" w:hAnsi="Times New Roman" w:cs="Times New Roman"/>
        </w:rPr>
        <w:t>)</w:t>
      </w:r>
      <w:r w:rsidRPr="002D619A">
        <w:rPr>
          <w:rFonts w:ascii="Times New Roman" w:hAnsi="Times New Roman" w:cs="Times New Roman"/>
        </w:rPr>
        <w:t xml:space="preserve">. </w:t>
      </w:r>
      <w:r w:rsidR="00A64905">
        <w:rPr>
          <w:rFonts w:ascii="Times New Roman" w:hAnsi="Times New Roman" w:cs="Times New Roman"/>
          <w:b/>
          <w:bCs/>
        </w:rPr>
        <w:t>b,</w:t>
      </w:r>
      <w:r w:rsidRPr="002D619A">
        <w:rPr>
          <w:rFonts w:ascii="Times New Roman" w:hAnsi="Times New Roman" w:cs="Times New Roman"/>
        </w:rPr>
        <w:t xml:space="preserve"> </w:t>
      </w:r>
      <w:r w:rsidR="000A185A">
        <w:rPr>
          <w:rFonts w:ascii="Times New Roman" w:hAnsi="Times New Roman" w:cs="Times New Roman"/>
        </w:rPr>
        <w:t>R</w:t>
      </w:r>
      <w:r w:rsidRPr="002D619A">
        <w:rPr>
          <w:rFonts w:ascii="Times New Roman" w:hAnsi="Times New Roman" w:cs="Times New Roman"/>
        </w:rPr>
        <w:t xml:space="preserve">elative perfusion change </w:t>
      </w:r>
      <w:r w:rsidR="000A185A">
        <w:rPr>
          <w:rFonts w:ascii="Times New Roman" w:hAnsi="Times New Roman" w:cs="Times New Roman"/>
        </w:rPr>
        <w:t xml:space="preserve">post-ischemia </w:t>
      </w:r>
      <w:r w:rsidRPr="002D619A">
        <w:rPr>
          <w:rFonts w:ascii="Times New Roman" w:hAnsi="Times New Roman" w:cs="Times New Roman"/>
        </w:rPr>
        <w:t xml:space="preserve">was determined by calculating the percent change in </w:t>
      </w:r>
      <w:r w:rsidR="00336B29">
        <w:rPr>
          <w:rFonts w:ascii="Times New Roman" w:hAnsi="Times New Roman" w:cs="Times New Roman"/>
        </w:rPr>
        <w:t xml:space="preserve">the </w:t>
      </w:r>
      <w:r w:rsidRPr="002D619A">
        <w:rPr>
          <w:rFonts w:ascii="Times New Roman" w:hAnsi="Times New Roman" w:cs="Times New Roman"/>
        </w:rPr>
        <w:t>right limb ratio from pre-ischemia to post-ischemic.</w:t>
      </w:r>
      <w:r w:rsidR="00336B29">
        <w:rPr>
          <w:rFonts w:ascii="Times New Roman" w:hAnsi="Times New Roman" w:cs="Times New Roman"/>
        </w:rPr>
        <w:t xml:space="preserve"> </w:t>
      </w:r>
      <w:r w:rsidRPr="002D619A">
        <w:rPr>
          <w:rFonts w:ascii="Times New Roman" w:hAnsi="Times New Roman" w:cs="Times New Roman"/>
        </w:rPr>
        <w:t xml:space="preserve">WT and CD47-null mice ischemic limb perfusion decreased by -81.83%±1.03 and -82.04%±1.449, respectively. </w:t>
      </w:r>
      <w:r w:rsidR="00D05501">
        <w:rPr>
          <w:rFonts w:ascii="Times New Roman" w:hAnsi="Times New Roman" w:cs="Times New Roman"/>
        </w:rPr>
        <w:t xml:space="preserve">No difference was observed in relative perfusion, two-sided t test. </w:t>
      </w:r>
      <w:r w:rsidRPr="002D619A">
        <w:rPr>
          <w:rFonts w:ascii="Times New Roman" w:hAnsi="Times New Roman" w:cs="Times New Roman"/>
        </w:rPr>
        <w:t>**</w:t>
      </w:r>
      <w:r w:rsidR="00390BEA">
        <w:rPr>
          <w:rFonts w:ascii="Times New Roman" w:hAnsi="Times New Roman" w:cs="Times New Roman"/>
        </w:rPr>
        <w:t>*</w:t>
      </w:r>
      <w:r w:rsidRPr="002D619A">
        <w:rPr>
          <w:rFonts w:ascii="Times New Roman" w:hAnsi="Times New Roman" w:cs="Times New Roman"/>
        </w:rPr>
        <w:t>*</w:t>
      </w:r>
      <w:r w:rsidRPr="002D619A">
        <w:rPr>
          <w:rFonts w:ascii="Times New Roman" w:hAnsi="Times New Roman" w:cs="Times New Roman"/>
          <w:i/>
          <w:iCs/>
        </w:rPr>
        <w:t>P&lt;</w:t>
      </w:r>
      <w:r w:rsidRPr="002D619A">
        <w:rPr>
          <w:rFonts w:ascii="Times New Roman" w:hAnsi="Times New Roman" w:cs="Times New Roman"/>
        </w:rPr>
        <w:t>0.0</w:t>
      </w:r>
      <w:r w:rsidR="00390BEA">
        <w:rPr>
          <w:rFonts w:ascii="Times New Roman" w:hAnsi="Times New Roman" w:cs="Times New Roman"/>
        </w:rPr>
        <w:t>0</w:t>
      </w:r>
      <w:r w:rsidRPr="002D619A">
        <w:rPr>
          <w:rFonts w:ascii="Times New Roman" w:hAnsi="Times New Roman" w:cs="Times New Roman"/>
        </w:rPr>
        <w:t xml:space="preserve">01, </w:t>
      </w:r>
      <w:r w:rsidR="002A2FC8">
        <w:rPr>
          <w:rFonts w:ascii="Times New Roman" w:hAnsi="Times New Roman" w:cs="Times New Roman"/>
        </w:rPr>
        <w:t>o</w:t>
      </w:r>
      <w:r w:rsidR="00392ADA">
        <w:rPr>
          <w:rFonts w:ascii="Times New Roman" w:hAnsi="Times New Roman" w:cs="Times New Roman"/>
        </w:rPr>
        <w:t>ne</w:t>
      </w:r>
      <w:r w:rsidR="00914312">
        <w:rPr>
          <w:rFonts w:ascii="Times New Roman" w:hAnsi="Times New Roman" w:cs="Times New Roman"/>
        </w:rPr>
        <w:t>-way ANOVA</w:t>
      </w:r>
      <w:r w:rsidRPr="002D619A">
        <w:rPr>
          <w:rFonts w:ascii="Times New Roman" w:hAnsi="Times New Roman" w:cs="Times New Roman"/>
        </w:rPr>
        <w:t>.</w:t>
      </w:r>
      <w:r w:rsidR="00305A6A">
        <w:rPr>
          <w:rFonts w:ascii="Times New Roman" w:hAnsi="Times New Roman" w:cs="Times New Roman"/>
        </w:rPr>
        <w:br w:type="page"/>
      </w:r>
    </w:p>
    <w:p w14:paraId="2A54D7EA" w14:textId="179252FE" w:rsidR="0016146C" w:rsidRDefault="004841DB" w:rsidP="002D619A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3868EA5" wp14:editId="006BED73">
            <wp:extent cx="5964865" cy="4472801"/>
            <wp:effectExtent l="0" t="0" r="4445" b="0"/>
            <wp:docPr id="1587091675" name="Picture 4" descr="A group of graphs showing different types of male and fema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091675" name="Picture 4" descr="A group of graphs showing different types of male and female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01"/>
                    <a:stretch/>
                  </pic:blipFill>
                  <pic:spPr bwMode="auto">
                    <a:xfrm>
                      <a:off x="0" y="0"/>
                      <a:ext cx="6020875" cy="4514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E761E9" w14:textId="63D90823" w:rsidR="0016146C" w:rsidRPr="00B55AE2" w:rsidRDefault="00305A6A" w:rsidP="004C2F9F">
      <w:pPr>
        <w:jc w:val="both"/>
        <w:rPr>
          <w:rFonts w:ascii="Times New Roman" w:hAnsi="Times New Roman" w:cs="Times New Roman"/>
          <w:b/>
          <w:bCs/>
        </w:rPr>
      </w:pPr>
      <w:r w:rsidRPr="00305A6A">
        <w:rPr>
          <w:rFonts w:ascii="Times New Roman" w:hAnsi="Times New Roman" w:cs="Times New Roman"/>
          <w:b/>
          <w:bCs/>
        </w:rPr>
        <w:t xml:space="preserve">Supplementary Figure 6:  </w:t>
      </w:r>
      <w:r w:rsidR="00410FFE">
        <w:rPr>
          <w:rFonts w:ascii="Times New Roman" w:hAnsi="Times New Roman" w:cs="Times New Roman"/>
          <w:b/>
          <w:bCs/>
        </w:rPr>
        <w:t xml:space="preserve">Histological data of CD47-null mice with ischemic fracture does not correlate with </w:t>
      </w:r>
      <w:r w:rsidR="004934A1" w:rsidRPr="004934A1">
        <w:rPr>
          <w:b/>
          <w:bCs/>
          <w:color w:val="000000"/>
        </w:rPr>
        <w:t>μ</w:t>
      </w:r>
      <w:r w:rsidR="00410FFE" w:rsidRPr="004934A1">
        <w:rPr>
          <w:rFonts w:ascii="Times New Roman" w:hAnsi="Times New Roman" w:cs="Times New Roman"/>
          <w:b/>
          <w:bCs/>
        </w:rPr>
        <w:t>C</w:t>
      </w:r>
      <w:r w:rsidR="00410FFE">
        <w:rPr>
          <w:rFonts w:ascii="Times New Roman" w:hAnsi="Times New Roman" w:cs="Times New Roman"/>
          <w:b/>
          <w:bCs/>
        </w:rPr>
        <w:t>T data</w:t>
      </w:r>
      <w:r w:rsidRPr="00305A6A">
        <w:rPr>
          <w:rFonts w:ascii="Times New Roman" w:hAnsi="Times New Roman" w:cs="Times New Roman"/>
          <w:b/>
          <w:bCs/>
        </w:rPr>
        <w:t xml:space="preserve">. </w:t>
      </w:r>
      <w:r w:rsidRPr="00305A6A">
        <w:rPr>
          <w:rFonts w:ascii="Times New Roman" w:hAnsi="Times New Roman" w:cs="Times New Roman"/>
        </w:rPr>
        <w:t xml:space="preserve">Histomorphometry of ischemic tibia fracture callus of WT (n=8-9) and CD47-null (n=6-8) mice at </w:t>
      </w:r>
      <w:r w:rsidR="00C0304E" w:rsidRPr="00305A6A">
        <w:rPr>
          <w:rFonts w:ascii="Times New Roman" w:hAnsi="Times New Roman" w:cs="Times New Roman"/>
        </w:rPr>
        <w:t>10- and 15-days</w:t>
      </w:r>
      <w:r w:rsidRPr="00305A6A">
        <w:rPr>
          <w:rFonts w:ascii="Times New Roman" w:hAnsi="Times New Roman" w:cs="Times New Roman"/>
        </w:rPr>
        <w:t xml:space="preserve"> post-fracture. </w:t>
      </w:r>
      <w:r w:rsidR="009F2D3F">
        <w:rPr>
          <w:rFonts w:ascii="Times New Roman" w:hAnsi="Times New Roman" w:cs="Times New Roman"/>
          <w:b/>
          <w:bCs/>
        </w:rPr>
        <w:t>a-i</w:t>
      </w:r>
      <w:r w:rsidRPr="00305A6A">
        <w:rPr>
          <w:rFonts w:ascii="Times New Roman" w:hAnsi="Times New Roman" w:cs="Times New Roman"/>
        </w:rPr>
        <w:t>, Callus composition (mean±</w:t>
      </w:r>
      <w:r w:rsidR="00D313CB">
        <w:rPr>
          <w:rFonts w:ascii="Times New Roman" w:hAnsi="Times New Roman" w:cs="Times New Roman"/>
        </w:rPr>
        <w:t>SD</w:t>
      </w:r>
      <w:r w:rsidRPr="00305A6A">
        <w:rPr>
          <w:rFonts w:ascii="Times New Roman" w:hAnsi="Times New Roman" w:cs="Times New Roman"/>
        </w:rPr>
        <w:t xml:space="preserve">) at day 10 and 15 post-fracture. Two-sided </w:t>
      </w:r>
      <w:r w:rsidRPr="00C84FDE">
        <w:rPr>
          <w:rFonts w:ascii="Times New Roman" w:hAnsi="Times New Roman" w:cs="Times New Roman"/>
        </w:rPr>
        <w:t xml:space="preserve">t </w:t>
      </w:r>
      <w:r w:rsidRPr="00305A6A">
        <w:rPr>
          <w:rFonts w:ascii="Times New Roman" w:hAnsi="Times New Roman" w:cs="Times New Roman"/>
        </w:rPr>
        <w:t>test.</w:t>
      </w:r>
      <w:r w:rsidR="0016146C" w:rsidRPr="00305A6A">
        <w:rPr>
          <w:rFonts w:ascii="Times New Roman" w:hAnsi="Times New Roman" w:cs="Times New Roman"/>
        </w:rPr>
        <w:br w:type="page"/>
      </w:r>
    </w:p>
    <w:p w14:paraId="07A4331B" w14:textId="55A00169" w:rsidR="0016146C" w:rsidRDefault="00671C77" w:rsidP="002A1D2E">
      <w:pPr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7662F202" wp14:editId="68A2DEFD">
            <wp:extent cx="4229100" cy="2552700"/>
            <wp:effectExtent l="0" t="0" r="0" b="0"/>
            <wp:docPr id="369393050" name="Picture 3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393050" name="Picture 3" descr="A screenshot of a video gam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1E3C8" w14:textId="54AE6F30" w:rsidR="0016146C" w:rsidRPr="0016146C" w:rsidRDefault="0016146C" w:rsidP="0016146C">
      <w:pPr>
        <w:jc w:val="both"/>
        <w:rPr>
          <w:rFonts w:ascii="Times New Roman" w:hAnsi="Times New Roman" w:cs="Times New Roman"/>
          <w:b/>
          <w:bCs/>
        </w:rPr>
      </w:pPr>
      <w:r w:rsidRPr="0016146C">
        <w:rPr>
          <w:rFonts w:ascii="Times New Roman" w:hAnsi="Times New Roman" w:cs="Times New Roman"/>
          <w:b/>
          <w:bCs/>
        </w:rPr>
        <w:t xml:space="preserve">Supplementary Figure 7: Disruption of CD47 using a morpholino does not limit recovery of perfusion after induced ischemia. </w:t>
      </w:r>
      <w:r w:rsidRPr="0016146C">
        <w:rPr>
          <w:rFonts w:ascii="Times New Roman" w:hAnsi="Times New Roman" w:cs="Times New Roman"/>
        </w:rPr>
        <w:t xml:space="preserve">An ischemic tibial fracture was induced in WT mice </w:t>
      </w:r>
      <w:r w:rsidR="00C84FDE">
        <w:rPr>
          <w:rFonts w:ascii="Times New Roman" w:hAnsi="Times New Roman" w:cs="Times New Roman"/>
        </w:rPr>
        <w:t>prior to</w:t>
      </w:r>
      <w:r w:rsidRPr="0016146C">
        <w:rPr>
          <w:rFonts w:ascii="Times New Roman" w:hAnsi="Times New Roman" w:cs="Times New Roman"/>
        </w:rPr>
        <w:t xml:space="preserve"> intraperitoneal </w:t>
      </w:r>
      <w:r w:rsidR="00C84FDE">
        <w:rPr>
          <w:rFonts w:ascii="Times New Roman" w:hAnsi="Times New Roman" w:cs="Times New Roman"/>
        </w:rPr>
        <w:t>injection</w:t>
      </w:r>
      <w:r w:rsidRPr="0016146C">
        <w:rPr>
          <w:rFonts w:ascii="Times New Roman" w:hAnsi="Times New Roman" w:cs="Times New Roman"/>
        </w:rPr>
        <w:t xml:space="preserve"> with either morpholino-control ([M]Ctrl)</w:t>
      </w:r>
      <w:r w:rsidR="00445948">
        <w:rPr>
          <w:rFonts w:ascii="Times New Roman" w:hAnsi="Times New Roman" w:cs="Times New Roman"/>
        </w:rPr>
        <w:t xml:space="preserve"> </w:t>
      </w:r>
      <w:r w:rsidR="00C842C2">
        <w:rPr>
          <w:rFonts w:ascii="Times New Roman" w:hAnsi="Times New Roman" w:cs="Times New Roman"/>
        </w:rPr>
        <w:t>(n=</w:t>
      </w:r>
      <w:r w:rsidR="00A212DE">
        <w:rPr>
          <w:rFonts w:ascii="Times New Roman" w:hAnsi="Times New Roman" w:cs="Times New Roman"/>
        </w:rPr>
        <w:t>5</w:t>
      </w:r>
      <w:r w:rsidR="00C842C2">
        <w:rPr>
          <w:rFonts w:ascii="Times New Roman" w:hAnsi="Times New Roman" w:cs="Times New Roman"/>
        </w:rPr>
        <w:t xml:space="preserve">) </w:t>
      </w:r>
      <w:r w:rsidRPr="0016146C">
        <w:rPr>
          <w:rFonts w:ascii="Times New Roman" w:hAnsi="Times New Roman" w:cs="Times New Roman"/>
        </w:rPr>
        <w:t xml:space="preserve">or morpholino-CD47 ([M]CD47) </w:t>
      </w:r>
      <w:r w:rsidR="00C842C2">
        <w:rPr>
          <w:rFonts w:ascii="Times New Roman" w:hAnsi="Times New Roman" w:cs="Times New Roman"/>
        </w:rPr>
        <w:t xml:space="preserve">(n=4) </w:t>
      </w:r>
      <w:r w:rsidRPr="0016146C">
        <w:rPr>
          <w:rFonts w:ascii="Times New Roman" w:hAnsi="Times New Roman" w:cs="Times New Roman"/>
        </w:rPr>
        <w:t>at days 2 and 5 post fracture (1 nmol/kg). Perfusion measurements were performed prior to ischemia, immediately after, and at day 15 post-ischemia using laser doppler flowmetry of the plantar surface of the hindfoot. Relative perfusion (mean±S</w:t>
      </w:r>
      <w:r w:rsidR="00D313CB">
        <w:rPr>
          <w:rFonts w:ascii="Times New Roman" w:hAnsi="Times New Roman" w:cs="Times New Roman"/>
        </w:rPr>
        <w:t>D</w:t>
      </w:r>
      <w:r w:rsidRPr="0016146C">
        <w:rPr>
          <w:rFonts w:ascii="Times New Roman" w:hAnsi="Times New Roman" w:cs="Times New Roman"/>
        </w:rPr>
        <w:t xml:space="preserve">) was calculated for in [M]Ctrl and [M]CD47 mice. </w:t>
      </w:r>
      <w:r w:rsidR="00374003">
        <w:rPr>
          <w:rFonts w:ascii="Times New Roman" w:hAnsi="Times New Roman" w:cs="Times New Roman"/>
        </w:rPr>
        <w:t>O</w:t>
      </w:r>
      <w:r w:rsidR="00C84FDE">
        <w:rPr>
          <w:rFonts w:ascii="Times New Roman" w:hAnsi="Times New Roman" w:cs="Times New Roman"/>
        </w:rPr>
        <w:t>ne-way ANOVA</w:t>
      </w:r>
      <w:r w:rsidRPr="0016146C">
        <w:rPr>
          <w:rFonts w:ascii="Times New Roman" w:hAnsi="Times New Roman" w:cs="Times New Roman"/>
        </w:rPr>
        <w:t xml:space="preserve">. </w:t>
      </w:r>
    </w:p>
    <w:p w14:paraId="5643E6E9" w14:textId="6BEC5867" w:rsidR="0016146C" w:rsidRPr="0016146C" w:rsidRDefault="0016146C" w:rsidP="00F918A4">
      <w:pPr>
        <w:jc w:val="both"/>
        <w:rPr>
          <w:rFonts w:ascii="Times New Roman" w:hAnsi="Times New Roman" w:cs="Times New Roman"/>
          <w:b/>
          <w:bCs/>
        </w:rPr>
      </w:pPr>
    </w:p>
    <w:sectPr w:rsidR="0016146C" w:rsidRPr="0016146C" w:rsidSect="007464BF"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5B407B" w14:textId="77777777" w:rsidR="007464BF" w:rsidRDefault="007464BF" w:rsidP="009F2D3F">
      <w:r>
        <w:separator/>
      </w:r>
    </w:p>
  </w:endnote>
  <w:endnote w:type="continuationSeparator" w:id="0">
    <w:p w14:paraId="2D763A87" w14:textId="77777777" w:rsidR="007464BF" w:rsidRDefault="007464BF" w:rsidP="009F2D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71D055" w14:textId="77777777" w:rsidR="007464BF" w:rsidRDefault="007464BF" w:rsidP="009F2D3F">
      <w:r>
        <w:separator/>
      </w:r>
    </w:p>
  </w:footnote>
  <w:footnote w:type="continuationSeparator" w:id="0">
    <w:p w14:paraId="7A0C04E0" w14:textId="77777777" w:rsidR="007464BF" w:rsidRDefault="007464BF" w:rsidP="009F2D3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18A4"/>
    <w:rsid w:val="000119E9"/>
    <w:rsid w:val="00017AD5"/>
    <w:rsid w:val="00022480"/>
    <w:rsid w:val="00026077"/>
    <w:rsid w:val="000626EA"/>
    <w:rsid w:val="00081337"/>
    <w:rsid w:val="000A185A"/>
    <w:rsid w:val="000A3E83"/>
    <w:rsid w:val="000A4274"/>
    <w:rsid w:val="000A6A44"/>
    <w:rsid w:val="000B2F37"/>
    <w:rsid w:val="000B34BB"/>
    <w:rsid w:val="000D26B5"/>
    <w:rsid w:val="000E2198"/>
    <w:rsid w:val="00104EB6"/>
    <w:rsid w:val="00105FFE"/>
    <w:rsid w:val="001220D7"/>
    <w:rsid w:val="00123BFB"/>
    <w:rsid w:val="001272DF"/>
    <w:rsid w:val="00132C94"/>
    <w:rsid w:val="00134AA4"/>
    <w:rsid w:val="00136E24"/>
    <w:rsid w:val="00155536"/>
    <w:rsid w:val="0016146C"/>
    <w:rsid w:val="00163F2E"/>
    <w:rsid w:val="00175014"/>
    <w:rsid w:val="00186773"/>
    <w:rsid w:val="001B179D"/>
    <w:rsid w:val="001E0284"/>
    <w:rsid w:val="001F4E2F"/>
    <w:rsid w:val="00202479"/>
    <w:rsid w:val="00222942"/>
    <w:rsid w:val="002246A7"/>
    <w:rsid w:val="00227815"/>
    <w:rsid w:val="00232996"/>
    <w:rsid w:val="002413DF"/>
    <w:rsid w:val="00241BF0"/>
    <w:rsid w:val="00265DDE"/>
    <w:rsid w:val="00267C5E"/>
    <w:rsid w:val="002A0A97"/>
    <w:rsid w:val="002A1D2E"/>
    <w:rsid w:val="002A2FC8"/>
    <w:rsid w:val="002B4B8D"/>
    <w:rsid w:val="002B63C6"/>
    <w:rsid w:val="002D619A"/>
    <w:rsid w:val="002E3197"/>
    <w:rsid w:val="00305178"/>
    <w:rsid w:val="00305A6A"/>
    <w:rsid w:val="003106D3"/>
    <w:rsid w:val="00336B29"/>
    <w:rsid w:val="0034208A"/>
    <w:rsid w:val="00346389"/>
    <w:rsid w:val="00357F9D"/>
    <w:rsid w:val="0036514C"/>
    <w:rsid w:val="00370F02"/>
    <w:rsid w:val="00374003"/>
    <w:rsid w:val="00390BEA"/>
    <w:rsid w:val="00392ADA"/>
    <w:rsid w:val="003A11B4"/>
    <w:rsid w:val="003C4D36"/>
    <w:rsid w:val="003C594C"/>
    <w:rsid w:val="003D3657"/>
    <w:rsid w:val="003D72EA"/>
    <w:rsid w:val="003D7BF0"/>
    <w:rsid w:val="003F07E2"/>
    <w:rsid w:val="0040553F"/>
    <w:rsid w:val="00410FFE"/>
    <w:rsid w:val="004177B7"/>
    <w:rsid w:val="00445948"/>
    <w:rsid w:val="004807DA"/>
    <w:rsid w:val="00482F41"/>
    <w:rsid w:val="004841DB"/>
    <w:rsid w:val="004848B1"/>
    <w:rsid w:val="004934A1"/>
    <w:rsid w:val="004B1EB8"/>
    <w:rsid w:val="004C2F9F"/>
    <w:rsid w:val="004C49BF"/>
    <w:rsid w:val="004E4B2B"/>
    <w:rsid w:val="004F3A83"/>
    <w:rsid w:val="004F4431"/>
    <w:rsid w:val="004F6C44"/>
    <w:rsid w:val="005307BE"/>
    <w:rsid w:val="00533119"/>
    <w:rsid w:val="00534F70"/>
    <w:rsid w:val="0053677D"/>
    <w:rsid w:val="005423D9"/>
    <w:rsid w:val="00544B45"/>
    <w:rsid w:val="0058312A"/>
    <w:rsid w:val="005B4AF4"/>
    <w:rsid w:val="005B711E"/>
    <w:rsid w:val="005D09D3"/>
    <w:rsid w:val="005D2DCA"/>
    <w:rsid w:val="005D4236"/>
    <w:rsid w:val="005D5E09"/>
    <w:rsid w:val="005E65DE"/>
    <w:rsid w:val="005F41B5"/>
    <w:rsid w:val="005F51D0"/>
    <w:rsid w:val="00620733"/>
    <w:rsid w:val="00630B84"/>
    <w:rsid w:val="006373B9"/>
    <w:rsid w:val="00666B32"/>
    <w:rsid w:val="00671C77"/>
    <w:rsid w:val="006B0825"/>
    <w:rsid w:val="006C6702"/>
    <w:rsid w:val="006E4D2E"/>
    <w:rsid w:val="006E6692"/>
    <w:rsid w:val="006F451B"/>
    <w:rsid w:val="00705CBF"/>
    <w:rsid w:val="007246F0"/>
    <w:rsid w:val="007253DB"/>
    <w:rsid w:val="007464BF"/>
    <w:rsid w:val="00746AAD"/>
    <w:rsid w:val="007527C7"/>
    <w:rsid w:val="00767E27"/>
    <w:rsid w:val="0078140B"/>
    <w:rsid w:val="00790983"/>
    <w:rsid w:val="00790A8D"/>
    <w:rsid w:val="0079751F"/>
    <w:rsid w:val="007A0383"/>
    <w:rsid w:val="007A04B1"/>
    <w:rsid w:val="007C63D5"/>
    <w:rsid w:val="007E1382"/>
    <w:rsid w:val="007F1CFE"/>
    <w:rsid w:val="00825A1C"/>
    <w:rsid w:val="008343F7"/>
    <w:rsid w:val="00835823"/>
    <w:rsid w:val="008B4E4D"/>
    <w:rsid w:val="008C3FBA"/>
    <w:rsid w:val="00914312"/>
    <w:rsid w:val="0094676A"/>
    <w:rsid w:val="009510D1"/>
    <w:rsid w:val="0098227B"/>
    <w:rsid w:val="00987C42"/>
    <w:rsid w:val="009B0167"/>
    <w:rsid w:val="009B04A7"/>
    <w:rsid w:val="009B21D8"/>
    <w:rsid w:val="009B52A7"/>
    <w:rsid w:val="009D5133"/>
    <w:rsid w:val="009F2D3F"/>
    <w:rsid w:val="00A06217"/>
    <w:rsid w:val="00A12586"/>
    <w:rsid w:val="00A152BB"/>
    <w:rsid w:val="00A1687E"/>
    <w:rsid w:val="00A212DE"/>
    <w:rsid w:val="00A64905"/>
    <w:rsid w:val="00A715E5"/>
    <w:rsid w:val="00A769E3"/>
    <w:rsid w:val="00A82C0E"/>
    <w:rsid w:val="00A85A1C"/>
    <w:rsid w:val="00A94B9C"/>
    <w:rsid w:val="00AA2BDF"/>
    <w:rsid w:val="00AA590A"/>
    <w:rsid w:val="00AB343E"/>
    <w:rsid w:val="00AC42DB"/>
    <w:rsid w:val="00AD61CC"/>
    <w:rsid w:val="00AF29A8"/>
    <w:rsid w:val="00AF4629"/>
    <w:rsid w:val="00B1270D"/>
    <w:rsid w:val="00B16E53"/>
    <w:rsid w:val="00B42758"/>
    <w:rsid w:val="00B43ACC"/>
    <w:rsid w:val="00B4543C"/>
    <w:rsid w:val="00B55AE2"/>
    <w:rsid w:val="00B5781B"/>
    <w:rsid w:val="00B62FD0"/>
    <w:rsid w:val="00B75B4F"/>
    <w:rsid w:val="00B932E1"/>
    <w:rsid w:val="00B93EFD"/>
    <w:rsid w:val="00B94AC1"/>
    <w:rsid w:val="00BA2EF5"/>
    <w:rsid w:val="00BB20A3"/>
    <w:rsid w:val="00BF48DB"/>
    <w:rsid w:val="00BF51C1"/>
    <w:rsid w:val="00C0304E"/>
    <w:rsid w:val="00C06E31"/>
    <w:rsid w:val="00C178BA"/>
    <w:rsid w:val="00C237FA"/>
    <w:rsid w:val="00C26E74"/>
    <w:rsid w:val="00C338D5"/>
    <w:rsid w:val="00C35FF4"/>
    <w:rsid w:val="00C513D9"/>
    <w:rsid w:val="00C6473D"/>
    <w:rsid w:val="00C842C2"/>
    <w:rsid w:val="00C84FDE"/>
    <w:rsid w:val="00C95181"/>
    <w:rsid w:val="00CC4DB7"/>
    <w:rsid w:val="00CD282C"/>
    <w:rsid w:val="00CE74FB"/>
    <w:rsid w:val="00CF2CB7"/>
    <w:rsid w:val="00CF6913"/>
    <w:rsid w:val="00D01104"/>
    <w:rsid w:val="00D02322"/>
    <w:rsid w:val="00D05501"/>
    <w:rsid w:val="00D1396D"/>
    <w:rsid w:val="00D313CB"/>
    <w:rsid w:val="00D41190"/>
    <w:rsid w:val="00D50F99"/>
    <w:rsid w:val="00D7495C"/>
    <w:rsid w:val="00D75C6C"/>
    <w:rsid w:val="00D941FE"/>
    <w:rsid w:val="00DB1D2F"/>
    <w:rsid w:val="00DC1A87"/>
    <w:rsid w:val="00E006ED"/>
    <w:rsid w:val="00E11304"/>
    <w:rsid w:val="00E15D28"/>
    <w:rsid w:val="00E20190"/>
    <w:rsid w:val="00E419E1"/>
    <w:rsid w:val="00E44508"/>
    <w:rsid w:val="00E449AD"/>
    <w:rsid w:val="00E62110"/>
    <w:rsid w:val="00E62324"/>
    <w:rsid w:val="00E6337C"/>
    <w:rsid w:val="00E75FAA"/>
    <w:rsid w:val="00E8450D"/>
    <w:rsid w:val="00E86237"/>
    <w:rsid w:val="00EC652E"/>
    <w:rsid w:val="00ED78EF"/>
    <w:rsid w:val="00F008E3"/>
    <w:rsid w:val="00F0567E"/>
    <w:rsid w:val="00F23FDE"/>
    <w:rsid w:val="00F24260"/>
    <w:rsid w:val="00F376F9"/>
    <w:rsid w:val="00F46F85"/>
    <w:rsid w:val="00F535DC"/>
    <w:rsid w:val="00F73BC1"/>
    <w:rsid w:val="00F815C6"/>
    <w:rsid w:val="00F81E5F"/>
    <w:rsid w:val="00F83F0D"/>
    <w:rsid w:val="00F918A4"/>
    <w:rsid w:val="00FB555B"/>
    <w:rsid w:val="00FE6E31"/>
    <w:rsid w:val="00FE7EC9"/>
    <w:rsid w:val="00FF56C9"/>
    <w:rsid w:val="00FF6DD0"/>
    <w:rsid w:val="00FF7E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62B3B1"/>
  <w15:chartTrackingRefBased/>
  <w15:docId w15:val="{B9FBEF13-AA3B-ED46-B3CD-E2754CB4A1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918A4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LineNumber">
    <w:name w:val="line number"/>
    <w:basedOn w:val="DefaultParagraphFont"/>
    <w:uiPriority w:val="99"/>
    <w:semiHidden/>
    <w:unhideWhenUsed/>
    <w:rsid w:val="00F918A4"/>
  </w:style>
  <w:style w:type="paragraph" w:styleId="Header">
    <w:name w:val="header"/>
    <w:basedOn w:val="Normal"/>
    <w:link w:val="HeaderChar"/>
    <w:uiPriority w:val="99"/>
    <w:unhideWhenUsed/>
    <w:rsid w:val="009F2D3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F2D3F"/>
  </w:style>
  <w:style w:type="paragraph" w:styleId="Footer">
    <w:name w:val="footer"/>
    <w:basedOn w:val="Normal"/>
    <w:link w:val="FooterChar"/>
    <w:uiPriority w:val="99"/>
    <w:unhideWhenUsed/>
    <w:rsid w:val="009F2D3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F2D3F"/>
  </w:style>
  <w:style w:type="paragraph" w:styleId="Revision">
    <w:name w:val="Revision"/>
    <w:hidden/>
    <w:uiPriority w:val="99"/>
    <w:semiHidden/>
    <w:rsid w:val="00D941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708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0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41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85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4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27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53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87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79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622</Words>
  <Characters>3550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Capobianco, Christina</dc:creator>
  <cp:keywords/>
  <dc:description/>
  <cp:lastModifiedBy>Capobianco, Christina</cp:lastModifiedBy>
  <cp:revision>6</cp:revision>
  <dcterms:created xsi:type="dcterms:W3CDTF">2024-02-25T17:29:00Z</dcterms:created>
  <dcterms:modified xsi:type="dcterms:W3CDTF">2024-03-06T20:33:00Z</dcterms:modified>
</cp:coreProperties>
</file>