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1D566D" w14:textId="2D35E0D5" w:rsidR="004A7232" w:rsidRDefault="00BA2D76" w:rsidP="004A7232">
      <w:pPr>
        <w:jc w:val="both"/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  <w:t>Appendix</w:t>
      </w:r>
      <w:r w:rsidR="004A7232" w:rsidRPr="007C25E7"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  <w:t xml:space="preserve"> </w:t>
      </w:r>
      <w:commentRangeStart w:id="0"/>
      <w:r w:rsidR="004A7232">
        <w:rPr>
          <w:rFonts w:ascii="Arial" w:eastAsia="Times New Roman" w:hAnsi="Arial" w:cs="Arial"/>
          <w:b/>
          <w:color w:val="009193"/>
          <w:sz w:val="28"/>
          <w:szCs w:val="28"/>
          <w:lang w:eastAsia="it-IT"/>
        </w:rPr>
        <w:t>S1</w:t>
      </w:r>
      <w:commentRangeEnd w:id="0"/>
      <w:r w:rsidR="00E0761D">
        <w:rPr>
          <w:rStyle w:val="CommentReference"/>
        </w:rPr>
        <w:commentReference w:id="0"/>
      </w:r>
    </w:p>
    <w:p w14:paraId="188DDCDC" w14:textId="692C5A09" w:rsidR="00035810" w:rsidRPr="00D25C2C" w:rsidRDefault="00035810" w:rsidP="004A7232">
      <w:pPr>
        <w:jc w:val="both"/>
        <w:rPr>
          <w:rFonts w:ascii="Arial" w:eastAsia="Times New Roman" w:hAnsi="Arial" w:cs="Arial"/>
          <w:b/>
          <w:i/>
          <w:iCs/>
          <w:color w:val="009193"/>
          <w:sz w:val="24"/>
          <w:szCs w:val="24"/>
          <w:lang w:eastAsia="it-IT"/>
        </w:rPr>
      </w:pPr>
      <w:r w:rsidRPr="00D25C2C">
        <w:rPr>
          <w:rFonts w:ascii="Arial" w:eastAsia="Times New Roman" w:hAnsi="Arial" w:cs="Arial"/>
          <w:b/>
          <w:i/>
          <w:iCs/>
          <w:color w:val="009193"/>
          <w:sz w:val="24"/>
          <w:szCs w:val="24"/>
          <w:lang w:eastAsia="it-IT"/>
        </w:rPr>
        <w:t>Supplementary figures and images</w:t>
      </w:r>
    </w:p>
    <w:p w14:paraId="0A894F78" w14:textId="77777777" w:rsidR="004A7232" w:rsidRPr="007C25E7" w:rsidRDefault="004A7232" w:rsidP="004A7232">
      <w:pPr>
        <w:pStyle w:val="Caption"/>
        <w:keepNext/>
        <w:jc w:val="both"/>
        <w:rPr>
          <w:rFonts w:ascii="Arial" w:hAnsi="Arial" w:cs="Arial"/>
          <w:color w:val="auto"/>
        </w:rPr>
      </w:pPr>
      <w:r w:rsidRPr="007C25E7">
        <w:rPr>
          <w:rFonts w:ascii="Arial" w:hAnsi="Arial" w:cs="Arial"/>
          <w:color w:val="auto"/>
        </w:rPr>
        <w:t xml:space="preserve">Table </w:t>
      </w:r>
      <w:r w:rsidRPr="007C25E7">
        <w:rPr>
          <w:rFonts w:ascii="Arial" w:hAnsi="Arial" w:cs="Arial"/>
          <w:color w:val="auto"/>
        </w:rPr>
        <w:fldChar w:fldCharType="begin"/>
      </w:r>
      <w:r w:rsidRPr="007C25E7">
        <w:rPr>
          <w:rFonts w:ascii="Arial" w:hAnsi="Arial" w:cs="Arial"/>
          <w:color w:val="auto"/>
        </w:rPr>
        <w:instrText xml:space="preserve"> SEQ Table \* ARABIC </w:instrText>
      </w:r>
      <w:r w:rsidRPr="007C25E7">
        <w:rPr>
          <w:rFonts w:ascii="Arial" w:hAnsi="Arial" w:cs="Arial"/>
          <w:color w:val="auto"/>
        </w:rPr>
        <w:fldChar w:fldCharType="separate"/>
      </w:r>
      <w:r w:rsidRPr="007C25E7">
        <w:rPr>
          <w:rFonts w:ascii="Arial" w:hAnsi="Arial" w:cs="Arial"/>
          <w:color w:val="auto"/>
        </w:rPr>
        <w:t>1</w:t>
      </w:r>
      <w:r w:rsidRPr="007C25E7">
        <w:rPr>
          <w:rFonts w:ascii="Arial" w:hAnsi="Arial" w:cs="Arial"/>
          <w:color w:val="auto"/>
        </w:rPr>
        <w:fldChar w:fldCharType="end"/>
      </w:r>
      <w:r w:rsidRPr="007C25E7">
        <w:rPr>
          <w:rFonts w:ascii="Arial" w:hAnsi="Arial" w:cs="Arial"/>
          <w:color w:val="auto"/>
        </w:rPr>
        <w:t xml:space="preserve"> hiPSC lines utilized in this </w:t>
      </w:r>
      <w:proofErr w:type="gramStart"/>
      <w:r w:rsidRPr="007C25E7">
        <w:rPr>
          <w:rFonts w:ascii="Arial" w:hAnsi="Arial" w:cs="Arial"/>
          <w:color w:val="auto"/>
        </w:rPr>
        <w:t>study</w:t>
      </w:r>
      <w:proofErr w:type="gramEnd"/>
    </w:p>
    <w:p w14:paraId="50BA6717" w14:textId="77777777" w:rsidR="004A7232" w:rsidRPr="007C25E7" w:rsidRDefault="004A7232" w:rsidP="004A7232">
      <w:pPr>
        <w:jc w:val="both"/>
        <w:rPr>
          <w:rFonts w:ascii="Arial" w:eastAsia="Times New Roman" w:hAnsi="Arial" w:cs="Arial"/>
          <w:color w:val="000000"/>
          <w:lang w:eastAsia="it-IT"/>
        </w:rPr>
      </w:pPr>
      <w:r w:rsidRPr="007C25E7">
        <w:rPr>
          <w:rFonts w:ascii="Arial" w:eastAsia="Times New Roman" w:hAnsi="Arial" w:cs="Arial"/>
          <w:noProof/>
          <w:color w:val="000000"/>
          <w:lang w:eastAsia="it-IT"/>
        </w:rPr>
        <w:drawing>
          <wp:inline distT="0" distB="0" distL="0" distR="0" wp14:anchorId="103E338A" wp14:editId="3D4BFB1E">
            <wp:extent cx="3590925" cy="1030605"/>
            <wp:effectExtent l="0" t="0" r="9525" b="0"/>
            <wp:docPr id="45" name="Picture 45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11B58C" w14:textId="169349B3" w:rsidR="004A7232" w:rsidRPr="007C25E7" w:rsidRDefault="008D4744" w:rsidP="004A7232">
      <w:pPr>
        <w:keepNext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DA037EC" wp14:editId="7BE58BF0">
            <wp:extent cx="6120540" cy="2790701"/>
            <wp:effectExtent l="0" t="0" r="0" b="0"/>
            <wp:docPr id="95737526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462" cy="27956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04FDA2" w14:textId="77777777" w:rsidR="00204D27" w:rsidRDefault="004A7232" w:rsidP="00D25C2C">
      <w:pPr>
        <w:pStyle w:val="Caption"/>
        <w:jc w:val="both"/>
        <w:rPr>
          <w:rFonts w:ascii="Arial" w:hAnsi="Arial" w:cs="Arial"/>
        </w:rPr>
      </w:pPr>
      <w:r w:rsidRPr="00914ADA">
        <w:rPr>
          <w:rFonts w:ascii="Arial" w:hAnsi="Arial" w:cs="Arial"/>
          <w:b/>
          <w:bCs/>
        </w:rPr>
        <w:t xml:space="preserve">Figure S </w:t>
      </w:r>
      <w:r w:rsidRPr="00914ADA">
        <w:rPr>
          <w:rFonts w:ascii="Arial" w:hAnsi="Arial" w:cs="Arial"/>
          <w:b/>
          <w:bCs/>
        </w:rPr>
        <w:fldChar w:fldCharType="begin"/>
      </w:r>
      <w:r w:rsidRPr="00914ADA">
        <w:rPr>
          <w:rFonts w:ascii="Arial" w:hAnsi="Arial" w:cs="Arial"/>
          <w:b/>
          <w:bCs/>
        </w:rPr>
        <w:instrText xml:space="preserve"> SEQ Figure_S \* ARABIC </w:instrText>
      </w:r>
      <w:r w:rsidRPr="00914ADA">
        <w:rPr>
          <w:rFonts w:ascii="Arial" w:hAnsi="Arial" w:cs="Arial"/>
          <w:b/>
          <w:bCs/>
        </w:rPr>
        <w:fldChar w:fldCharType="separate"/>
      </w:r>
      <w:r w:rsidRPr="00914ADA">
        <w:rPr>
          <w:rFonts w:ascii="Arial" w:hAnsi="Arial" w:cs="Arial"/>
          <w:b/>
          <w:bCs/>
        </w:rPr>
        <w:t>1</w:t>
      </w:r>
      <w:r w:rsidRPr="00914ADA">
        <w:rPr>
          <w:rFonts w:ascii="Arial" w:hAnsi="Arial" w:cs="Arial"/>
          <w:b/>
          <w:bCs/>
        </w:rPr>
        <w:fldChar w:fldCharType="end"/>
      </w:r>
      <w:r w:rsidRPr="00914ADA">
        <w:rPr>
          <w:rFonts w:ascii="Arial" w:hAnsi="Arial" w:cs="Arial"/>
          <w:b/>
          <w:bCs/>
        </w:rPr>
        <w:t xml:space="preserve"> (a)</w:t>
      </w:r>
      <w:r w:rsidRPr="007C25E7">
        <w:rPr>
          <w:rFonts w:ascii="Arial" w:hAnsi="Arial" w:cs="Arial"/>
        </w:rPr>
        <w:t xml:space="preserve"> Representative ICC images of microglial markers IBA1 (green), TMEM119 (red), P2RY12 (green), TREM2 (red), and CX3CL1 (green). Scale bar 50µm. </w:t>
      </w:r>
      <w:r w:rsidRPr="00914ADA">
        <w:rPr>
          <w:rFonts w:ascii="Arial" w:hAnsi="Arial" w:cs="Arial"/>
          <w:b/>
          <w:bCs/>
        </w:rPr>
        <w:t>(b)</w:t>
      </w:r>
      <w:r w:rsidRPr="007C25E7">
        <w:rPr>
          <w:rFonts w:ascii="Arial" w:hAnsi="Arial" w:cs="Arial"/>
        </w:rPr>
        <w:t xml:space="preserve"> Phagocytosis of ATTO 465-labeled αSyn PFFs with different concentrations. </w:t>
      </w:r>
      <w:r w:rsidRPr="00914ADA">
        <w:rPr>
          <w:rFonts w:ascii="Arial" w:hAnsi="Arial" w:cs="Arial"/>
          <w:b/>
          <w:bCs/>
        </w:rPr>
        <w:t>(c)</w:t>
      </w:r>
      <w:r w:rsidRPr="007C25E7">
        <w:rPr>
          <w:rFonts w:ascii="Arial" w:hAnsi="Arial" w:cs="Arial"/>
        </w:rPr>
        <w:t xml:space="preserve"> LDH release measurement used as indicator for cytotoxicity. 0.5µM and 1µM concentrations tested over time. </w:t>
      </w:r>
      <w:r w:rsidRPr="00914ADA">
        <w:rPr>
          <w:rFonts w:ascii="Arial" w:hAnsi="Arial" w:cs="Arial"/>
          <w:b/>
          <w:bCs/>
        </w:rPr>
        <w:t>(d)</w:t>
      </w:r>
      <w:r w:rsidRPr="007C25E7">
        <w:rPr>
          <w:rFonts w:ascii="Arial" w:hAnsi="Arial" w:cs="Arial"/>
        </w:rPr>
        <w:t xml:space="preserve"> LDH release used to detect cytotoxicity of 0.5µM αSyn PFFs + IFNγ 20ng/ml. </w:t>
      </w:r>
    </w:p>
    <w:p w14:paraId="3285C1CE" w14:textId="7CC37110" w:rsidR="008D4744" w:rsidRPr="008D4744" w:rsidRDefault="00C73DCB" w:rsidP="008D4744">
      <w:r>
        <w:rPr>
          <w:noProof/>
        </w:rPr>
        <w:lastRenderedPageBreak/>
        <w:drawing>
          <wp:inline distT="0" distB="0" distL="0" distR="0" wp14:anchorId="1D26AD84" wp14:editId="3ECDEB2A">
            <wp:extent cx="5913755" cy="7547610"/>
            <wp:effectExtent l="0" t="0" r="0" b="0"/>
            <wp:docPr id="182792019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755" cy="7547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91AFF9" w14:textId="128C11CB" w:rsidR="00454C27" w:rsidRDefault="00274037" w:rsidP="00D25C2C">
      <w:pPr>
        <w:pStyle w:val="Caption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Figure S 2 </w:t>
      </w:r>
      <w:r w:rsidR="004A7232" w:rsidRPr="00914ADA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a</w:t>
      </w:r>
      <w:r w:rsidR="00A3091F">
        <w:rPr>
          <w:rFonts w:ascii="Arial" w:hAnsi="Arial" w:cs="Arial"/>
          <w:b/>
          <w:bCs/>
        </w:rPr>
        <w:t xml:space="preserve">) </w:t>
      </w:r>
      <w:r w:rsidR="00C73DCB">
        <w:rPr>
          <w:rFonts w:ascii="Arial" w:hAnsi="Arial" w:cs="Arial"/>
        </w:rPr>
        <w:t xml:space="preserve">Consensus clustering </w:t>
      </w:r>
      <w:r w:rsidR="00A3091F" w:rsidRPr="005247B7">
        <w:rPr>
          <w:rFonts w:ascii="Arial" w:hAnsi="Arial" w:cs="Arial"/>
        </w:rPr>
        <w:t xml:space="preserve">from the </w:t>
      </w:r>
      <w:r w:rsidR="005247B7" w:rsidRPr="005247B7">
        <w:rPr>
          <w:rFonts w:ascii="Arial" w:hAnsi="Arial" w:cs="Arial"/>
        </w:rPr>
        <w:t>transcriptomics data</w:t>
      </w:r>
      <w:r w:rsidR="00BF3AAD">
        <w:rPr>
          <w:rFonts w:ascii="Arial" w:hAnsi="Arial" w:cs="Arial"/>
        </w:rPr>
        <w:t xml:space="preserve"> indicating similarities between the</w:t>
      </w:r>
      <w:r w:rsidR="007F281F">
        <w:rPr>
          <w:rFonts w:ascii="Arial" w:hAnsi="Arial" w:cs="Arial"/>
        </w:rPr>
        <w:t xml:space="preserve"> samples</w:t>
      </w:r>
      <w:r w:rsidR="002F2F3E">
        <w:rPr>
          <w:rFonts w:ascii="Arial" w:hAnsi="Arial" w:cs="Arial"/>
        </w:rPr>
        <w:t xml:space="preserve"> </w:t>
      </w:r>
      <w:r w:rsidR="00D45712">
        <w:rPr>
          <w:rFonts w:ascii="Arial" w:hAnsi="Arial" w:cs="Arial"/>
        </w:rPr>
        <w:t>considering</w:t>
      </w:r>
      <w:r w:rsidR="002F2F3E">
        <w:rPr>
          <w:rFonts w:ascii="Arial" w:hAnsi="Arial" w:cs="Arial"/>
        </w:rPr>
        <w:t xml:space="preserve"> batch, individual</w:t>
      </w:r>
      <w:r w:rsidR="00D45712">
        <w:rPr>
          <w:rFonts w:ascii="Arial" w:hAnsi="Arial" w:cs="Arial"/>
        </w:rPr>
        <w:t>,</w:t>
      </w:r>
      <w:r w:rsidR="002F2F3E">
        <w:rPr>
          <w:rFonts w:ascii="Arial" w:hAnsi="Arial" w:cs="Arial"/>
        </w:rPr>
        <w:t xml:space="preserve"> and </w:t>
      </w:r>
      <w:r w:rsidR="00D45712">
        <w:rPr>
          <w:rFonts w:ascii="Arial" w:hAnsi="Arial" w:cs="Arial"/>
        </w:rPr>
        <w:t xml:space="preserve">treatment variables. </w:t>
      </w:r>
      <w:r w:rsidR="00D45712" w:rsidRPr="008D560C">
        <w:rPr>
          <w:rFonts w:ascii="Arial" w:hAnsi="Arial" w:cs="Arial"/>
          <w:b/>
          <w:bCs/>
        </w:rPr>
        <w:t>(b)</w:t>
      </w:r>
      <w:r w:rsidR="00D45712">
        <w:rPr>
          <w:rFonts w:ascii="Arial" w:hAnsi="Arial" w:cs="Arial"/>
        </w:rPr>
        <w:t xml:space="preserve"> Legend</w:t>
      </w:r>
      <w:r w:rsidR="008D560C">
        <w:rPr>
          <w:rFonts w:ascii="Arial" w:hAnsi="Arial" w:cs="Arial"/>
        </w:rPr>
        <w:t>s</w:t>
      </w:r>
      <w:r w:rsidR="00D45712">
        <w:rPr>
          <w:rFonts w:ascii="Arial" w:hAnsi="Arial" w:cs="Arial"/>
        </w:rPr>
        <w:t xml:space="preserve"> for the</w:t>
      </w:r>
      <w:r w:rsidR="008D560C">
        <w:rPr>
          <w:rFonts w:ascii="Arial" w:hAnsi="Arial" w:cs="Arial"/>
        </w:rPr>
        <w:t xml:space="preserve"> icon </w:t>
      </w:r>
      <w:r w:rsidR="00D45712">
        <w:rPr>
          <w:rFonts w:ascii="Arial" w:hAnsi="Arial" w:cs="Arial"/>
        </w:rPr>
        <w:t xml:space="preserve">shapes for the </w:t>
      </w:r>
      <w:r w:rsidR="007D308F">
        <w:rPr>
          <w:rFonts w:ascii="Arial" w:hAnsi="Arial" w:cs="Arial"/>
        </w:rPr>
        <w:t xml:space="preserve">αSyn degradation pathway. </w:t>
      </w:r>
      <w:r w:rsidR="004C16E8" w:rsidRPr="008D560C">
        <w:rPr>
          <w:rFonts w:ascii="Arial" w:hAnsi="Arial" w:cs="Arial"/>
          <w:b/>
          <w:bCs/>
        </w:rPr>
        <w:t>(c)</w:t>
      </w:r>
      <w:r w:rsidR="004C16E8">
        <w:rPr>
          <w:rFonts w:ascii="Arial" w:hAnsi="Arial" w:cs="Arial"/>
        </w:rPr>
        <w:t xml:space="preserve"> Legend for the relationships </w:t>
      </w:r>
      <w:r w:rsidR="008D560C">
        <w:rPr>
          <w:rFonts w:ascii="Arial" w:hAnsi="Arial" w:cs="Arial"/>
        </w:rPr>
        <w:t xml:space="preserve">for the </w:t>
      </w:r>
      <w:r w:rsidR="008D560C">
        <w:rPr>
          <w:rFonts w:ascii="Arial" w:hAnsi="Arial" w:cs="Arial"/>
        </w:rPr>
        <w:t>αSyn degradation pathway</w:t>
      </w:r>
      <w:r w:rsidR="008D560C">
        <w:rPr>
          <w:rFonts w:ascii="Arial" w:hAnsi="Arial" w:cs="Arial"/>
        </w:rPr>
        <w:t>.</w:t>
      </w:r>
    </w:p>
    <w:p w14:paraId="0B04D42C" w14:textId="0BE0A193" w:rsidR="008D560C" w:rsidRPr="008D560C" w:rsidRDefault="00DE51B2" w:rsidP="008D560C">
      <w:r>
        <w:rPr>
          <w:noProof/>
        </w:rPr>
        <w:lastRenderedPageBreak/>
        <w:drawing>
          <wp:inline distT="0" distB="0" distL="0" distR="0" wp14:anchorId="63598211" wp14:editId="2A1D6025">
            <wp:extent cx="6094625" cy="2885704"/>
            <wp:effectExtent l="0" t="0" r="1905" b="0"/>
            <wp:docPr id="866916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369" cy="2888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319027" w14:textId="3068F005" w:rsidR="00A3091F" w:rsidRPr="00D25C2C" w:rsidRDefault="00DE51B2" w:rsidP="00A3091F">
      <w:pPr>
        <w:pStyle w:val="Caption"/>
        <w:jc w:val="both"/>
        <w:rPr>
          <w:rFonts w:ascii="Arial" w:eastAsia="Times New Roman" w:hAnsi="Arial" w:cs="Arial"/>
          <w:color w:val="000000"/>
          <w:lang w:eastAsia="it-IT"/>
        </w:rPr>
      </w:pPr>
      <w:r>
        <w:rPr>
          <w:rFonts w:ascii="Arial" w:hAnsi="Arial" w:cs="Arial"/>
          <w:b/>
          <w:bCs/>
        </w:rPr>
        <w:t xml:space="preserve">Figure S 3 </w:t>
      </w:r>
      <w:r w:rsidR="00A3091F">
        <w:rPr>
          <w:rFonts w:ascii="Arial" w:hAnsi="Arial" w:cs="Arial"/>
          <w:b/>
          <w:bCs/>
        </w:rPr>
        <w:t>(a</w:t>
      </w:r>
      <w:r w:rsidR="00A3091F" w:rsidRPr="00914ADA">
        <w:rPr>
          <w:rFonts w:ascii="Arial" w:hAnsi="Arial" w:cs="Arial"/>
          <w:b/>
          <w:bCs/>
        </w:rPr>
        <w:t>)</w:t>
      </w:r>
      <w:r w:rsidR="00A3091F">
        <w:rPr>
          <w:rFonts w:ascii="Arial" w:hAnsi="Arial" w:cs="Arial"/>
        </w:rPr>
        <w:t xml:space="preserve"> IncuCyte images from 6h timepoint in phagocytosis. Green fluorescence from ATTO 465-labeled </w:t>
      </w:r>
      <w:r w:rsidR="00A3091F" w:rsidRPr="007C25E7">
        <w:rPr>
          <w:rFonts w:ascii="Arial" w:hAnsi="Arial" w:cs="Arial"/>
        </w:rPr>
        <w:t>αSyn PFFs</w:t>
      </w:r>
      <w:r w:rsidR="00A3091F">
        <w:rPr>
          <w:rFonts w:ascii="Arial" w:hAnsi="Arial" w:cs="Arial"/>
        </w:rPr>
        <w:t>. Scale bar 200nm.</w:t>
      </w:r>
      <w:r w:rsidR="00A3091F" w:rsidRPr="00914ADA">
        <w:rPr>
          <w:rFonts w:ascii="Arial" w:hAnsi="Arial" w:cs="Arial"/>
          <w:b/>
          <w:bCs/>
        </w:rPr>
        <w:t xml:space="preserve"> (</w:t>
      </w:r>
      <w:r>
        <w:rPr>
          <w:rFonts w:ascii="Arial" w:hAnsi="Arial" w:cs="Arial"/>
          <w:b/>
          <w:bCs/>
        </w:rPr>
        <w:t>b</w:t>
      </w:r>
      <w:r w:rsidR="00A3091F" w:rsidRPr="00914ADA">
        <w:rPr>
          <w:rFonts w:ascii="Arial" w:hAnsi="Arial" w:cs="Arial"/>
          <w:b/>
          <w:bCs/>
        </w:rPr>
        <w:t xml:space="preserve">) </w:t>
      </w:r>
      <w:r w:rsidR="00A3091F" w:rsidRPr="007C25E7">
        <w:rPr>
          <w:rFonts w:ascii="Arial" w:hAnsi="Arial" w:cs="Arial"/>
        </w:rPr>
        <w:t xml:space="preserve">xCELLigence measurement to assess the cellular impedance. All stimulants given at timepoint 0h. </w:t>
      </w:r>
      <w:r w:rsidR="00A3091F" w:rsidRPr="00914ADA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c</w:t>
      </w:r>
      <w:r w:rsidR="00A3091F" w:rsidRPr="00914ADA">
        <w:rPr>
          <w:rFonts w:ascii="Arial" w:hAnsi="Arial" w:cs="Arial"/>
          <w:b/>
          <w:bCs/>
        </w:rPr>
        <w:t>)</w:t>
      </w:r>
      <w:r w:rsidR="00A3091F" w:rsidRPr="007C25E7">
        <w:rPr>
          <w:rFonts w:ascii="Arial" w:hAnsi="Arial" w:cs="Arial"/>
        </w:rPr>
        <w:t xml:space="preserve"> Statistically significant changes in the microglial cellular impedance detected at 6h timepoint with xCELLigence</w:t>
      </w:r>
      <w:r w:rsidR="00FD0B7C">
        <w:rPr>
          <w:rFonts w:ascii="Arial" w:hAnsi="Arial" w:cs="Arial"/>
        </w:rPr>
        <w:t xml:space="preserve">. </w:t>
      </w:r>
      <w:r w:rsidR="00D3703F">
        <w:rPr>
          <w:rFonts w:ascii="Arial" w:hAnsi="Arial" w:cs="Arial"/>
        </w:rPr>
        <w:t>E</w:t>
      </w:r>
      <w:r w:rsidR="00FD0B7C" w:rsidRPr="007C25E7">
        <w:rPr>
          <w:rFonts w:ascii="Arial" w:hAnsi="Arial" w:cs="Arial"/>
        </w:rPr>
        <w:t xml:space="preserve">rror bar indicating SD. One-way-ANOVA </w:t>
      </w:r>
      <w:r w:rsidR="00D3703F">
        <w:rPr>
          <w:rFonts w:ascii="Arial" w:hAnsi="Arial" w:cs="Arial"/>
        </w:rPr>
        <w:t xml:space="preserve">with </w:t>
      </w:r>
      <w:r w:rsidR="00FD0B7C" w:rsidRPr="007C25E7">
        <w:rPr>
          <w:rFonts w:ascii="Arial" w:hAnsi="Arial" w:cs="Arial"/>
        </w:rPr>
        <w:t>Tukey’s multiple comparisons was used</w:t>
      </w:r>
      <w:r w:rsidR="00E0761D">
        <w:rPr>
          <w:rFonts w:ascii="Arial" w:hAnsi="Arial" w:cs="Arial"/>
        </w:rPr>
        <w:t xml:space="preserve"> to determine statistical significance</w:t>
      </w:r>
      <w:r w:rsidR="00FD0B7C" w:rsidRPr="007C25E7">
        <w:rPr>
          <w:rFonts w:ascii="Arial" w:hAnsi="Arial" w:cs="Arial"/>
        </w:rPr>
        <w:t>. p&lt;0.05=* p&lt;0.01=**, p&lt;0.001=***</w:t>
      </w:r>
      <w:r w:rsidR="00A3091F" w:rsidRPr="007C25E7">
        <w:rPr>
          <w:rFonts w:ascii="Arial" w:hAnsi="Arial" w:cs="Arial"/>
        </w:rPr>
        <w:t>.</w:t>
      </w:r>
      <w:r w:rsidR="00A3091F">
        <w:rPr>
          <w:rFonts w:ascii="Arial" w:hAnsi="Arial" w:cs="Arial"/>
        </w:rPr>
        <w:t xml:space="preserve"> </w:t>
      </w:r>
      <w:r w:rsidR="00A3091F" w:rsidRPr="00914ADA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d</w:t>
      </w:r>
      <w:r w:rsidR="00A3091F" w:rsidRPr="00914ADA">
        <w:rPr>
          <w:rFonts w:ascii="Arial" w:hAnsi="Arial" w:cs="Arial"/>
          <w:b/>
          <w:bCs/>
        </w:rPr>
        <w:t xml:space="preserve">) </w:t>
      </w:r>
      <w:r w:rsidR="00A3091F">
        <w:rPr>
          <w:rFonts w:ascii="Arial" w:hAnsi="Arial" w:cs="Arial"/>
        </w:rPr>
        <w:t xml:space="preserve">Propidium Iodide (ECD-fluorescence) was used to detect the live cells. </w:t>
      </w:r>
      <w:r w:rsidR="00A3091F" w:rsidRPr="00914ADA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e</w:t>
      </w:r>
      <w:r w:rsidR="00A3091F" w:rsidRPr="00914ADA">
        <w:rPr>
          <w:rFonts w:ascii="Arial" w:hAnsi="Arial" w:cs="Arial"/>
          <w:b/>
          <w:bCs/>
        </w:rPr>
        <w:t>)</w:t>
      </w:r>
      <w:r w:rsidR="00A3091F">
        <w:rPr>
          <w:rFonts w:ascii="Arial" w:hAnsi="Arial" w:cs="Arial"/>
        </w:rPr>
        <w:t xml:space="preserve"> The 2-NBDG positive cells (FITC-fluorescence) were gated using SSC-A and FITC-A.</w:t>
      </w:r>
      <w:r w:rsidR="00A3091F" w:rsidRPr="007C25E7">
        <w:rPr>
          <w:rFonts w:ascii="Arial" w:hAnsi="Arial" w:cs="Arial"/>
        </w:rPr>
        <w:t xml:space="preserve"> </w:t>
      </w:r>
    </w:p>
    <w:p w14:paraId="5DE49B95" w14:textId="77777777" w:rsidR="00A3091F" w:rsidRPr="00A3091F" w:rsidRDefault="00A3091F" w:rsidP="00A3091F"/>
    <w:sectPr w:rsidR="00A3091F" w:rsidRPr="00A3091F" w:rsidSect="004A723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Jonna Niskanen" w:date="2024-04-18T16:13:00Z" w:initials="JN">
    <w:p w14:paraId="44CCCE73" w14:textId="34359941" w:rsidR="00E0761D" w:rsidRDefault="00E0761D" w:rsidP="00E0761D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"mailto:kraty@uef.fi"</w:instrText>
      </w:r>
      <w:bookmarkStart w:id="1" w:name="_@_6CADAAE917C440699FB530514D86D56AZ"/>
      <w:r>
        <w:fldChar w:fldCharType="separate"/>
      </w:r>
      <w:bookmarkEnd w:id="1"/>
      <w:r w:rsidRPr="00E0761D">
        <w:rPr>
          <w:rStyle w:val="Mention"/>
          <w:noProof/>
        </w:rPr>
        <w:t>@Katrina Räty</w:t>
      </w:r>
      <w:r>
        <w:fldChar w:fldCharType="end"/>
      </w:r>
      <w:r>
        <w:t xml:space="preserve">  </w:t>
      </w:r>
      <w:r>
        <w:fldChar w:fldCharType="begin"/>
      </w:r>
      <w:r>
        <w:instrText>HYPERLINK "mailto:manakova@uef.fi"</w:instrText>
      </w:r>
      <w:bookmarkStart w:id="2" w:name="_@_BE2A91B9B973428EBD788135D00C3439Z"/>
      <w:r>
        <w:fldChar w:fldCharType="separate"/>
      </w:r>
      <w:bookmarkEnd w:id="2"/>
      <w:r w:rsidRPr="00E0761D">
        <w:rPr>
          <w:rStyle w:val="Mention"/>
          <w:noProof/>
        </w:rPr>
        <w:t>@Sarka Lehtonen</w:t>
      </w:r>
      <w:r>
        <w:fldChar w:fldCharType="end"/>
      </w:r>
      <w:r>
        <w:t xml:space="preserve">  I made changes in this file but forgot to put track changes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44CCCE7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D2276F1" w16cex:dateUtc="2024-04-18T13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44CCCE73" w16cid:durableId="5D2276F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Jonna Niskanen">
    <w15:presenceInfo w15:providerId="AD" w15:userId="S::jonhut@uef.fi::49432d32-a1f6-4f9f-806b-b00f8d5b1aa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232"/>
    <w:rsid w:val="00006F97"/>
    <w:rsid w:val="00035810"/>
    <w:rsid w:val="000C7992"/>
    <w:rsid w:val="001D0362"/>
    <w:rsid w:val="00204D27"/>
    <w:rsid w:val="00274037"/>
    <w:rsid w:val="002F2F3E"/>
    <w:rsid w:val="003C0EAC"/>
    <w:rsid w:val="00454C27"/>
    <w:rsid w:val="004A7232"/>
    <w:rsid w:val="004C16E8"/>
    <w:rsid w:val="005247B7"/>
    <w:rsid w:val="006C4482"/>
    <w:rsid w:val="007D308F"/>
    <w:rsid w:val="007F281F"/>
    <w:rsid w:val="00814099"/>
    <w:rsid w:val="008D4744"/>
    <w:rsid w:val="008D560C"/>
    <w:rsid w:val="008F4B68"/>
    <w:rsid w:val="00A3091F"/>
    <w:rsid w:val="00BA2D76"/>
    <w:rsid w:val="00BF3AAD"/>
    <w:rsid w:val="00C73DCB"/>
    <w:rsid w:val="00D25C2C"/>
    <w:rsid w:val="00D3703F"/>
    <w:rsid w:val="00D45712"/>
    <w:rsid w:val="00DE51B2"/>
    <w:rsid w:val="00E0761D"/>
    <w:rsid w:val="00FD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7B3003D6"/>
  <w15:chartTrackingRefBased/>
  <w15:docId w15:val="{522D09A2-9953-48D7-906D-A47ED8D2B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232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72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fi-FI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72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fi-FI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72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fi-FI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72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fi-FI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72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fi-FI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72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fi-FI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72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fi-FI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72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fi-FI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72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fi-FI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72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72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72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72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72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72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72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72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72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72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fi-FI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72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2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fi-FI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72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7232"/>
    <w:pPr>
      <w:spacing w:before="160"/>
      <w:jc w:val="center"/>
    </w:pPr>
    <w:rPr>
      <w:i/>
      <w:iCs/>
      <w:color w:val="404040" w:themeColor="text1" w:themeTint="BF"/>
      <w:kern w:val="2"/>
      <w:lang w:val="fi-FI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72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7232"/>
    <w:pPr>
      <w:ind w:left="720"/>
      <w:contextualSpacing/>
    </w:pPr>
    <w:rPr>
      <w:kern w:val="2"/>
      <w:lang w:val="fi-FI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72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72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fi-FI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72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723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A723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076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76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761D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76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761D"/>
    <w:rPr>
      <w:b/>
      <w:bCs/>
      <w:kern w:val="0"/>
      <w:sz w:val="20"/>
      <w:szCs w:val="20"/>
      <w:lang w:val="en-US"/>
      <w14:ligatures w14:val="none"/>
    </w:rPr>
  </w:style>
  <w:style w:type="character" w:styleId="Mention">
    <w:name w:val="Mention"/>
    <w:basedOn w:val="DefaultParagraphFont"/>
    <w:uiPriority w:val="99"/>
    <w:unhideWhenUsed/>
    <w:rsid w:val="00E0761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microsoft.com/office/2016/09/relationships/commentsIds" Target="commentsIds.xml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bddd3a-e29e-4828-892a-598c62bf38de" xsi:nil="true"/>
    <lcf76f155ced4ddcb4097134ff3c332f xmlns="f4647660-a83d-4699-8f54-e895e23f82d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60DA9A6D4C5F894993A9F1C3E34D8AC5" ma:contentTypeVersion="18" ma:contentTypeDescription="Luo uusi asiakirja." ma:contentTypeScope="" ma:versionID="5f40ddd0cfc621101d06193c2b574725">
  <xsd:schema xmlns:xsd="http://www.w3.org/2001/XMLSchema" xmlns:xs="http://www.w3.org/2001/XMLSchema" xmlns:p="http://schemas.microsoft.com/office/2006/metadata/properties" xmlns:ns2="f4647660-a83d-4699-8f54-e895e23f82db" xmlns:ns3="2ebddd3a-e29e-4828-892a-598c62bf38de" targetNamespace="http://schemas.microsoft.com/office/2006/metadata/properties" ma:root="true" ma:fieldsID="ceb7487dec292f387bef483eddabc714" ns2:_="" ns3:_="">
    <xsd:import namespace="f4647660-a83d-4699-8f54-e895e23f82db"/>
    <xsd:import namespace="2ebddd3a-e29e-4828-892a-598c62bf38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47660-a83d-4699-8f54-e895e23f82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5ba83825-fb8d-42b2-af4d-523da4d0f3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ddd3a-e29e-4828-892a-598c62bf38d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2d444f-83bb-468a-a66c-132ba0fe4ded}" ma:internalName="TaxCatchAll" ma:showField="CatchAllData" ma:web="2ebddd3a-e29e-4828-892a-598c62bf38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FA0C2B-4A76-439F-AA35-0D4334284624}">
  <ds:schemaRefs>
    <ds:schemaRef ds:uri="http://schemas.microsoft.com/office/2006/metadata/properties"/>
    <ds:schemaRef ds:uri="http://schemas.microsoft.com/office/infopath/2007/PartnerControls"/>
    <ds:schemaRef ds:uri="2ebddd3a-e29e-4828-892a-598c62bf38de"/>
    <ds:schemaRef ds:uri="f4647660-a83d-4699-8f54-e895e23f82db"/>
  </ds:schemaRefs>
</ds:datastoreItem>
</file>

<file path=customXml/itemProps2.xml><?xml version="1.0" encoding="utf-8"?>
<ds:datastoreItem xmlns:ds="http://schemas.openxmlformats.org/officeDocument/2006/customXml" ds:itemID="{05E8B8F2-C525-4FAE-AD01-4E09A8D695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2F0FC5-DE20-4388-BE48-A52F0DA7A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47660-a83d-4699-8f54-e895e23f82db"/>
    <ds:schemaRef ds:uri="2ebddd3a-e29e-4828-892a-598c62bf38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169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Niskanen</dc:creator>
  <cp:keywords/>
  <dc:description/>
  <cp:lastModifiedBy>Jonna Niskanen</cp:lastModifiedBy>
  <cp:revision>23</cp:revision>
  <dcterms:created xsi:type="dcterms:W3CDTF">2024-04-08T07:09:00Z</dcterms:created>
  <dcterms:modified xsi:type="dcterms:W3CDTF">2024-04-18T13:13:00Z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0x01010060DA9A6D4C5F894993A9F1C3E34D8AC5</vt:lpwstr>
  </property>
  <property fmtid="{D5CDD505-2E9C-101B-9397-08002B2CF9AE}" pid="3" name="MediaServiceImageTags">
    <vt:lpwstr/>
  </property>
</Properties>
</file>