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521179" w14:textId="77777777" w:rsidR="00AB28E8" w:rsidRPr="007C25E7" w:rsidRDefault="00AB28E8" w:rsidP="00AB28E8">
      <w:pPr>
        <w:jc w:val="both"/>
        <w:rPr>
          <w:rFonts w:ascii="Arial" w:eastAsia="Times New Roman" w:hAnsi="Arial" w:cs="Arial"/>
          <w:b/>
          <w:color w:val="009193"/>
          <w:sz w:val="28"/>
          <w:szCs w:val="28"/>
          <w:lang w:eastAsia="it-IT"/>
        </w:rPr>
      </w:pPr>
      <w:r w:rsidRPr="007C25E7">
        <w:rPr>
          <w:rFonts w:ascii="Arial" w:eastAsia="Times New Roman" w:hAnsi="Arial" w:cs="Arial"/>
          <w:b/>
          <w:color w:val="009193"/>
          <w:sz w:val="28"/>
          <w:szCs w:val="28"/>
          <w:lang w:eastAsia="it-IT"/>
        </w:rPr>
        <w:t xml:space="preserve">Supplementary images and figures </w:t>
      </w:r>
    </w:p>
    <w:p w14:paraId="2C74F5D9" w14:textId="77777777" w:rsidR="00AB28E8" w:rsidRPr="007C25E7" w:rsidRDefault="00AB28E8" w:rsidP="00AB28E8">
      <w:pPr>
        <w:pStyle w:val="Caption"/>
        <w:keepNext/>
        <w:jc w:val="both"/>
        <w:rPr>
          <w:rFonts w:ascii="Arial" w:hAnsi="Arial" w:cs="Arial"/>
          <w:color w:val="auto"/>
        </w:rPr>
      </w:pPr>
      <w:r w:rsidRPr="007C25E7">
        <w:rPr>
          <w:rFonts w:ascii="Arial" w:hAnsi="Arial" w:cs="Arial"/>
          <w:color w:val="auto"/>
        </w:rPr>
        <w:t xml:space="preserve">Table </w:t>
      </w:r>
      <w:r w:rsidRPr="007C25E7">
        <w:rPr>
          <w:rFonts w:ascii="Arial" w:hAnsi="Arial" w:cs="Arial"/>
          <w:color w:val="auto"/>
        </w:rPr>
        <w:fldChar w:fldCharType="begin"/>
      </w:r>
      <w:r w:rsidRPr="007C25E7">
        <w:rPr>
          <w:rFonts w:ascii="Arial" w:hAnsi="Arial" w:cs="Arial"/>
          <w:color w:val="auto"/>
        </w:rPr>
        <w:instrText xml:space="preserve"> SEQ Table \* ARABIC </w:instrText>
      </w:r>
      <w:r w:rsidRPr="007C25E7">
        <w:rPr>
          <w:rFonts w:ascii="Arial" w:hAnsi="Arial" w:cs="Arial"/>
          <w:color w:val="auto"/>
        </w:rPr>
        <w:fldChar w:fldCharType="separate"/>
      </w:r>
      <w:r w:rsidRPr="007C25E7">
        <w:rPr>
          <w:rFonts w:ascii="Arial" w:hAnsi="Arial" w:cs="Arial"/>
          <w:color w:val="auto"/>
        </w:rPr>
        <w:t>1</w:t>
      </w:r>
      <w:r w:rsidRPr="007C25E7">
        <w:rPr>
          <w:rFonts w:ascii="Arial" w:hAnsi="Arial" w:cs="Arial"/>
          <w:color w:val="auto"/>
        </w:rPr>
        <w:fldChar w:fldCharType="end"/>
      </w:r>
      <w:r w:rsidRPr="007C25E7">
        <w:rPr>
          <w:rFonts w:ascii="Arial" w:hAnsi="Arial" w:cs="Arial"/>
          <w:color w:val="auto"/>
        </w:rPr>
        <w:t xml:space="preserve"> hiPSC lines utilized in this study</w:t>
      </w:r>
    </w:p>
    <w:p w14:paraId="1E0843BA" w14:textId="77777777" w:rsidR="00AB28E8" w:rsidRPr="007C25E7" w:rsidRDefault="00AB28E8" w:rsidP="00AB28E8">
      <w:pPr>
        <w:jc w:val="both"/>
        <w:rPr>
          <w:rFonts w:ascii="Arial" w:eastAsia="Times New Roman" w:hAnsi="Arial" w:cs="Arial"/>
          <w:color w:val="000000"/>
          <w:lang w:eastAsia="it-IT"/>
        </w:rPr>
      </w:pPr>
      <w:r w:rsidRPr="007C25E7">
        <w:rPr>
          <w:rFonts w:ascii="Arial" w:eastAsia="Times New Roman" w:hAnsi="Arial" w:cs="Arial"/>
          <w:noProof/>
          <w:color w:val="000000"/>
          <w:lang w:eastAsia="it-IT"/>
        </w:rPr>
        <w:drawing>
          <wp:inline distT="0" distB="0" distL="0" distR="0" wp14:anchorId="13A89E55" wp14:editId="46CED17C">
            <wp:extent cx="3590925" cy="1030605"/>
            <wp:effectExtent l="0" t="0" r="9525" b="0"/>
            <wp:docPr id="45" name="Picture 45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 descr="A black background with a black squar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1030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1AEB65" w14:textId="77777777" w:rsidR="00AB28E8" w:rsidRPr="007C25E7" w:rsidRDefault="00AB28E8" w:rsidP="00AB28E8">
      <w:pPr>
        <w:keepNext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07475B24" wp14:editId="5780266E">
            <wp:extent cx="6117860" cy="5600700"/>
            <wp:effectExtent l="0" t="0" r="0" b="0"/>
            <wp:docPr id="11" name="Picture 1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806" cy="56052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C55DB4" w14:textId="77777777" w:rsidR="00AB28E8" w:rsidRPr="007C25E7" w:rsidRDefault="00AB28E8" w:rsidP="00AB28E8">
      <w:pPr>
        <w:pStyle w:val="Caption"/>
        <w:jc w:val="both"/>
        <w:rPr>
          <w:rFonts w:ascii="Arial" w:eastAsia="Times New Roman" w:hAnsi="Arial" w:cs="Arial"/>
          <w:color w:val="000000"/>
          <w:lang w:eastAsia="it-IT"/>
        </w:rPr>
      </w:pPr>
      <w:r w:rsidRPr="00914ADA">
        <w:rPr>
          <w:rFonts w:ascii="Arial" w:hAnsi="Arial" w:cs="Arial"/>
          <w:b/>
          <w:bCs/>
        </w:rPr>
        <w:t xml:space="preserve">Figure S </w:t>
      </w:r>
      <w:r w:rsidRPr="00914ADA">
        <w:rPr>
          <w:rFonts w:ascii="Arial" w:hAnsi="Arial" w:cs="Arial"/>
          <w:b/>
          <w:bCs/>
        </w:rPr>
        <w:fldChar w:fldCharType="begin"/>
      </w:r>
      <w:r w:rsidRPr="00914ADA">
        <w:rPr>
          <w:rFonts w:ascii="Arial" w:hAnsi="Arial" w:cs="Arial"/>
          <w:b/>
          <w:bCs/>
        </w:rPr>
        <w:instrText xml:space="preserve"> SEQ Figure_S \* ARABIC </w:instrText>
      </w:r>
      <w:r w:rsidRPr="00914ADA">
        <w:rPr>
          <w:rFonts w:ascii="Arial" w:hAnsi="Arial" w:cs="Arial"/>
          <w:b/>
          <w:bCs/>
        </w:rPr>
        <w:fldChar w:fldCharType="separate"/>
      </w:r>
      <w:r w:rsidRPr="00914ADA">
        <w:rPr>
          <w:rFonts w:ascii="Arial" w:hAnsi="Arial" w:cs="Arial"/>
          <w:b/>
          <w:bCs/>
        </w:rPr>
        <w:t>1</w:t>
      </w:r>
      <w:r w:rsidRPr="00914ADA">
        <w:rPr>
          <w:rFonts w:ascii="Arial" w:hAnsi="Arial" w:cs="Arial"/>
          <w:b/>
          <w:bCs/>
        </w:rPr>
        <w:fldChar w:fldCharType="end"/>
      </w:r>
      <w:r w:rsidRPr="00914ADA">
        <w:rPr>
          <w:rFonts w:ascii="Arial" w:hAnsi="Arial" w:cs="Arial"/>
          <w:b/>
          <w:bCs/>
        </w:rPr>
        <w:t xml:space="preserve"> (a)</w:t>
      </w:r>
      <w:r w:rsidRPr="007C25E7">
        <w:rPr>
          <w:rFonts w:ascii="Arial" w:hAnsi="Arial" w:cs="Arial"/>
        </w:rPr>
        <w:t xml:space="preserve"> Representative ICC images of microglial markers IBA1 (green), TMEM119 (red), P2RY12 (green), TREM2 (red), and CX3CL1 (green). Scale bar 50µm. </w:t>
      </w:r>
      <w:r w:rsidRPr="00914ADA">
        <w:rPr>
          <w:rFonts w:ascii="Arial" w:hAnsi="Arial" w:cs="Arial"/>
          <w:b/>
          <w:bCs/>
        </w:rPr>
        <w:t>(b)</w:t>
      </w:r>
      <w:r w:rsidRPr="007C25E7">
        <w:rPr>
          <w:rFonts w:ascii="Arial" w:hAnsi="Arial" w:cs="Arial"/>
        </w:rPr>
        <w:t xml:space="preserve"> Phagocytosis of ATTO 465-labeled αSyn PFFs with different concentrations. </w:t>
      </w:r>
      <w:r w:rsidRPr="00914ADA">
        <w:rPr>
          <w:rFonts w:ascii="Arial" w:hAnsi="Arial" w:cs="Arial"/>
          <w:b/>
          <w:bCs/>
        </w:rPr>
        <w:t>(c)</w:t>
      </w:r>
      <w:r w:rsidRPr="007C25E7">
        <w:rPr>
          <w:rFonts w:ascii="Arial" w:hAnsi="Arial" w:cs="Arial"/>
        </w:rPr>
        <w:t xml:space="preserve"> LDH release measurement used as indicator for cytotoxicity. 0.5µM and 1µM concentrations tested over time. </w:t>
      </w:r>
      <w:r w:rsidRPr="00914ADA">
        <w:rPr>
          <w:rFonts w:ascii="Arial" w:hAnsi="Arial" w:cs="Arial"/>
          <w:b/>
          <w:bCs/>
        </w:rPr>
        <w:t>(d)</w:t>
      </w:r>
      <w:r w:rsidRPr="007C25E7">
        <w:rPr>
          <w:rFonts w:ascii="Arial" w:hAnsi="Arial" w:cs="Arial"/>
        </w:rPr>
        <w:t xml:space="preserve"> LDH release used to detect cytotoxicity of 0.5µM αSyn PFFs + IFNγ 20ng/ml. </w:t>
      </w:r>
      <w:r w:rsidRPr="00914ADA">
        <w:rPr>
          <w:rFonts w:ascii="Arial" w:hAnsi="Arial" w:cs="Arial"/>
          <w:b/>
          <w:bCs/>
        </w:rPr>
        <w:t>(e)</w:t>
      </w:r>
      <w:r>
        <w:rPr>
          <w:rFonts w:ascii="Arial" w:hAnsi="Arial" w:cs="Arial"/>
        </w:rPr>
        <w:t xml:space="preserve"> IncuCyte images from 6h timepoint in phagocytosis. Green fluorescence from ATTO 465-labeled </w:t>
      </w:r>
      <w:r w:rsidRPr="007C25E7">
        <w:rPr>
          <w:rFonts w:ascii="Arial" w:hAnsi="Arial" w:cs="Arial"/>
        </w:rPr>
        <w:t>αSyn PFFs</w:t>
      </w:r>
      <w:r>
        <w:rPr>
          <w:rFonts w:ascii="Arial" w:hAnsi="Arial" w:cs="Arial"/>
        </w:rPr>
        <w:t>. Scale bar 200nm.</w:t>
      </w:r>
      <w:r w:rsidRPr="00914ADA">
        <w:rPr>
          <w:rFonts w:ascii="Arial" w:hAnsi="Arial" w:cs="Arial"/>
          <w:b/>
          <w:bCs/>
        </w:rPr>
        <w:t xml:space="preserve"> (f) </w:t>
      </w:r>
      <w:r w:rsidRPr="007C25E7">
        <w:rPr>
          <w:rFonts w:ascii="Arial" w:hAnsi="Arial" w:cs="Arial"/>
        </w:rPr>
        <w:t xml:space="preserve">xCELLigence measurement to assess the cellular impedance. All stimulants given at timepoint 0h. </w:t>
      </w:r>
      <w:r w:rsidRPr="00914ADA">
        <w:rPr>
          <w:rFonts w:ascii="Arial" w:hAnsi="Arial" w:cs="Arial"/>
          <w:b/>
          <w:bCs/>
        </w:rPr>
        <w:t>(g)</w:t>
      </w:r>
      <w:r w:rsidRPr="007C25E7">
        <w:rPr>
          <w:rFonts w:ascii="Arial" w:hAnsi="Arial" w:cs="Arial"/>
        </w:rPr>
        <w:t xml:space="preserve"> Statistically significant changes in the microglial cellular impedance detected at 6h timepoint with xCELLigence.</w:t>
      </w:r>
      <w:r>
        <w:rPr>
          <w:rFonts w:ascii="Arial" w:hAnsi="Arial" w:cs="Arial"/>
        </w:rPr>
        <w:t xml:space="preserve"> </w:t>
      </w:r>
      <w:r w:rsidRPr="00914ADA">
        <w:rPr>
          <w:rFonts w:ascii="Arial" w:hAnsi="Arial" w:cs="Arial"/>
          <w:b/>
          <w:bCs/>
        </w:rPr>
        <w:t xml:space="preserve">(h) </w:t>
      </w:r>
      <w:r>
        <w:rPr>
          <w:rFonts w:ascii="Arial" w:hAnsi="Arial" w:cs="Arial"/>
        </w:rPr>
        <w:t xml:space="preserve">Propidium Iodide (ECD-fluorescence) was used to detect the live cells. </w:t>
      </w:r>
      <w:r w:rsidRPr="00914ADA">
        <w:rPr>
          <w:rFonts w:ascii="Arial" w:hAnsi="Arial" w:cs="Arial"/>
          <w:b/>
          <w:bCs/>
        </w:rPr>
        <w:t>(i)</w:t>
      </w:r>
      <w:r>
        <w:rPr>
          <w:rFonts w:ascii="Arial" w:hAnsi="Arial" w:cs="Arial"/>
        </w:rPr>
        <w:t xml:space="preserve"> The 2-NBDG positive cells (FITC-fluorescence) were gated using SSC-A and FITC-A.</w:t>
      </w:r>
      <w:r w:rsidRPr="007C25E7">
        <w:rPr>
          <w:rFonts w:ascii="Arial" w:hAnsi="Arial" w:cs="Arial"/>
        </w:rPr>
        <w:t xml:space="preserve"> All graphs error bar indicating SD. One-way-ANOVA was used to determine statistical differences. Tukey’s multiple comparisons was used. p&lt;0.05=* p&lt;0.01=**, p&lt;0.001=***</w:t>
      </w:r>
    </w:p>
    <w:p w14:paraId="04C6D9AA" w14:textId="77777777" w:rsidR="00F35240" w:rsidRDefault="00F35240"/>
    <w:sectPr w:rsidR="00F35240" w:rsidSect="00312E9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8E8"/>
    <w:rsid w:val="00312E95"/>
    <w:rsid w:val="00342DA6"/>
    <w:rsid w:val="005868F4"/>
    <w:rsid w:val="00703469"/>
    <w:rsid w:val="00753CA0"/>
    <w:rsid w:val="007D23AF"/>
    <w:rsid w:val="0090563E"/>
    <w:rsid w:val="00AA3094"/>
    <w:rsid w:val="00AB28E8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51C641"/>
  <w15:chartTrackingRefBased/>
  <w15:docId w15:val="{8DAF10C4-4357-4EC3-AC4E-DCCE96051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28E8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B28E8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1045</Characters>
  <Application>Microsoft Office Word</Application>
  <DocSecurity>0</DocSecurity>
  <Lines>8</Lines>
  <Paragraphs>2</Paragraphs>
  <ScaleCrop>false</ScaleCrop>
  <Company>Springer Nature</Company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2024-03-15T14:21:00Z</dcterms:created>
  <dcterms:modified xsi:type="dcterms:W3CDTF">2024-03-15T14:21:00Z</dcterms:modified>
</cp:coreProperties>
</file>