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CFBF7" w14:textId="2911FB54" w:rsidR="00F753D0" w:rsidRPr="00D91F09" w:rsidRDefault="00E30BFC"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t>Supplementary M</w:t>
      </w:r>
      <w:bookmarkStart w:id="0" w:name="_GoBack"/>
      <w:bookmarkEnd w:id="0"/>
      <w:r>
        <w:rPr>
          <w:rFonts w:ascii="Times New Roman" w:hAnsi="Times New Roman" w:cs="Times New Roman"/>
          <w:b/>
          <w:sz w:val="24"/>
          <w:szCs w:val="24"/>
        </w:rPr>
        <w:t>aterial 1</w:t>
      </w:r>
    </w:p>
    <w:p w14:paraId="2B47659F" w14:textId="181497A5" w:rsidR="00D161A5" w:rsidRPr="00D91F09" w:rsidRDefault="00D161A5" w:rsidP="00D91F09">
      <w:pPr>
        <w:spacing w:line="480" w:lineRule="auto"/>
        <w:jc w:val="both"/>
        <w:rPr>
          <w:rFonts w:ascii="Times New Roman" w:hAnsi="Times New Roman" w:cs="Times New Roman"/>
          <w:b/>
          <w:sz w:val="24"/>
          <w:szCs w:val="24"/>
          <w:lang w:eastAsia="en-GB"/>
        </w:rPr>
      </w:pPr>
      <w:r w:rsidRPr="00D91F09">
        <w:rPr>
          <w:rFonts w:ascii="Times New Roman" w:hAnsi="Times New Roman" w:cs="Times New Roman"/>
          <w:b/>
          <w:sz w:val="24"/>
          <w:szCs w:val="24"/>
        </w:rPr>
        <w:t xml:space="preserve">Shallot </w:t>
      </w:r>
      <w:r w:rsidRPr="00D91F09">
        <w:rPr>
          <w:rFonts w:ascii="Times New Roman" w:hAnsi="Times New Roman" w:cs="Times New Roman"/>
          <w:i/>
          <w:sz w:val="24"/>
          <w:szCs w:val="24"/>
        </w:rPr>
        <w:t xml:space="preserve">(Allium ascalonicum </w:t>
      </w:r>
      <w:r w:rsidRPr="00D91F09">
        <w:rPr>
          <w:rFonts w:ascii="Times New Roman" w:hAnsi="Times New Roman" w:cs="Times New Roman"/>
          <w:sz w:val="24"/>
          <w:szCs w:val="24"/>
        </w:rPr>
        <w:t>L.)</w:t>
      </w:r>
      <w:r w:rsidR="009B635D">
        <w:rPr>
          <w:rFonts w:ascii="Times New Roman" w:hAnsi="Times New Roman" w:cs="Times New Roman"/>
          <w:b/>
          <w:sz w:val="24"/>
          <w:szCs w:val="24"/>
        </w:rPr>
        <w:t>-</w:t>
      </w:r>
      <w:r w:rsidRPr="00D91F09">
        <w:rPr>
          <w:rFonts w:ascii="Times New Roman" w:hAnsi="Times New Roman" w:cs="Times New Roman"/>
          <w:b/>
          <w:sz w:val="24"/>
          <w:szCs w:val="24"/>
        </w:rPr>
        <w:t xml:space="preserve">enriched Plantain </w:t>
      </w:r>
      <w:r w:rsidRPr="00D91F09">
        <w:rPr>
          <w:rFonts w:ascii="Times New Roman" w:hAnsi="Times New Roman" w:cs="Times New Roman"/>
          <w:bCs/>
          <w:color w:val="000000" w:themeColor="text1"/>
          <w:sz w:val="24"/>
          <w:szCs w:val="24"/>
        </w:rPr>
        <w:t>(</w:t>
      </w:r>
      <w:r w:rsidRPr="00D91F09">
        <w:rPr>
          <w:rFonts w:ascii="Times New Roman" w:hAnsi="Times New Roman" w:cs="Times New Roman"/>
          <w:bCs/>
          <w:i/>
          <w:iCs/>
          <w:color w:val="000000" w:themeColor="text1"/>
          <w:sz w:val="24"/>
          <w:szCs w:val="24"/>
        </w:rPr>
        <w:t xml:space="preserve">Musa paradisiaca </w:t>
      </w:r>
      <w:r w:rsidRPr="00D91F09">
        <w:rPr>
          <w:rFonts w:ascii="Times New Roman" w:hAnsi="Times New Roman" w:cs="Times New Roman"/>
          <w:bCs/>
          <w:color w:val="000000" w:themeColor="text1"/>
          <w:sz w:val="24"/>
          <w:szCs w:val="24"/>
        </w:rPr>
        <w:t xml:space="preserve">L.) </w:t>
      </w:r>
      <w:r w:rsidRPr="00D91F09">
        <w:rPr>
          <w:rFonts w:ascii="Times New Roman" w:hAnsi="Times New Roman" w:cs="Times New Roman"/>
          <w:b/>
          <w:sz w:val="24"/>
          <w:szCs w:val="24"/>
        </w:rPr>
        <w:t>Biscuits ameliorates Diabetes, Hypertension and Oxidative Stress in S</w:t>
      </w:r>
      <w:r w:rsidR="00A62A2F">
        <w:rPr>
          <w:rFonts w:ascii="Times New Roman" w:hAnsi="Times New Roman" w:cs="Times New Roman"/>
          <w:b/>
          <w:bCs/>
          <w:sz w:val="24"/>
          <w:szCs w:val="24"/>
        </w:rPr>
        <w:t>treptozotocin/High-</w:t>
      </w:r>
      <w:r w:rsidRPr="00D91F09">
        <w:rPr>
          <w:rFonts w:ascii="Times New Roman" w:hAnsi="Times New Roman" w:cs="Times New Roman"/>
          <w:b/>
          <w:bCs/>
          <w:sz w:val="24"/>
          <w:szCs w:val="24"/>
        </w:rPr>
        <w:t>Fat Diet</w:t>
      </w:r>
      <w:r w:rsidRPr="00D91F09">
        <w:rPr>
          <w:rFonts w:ascii="Times New Roman" w:hAnsi="Times New Roman" w:cs="Times New Roman"/>
          <w:b/>
          <w:sz w:val="24"/>
          <w:szCs w:val="24"/>
        </w:rPr>
        <w:t xml:space="preserve"> induced Diabetic Rats.</w:t>
      </w:r>
    </w:p>
    <w:p w14:paraId="6D1240DA" w14:textId="77777777" w:rsidR="00D161A5" w:rsidRPr="00D91F09" w:rsidRDefault="00D161A5" w:rsidP="00D91F09">
      <w:pPr>
        <w:autoSpaceDE w:val="0"/>
        <w:autoSpaceDN w:val="0"/>
        <w:adjustRightInd w:val="0"/>
        <w:spacing w:line="480" w:lineRule="auto"/>
        <w:jc w:val="center"/>
        <w:rPr>
          <w:rFonts w:ascii="Times New Roman" w:hAnsi="Times New Roman" w:cs="Times New Roman"/>
          <w:b/>
          <w:sz w:val="24"/>
          <w:szCs w:val="24"/>
        </w:rPr>
      </w:pPr>
    </w:p>
    <w:p w14:paraId="704EDEF5" w14:textId="15A7BA3C" w:rsidR="00D161A5" w:rsidRPr="00D91F09" w:rsidRDefault="00D161A5" w:rsidP="00D91F09">
      <w:pPr>
        <w:autoSpaceDE w:val="0"/>
        <w:autoSpaceDN w:val="0"/>
        <w:adjustRightInd w:val="0"/>
        <w:spacing w:line="480" w:lineRule="auto"/>
        <w:rPr>
          <w:rFonts w:ascii="Times New Roman" w:hAnsi="Times New Roman" w:cs="Times New Roman"/>
          <w:b/>
          <w:sz w:val="24"/>
          <w:szCs w:val="24"/>
          <w:vertAlign w:val="superscript"/>
        </w:rPr>
      </w:pPr>
      <w:r w:rsidRPr="00D91F09">
        <w:rPr>
          <w:rFonts w:ascii="Times New Roman" w:hAnsi="Times New Roman" w:cs="Times New Roman"/>
          <w:b/>
          <w:sz w:val="24"/>
          <w:szCs w:val="24"/>
        </w:rPr>
        <w:t>Aanuoluwapo Elizabeth Adeyemo</w:t>
      </w:r>
      <w:r w:rsidRPr="00D91F09">
        <w:rPr>
          <w:rFonts w:ascii="Times New Roman" w:hAnsi="Times New Roman" w:cs="Times New Roman"/>
          <w:b/>
          <w:sz w:val="24"/>
          <w:szCs w:val="24"/>
          <w:vertAlign w:val="superscript"/>
        </w:rPr>
        <w:t>1*</w:t>
      </w:r>
      <w:r w:rsidRPr="00D91F09">
        <w:rPr>
          <w:rFonts w:ascii="Times New Roman" w:hAnsi="Times New Roman" w:cs="Times New Roman"/>
          <w:b/>
          <w:sz w:val="24"/>
          <w:szCs w:val="24"/>
        </w:rPr>
        <w:t>, Sunday Solomon Josiah</w:t>
      </w:r>
      <w:r w:rsidRPr="00D91F09">
        <w:rPr>
          <w:rFonts w:ascii="Times New Roman" w:hAnsi="Times New Roman" w:cs="Times New Roman"/>
          <w:b/>
          <w:sz w:val="24"/>
          <w:szCs w:val="24"/>
          <w:vertAlign w:val="superscript"/>
        </w:rPr>
        <w:t>2</w:t>
      </w:r>
      <w:r w:rsidR="00CB0B8B">
        <w:rPr>
          <w:rFonts w:ascii="Times New Roman" w:hAnsi="Times New Roman" w:cs="Times New Roman"/>
          <w:b/>
          <w:sz w:val="24"/>
          <w:szCs w:val="24"/>
          <w:vertAlign w:val="superscript"/>
        </w:rPr>
        <w:t>,3</w:t>
      </w:r>
      <w:r w:rsidRPr="00D91F09">
        <w:rPr>
          <w:rFonts w:ascii="Times New Roman" w:hAnsi="Times New Roman" w:cs="Times New Roman"/>
          <w:b/>
          <w:sz w:val="24"/>
          <w:szCs w:val="24"/>
        </w:rPr>
        <w:t>, Olufunmilayo Sade Omoba</w:t>
      </w:r>
      <w:r w:rsidRPr="00D91F09">
        <w:rPr>
          <w:rFonts w:ascii="Times New Roman" w:hAnsi="Times New Roman" w:cs="Times New Roman"/>
          <w:b/>
          <w:sz w:val="24"/>
          <w:szCs w:val="24"/>
          <w:vertAlign w:val="superscript"/>
        </w:rPr>
        <w:t>1</w:t>
      </w:r>
      <w:r w:rsidRPr="00D91F09">
        <w:rPr>
          <w:rFonts w:ascii="Times New Roman" w:hAnsi="Times New Roman" w:cs="Times New Roman"/>
          <w:b/>
          <w:sz w:val="24"/>
          <w:szCs w:val="24"/>
        </w:rPr>
        <w:t>, Aderonke Ibidunni Olagunju</w:t>
      </w:r>
      <w:r w:rsidRPr="00D91F09">
        <w:rPr>
          <w:rFonts w:ascii="Times New Roman" w:hAnsi="Times New Roman" w:cs="Times New Roman"/>
          <w:b/>
          <w:sz w:val="24"/>
          <w:szCs w:val="24"/>
          <w:vertAlign w:val="superscript"/>
        </w:rPr>
        <w:t>1</w:t>
      </w:r>
    </w:p>
    <w:p w14:paraId="1CCC4F46" w14:textId="77777777" w:rsidR="00D161A5" w:rsidRPr="00D91F09" w:rsidRDefault="00D161A5" w:rsidP="00D91F09">
      <w:pPr>
        <w:autoSpaceDE w:val="0"/>
        <w:autoSpaceDN w:val="0"/>
        <w:adjustRightInd w:val="0"/>
        <w:spacing w:line="480" w:lineRule="auto"/>
        <w:jc w:val="center"/>
        <w:rPr>
          <w:rFonts w:ascii="Times New Roman" w:hAnsi="Times New Roman" w:cs="Times New Roman"/>
          <w:sz w:val="24"/>
          <w:szCs w:val="24"/>
        </w:rPr>
      </w:pPr>
    </w:p>
    <w:p w14:paraId="6509E40E" w14:textId="77777777" w:rsidR="00D161A5" w:rsidRPr="00D91F09" w:rsidRDefault="00D161A5" w:rsidP="00D91F09">
      <w:pPr>
        <w:shd w:val="clear" w:color="auto" w:fill="FFFFFF"/>
        <w:spacing w:line="480" w:lineRule="auto"/>
        <w:jc w:val="both"/>
        <w:rPr>
          <w:rFonts w:ascii="Times New Roman" w:hAnsi="Times New Roman" w:cs="Times New Roman"/>
          <w:sz w:val="24"/>
          <w:szCs w:val="24"/>
        </w:rPr>
      </w:pPr>
      <w:r w:rsidRPr="00D91F09">
        <w:rPr>
          <w:rFonts w:ascii="Times New Roman" w:hAnsi="Times New Roman" w:cs="Times New Roman"/>
          <w:sz w:val="24"/>
          <w:szCs w:val="24"/>
          <w:vertAlign w:val="superscript"/>
        </w:rPr>
        <w:t>1</w:t>
      </w:r>
      <w:r w:rsidRPr="00D91F09">
        <w:rPr>
          <w:rFonts w:ascii="Times New Roman" w:hAnsi="Times New Roman" w:cs="Times New Roman"/>
          <w:sz w:val="24"/>
          <w:szCs w:val="24"/>
        </w:rPr>
        <w:t xml:space="preserve">Department of Food Science and Technology, School of Agriculture and Agricultural Technology, Federal University of Technology, P.M.B. 704, Akure 340252, Nigeria. </w:t>
      </w:r>
      <w:hyperlink r:id="rId8" w:history="1">
        <w:r w:rsidRPr="00D91F09">
          <w:rPr>
            <w:rStyle w:val="Hyperlink"/>
            <w:rFonts w:ascii="Times New Roman" w:hAnsi="Times New Roman" w:cs="Times New Roman"/>
            <w:color w:val="auto"/>
            <w:sz w:val="24"/>
            <w:szCs w:val="24"/>
          </w:rPr>
          <w:t>adeyemoelizabeth90@gmail.com</w:t>
        </w:r>
      </w:hyperlink>
      <w:r w:rsidRPr="00D91F09">
        <w:rPr>
          <w:rFonts w:ascii="Times New Roman" w:hAnsi="Times New Roman" w:cs="Times New Roman"/>
          <w:sz w:val="24"/>
          <w:szCs w:val="24"/>
        </w:rPr>
        <w:t xml:space="preserve"> (A.E.A; ID: </w:t>
      </w:r>
      <w:hyperlink r:id="rId9"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 xml:space="preserve">), </w:t>
      </w:r>
      <w:hyperlink r:id="rId10" w:history="1">
        <w:r w:rsidRPr="00D91F09">
          <w:rPr>
            <w:rStyle w:val="Hyperlink"/>
            <w:rFonts w:ascii="Times New Roman" w:hAnsi="Times New Roman" w:cs="Times New Roman"/>
            <w:color w:val="auto"/>
            <w:sz w:val="24"/>
            <w:szCs w:val="24"/>
          </w:rPr>
          <w:t>osomoba@futa.edu.ng</w:t>
        </w:r>
      </w:hyperlink>
      <w:r w:rsidRPr="00D91F09">
        <w:rPr>
          <w:rFonts w:ascii="Times New Roman" w:hAnsi="Times New Roman" w:cs="Times New Roman"/>
          <w:sz w:val="24"/>
          <w:szCs w:val="24"/>
        </w:rPr>
        <w:t xml:space="preserve"> (O.S.O; ID: </w:t>
      </w:r>
      <w:hyperlink r:id="rId11"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 xml:space="preserve">), </w:t>
      </w:r>
      <w:hyperlink r:id="rId12" w:history="1">
        <w:r w:rsidRPr="00D91F09">
          <w:rPr>
            <w:rStyle w:val="Hyperlink"/>
            <w:rFonts w:ascii="Times New Roman" w:hAnsi="Times New Roman" w:cs="Times New Roman"/>
            <w:color w:val="auto"/>
            <w:sz w:val="24"/>
            <w:szCs w:val="24"/>
          </w:rPr>
          <w:t>aiolagunju@futa.edu.ng</w:t>
        </w:r>
      </w:hyperlink>
      <w:r w:rsidRPr="00D91F09">
        <w:rPr>
          <w:rFonts w:ascii="Times New Roman" w:hAnsi="Times New Roman" w:cs="Times New Roman"/>
          <w:sz w:val="24"/>
          <w:szCs w:val="24"/>
        </w:rPr>
        <w:t xml:space="preserve"> (A.I.O; ID: </w:t>
      </w:r>
      <w:hyperlink r:id="rId13"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w:t>
      </w:r>
    </w:p>
    <w:p w14:paraId="477ECCB2" w14:textId="6CD3D6F4" w:rsidR="00D161A5" w:rsidRDefault="00D161A5" w:rsidP="00D91F09">
      <w:pPr>
        <w:autoSpaceDE w:val="0"/>
        <w:autoSpaceDN w:val="0"/>
        <w:adjustRightInd w:val="0"/>
        <w:spacing w:line="480" w:lineRule="auto"/>
        <w:jc w:val="both"/>
        <w:rPr>
          <w:rStyle w:val="Hyperlink"/>
          <w:rFonts w:ascii="Times New Roman" w:hAnsi="Times New Roman" w:cs="Times New Roman"/>
          <w:color w:val="auto"/>
          <w:sz w:val="24"/>
          <w:szCs w:val="24"/>
        </w:rPr>
      </w:pPr>
      <w:r w:rsidRPr="00D91F09">
        <w:rPr>
          <w:rFonts w:ascii="Times New Roman" w:hAnsi="Times New Roman" w:cs="Times New Roman"/>
          <w:sz w:val="24"/>
          <w:szCs w:val="24"/>
          <w:vertAlign w:val="superscript"/>
        </w:rPr>
        <w:t>2</w:t>
      </w:r>
      <w:r w:rsidRPr="00D91F09">
        <w:rPr>
          <w:rFonts w:ascii="Times New Roman" w:hAnsi="Times New Roman" w:cs="Times New Roman"/>
          <w:sz w:val="24"/>
          <w:szCs w:val="24"/>
        </w:rPr>
        <w:t xml:space="preserve">Department of Biochemistry, School of Life Sciences, Federal University of Technology, P.M.B. 704, Akure 340252, Nigeria. </w:t>
      </w:r>
      <w:hyperlink r:id="rId14" w:history="1">
        <w:r w:rsidRPr="00D91F09">
          <w:rPr>
            <w:rStyle w:val="Hyperlink"/>
            <w:rFonts w:ascii="Times New Roman" w:hAnsi="Times New Roman" w:cs="Times New Roman"/>
            <w:color w:val="auto"/>
            <w:sz w:val="24"/>
            <w:szCs w:val="24"/>
          </w:rPr>
          <w:t>ssjosiah@futa.edu.ng</w:t>
        </w:r>
      </w:hyperlink>
      <w:r w:rsidRPr="00D91F09">
        <w:rPr>
          <w:rFonts w:ascii="Times New Roman" w:hAnsi="Times New Roman" w:cs="Times New Roman"/>
          <w:sz w:val="24"/>
          <w:szCs w:val="24"/>
        </w:rPr>
        <w:t xml:space="preserve"> (S.S.J; ID: </w:t>
      </w:r>
      <w:hyperlink r:id="rId15" w:history="1">
        <w:r w:rsidRPr="00D91F09">
          <w:rPr>
            <w:rStyle w:val="Hyperlink"/>
            <w:rFonts w:ascii="Times New Roman" w:hAnsi="Times New Roman" w:cs="Times New Roman"/>
            <w:color w:val="auto"/>
            <w:sz w:val="24"/>
            <w:szCs w:val="24"/>
          </w:rPr>
          <w:t>https://orcid.org/0000-0003-3447-8048</w:t>
        </w:r>
      </w:hyperlink>
      <w:r w:rsidRPr="00D91F09">
        <w:rPr>
          <w:rStyle w:val="Hyperlink"/>
          <w:rFonts w:ascii="Times New Roman" w:hAnsi="Times New Roman" w:cs="Times New Roman"/>
          <w:color w:val="auto"/>
          <w:sz w:val="24"/>
          <w:szCs w:val="24"/>
        </w:rPr>
        <w:t>)</w:t>
      </w:r>
    </w:p>
    <w:p w14:paraId="6689216B" w14:textId="77777777" w:rsidR="00042E35" w:rsidRDefault="00042E35" w:rsidP="00042E3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Department of Clinical and Biomedical Sciences, Faculty of Health and Life Sciences, University of Exeter, EX4 4PS, Exeter, United Kingdom.</w:t>
      </w:r>
    </w:p>
    <w:p w14:paraId="15EA3273" w14:textId="77777777" w:rsidR="00042E35" w:rsidRPr="00D91F09" w:rsidRDefault="00042E35" w:rsidP="00D91F09">
      <w:pPr>
        <w:autoSpaceDE w:val="0"/>
        <w:autoSpaceDN w:val="0"/>
        <w:adjustRightInd w:val="0"/>
        <w:spacing w:line="480" w:lineRule="auto"/>
        <w:jc w:val="both"/>
        <w:rPr>
          <w:rFonts w:ascii="Times New Roman" w:hAnsi="Times New Roman" w:cs="Times New Roman"/>
          <w:sz w:val="24"/>
          <w:szCs w:val="24"/>
        </w:rPr>
      </w:pPr>
    </w:p>
    <w:p w14:paraId="483C8F89" w14:textId="6BA0BD2C" w:rsidR="00D161A5" w:rsidRPr="00D91F09" w:rsidRDefault="00D161A5" w:rsidP="00D91F09">
      <w:pPr>
        <w:shd w:val="clear" w:color="auto" w:fill="FFFFFF"/>
        <w:spacing w:line="480" w:lineRule="auto"/>
        <w:jc w:val="both"/>
        <w:rPr>
          <w:rFonts w:ascii="Times New Roman" w:hAnsi="Times New Roman" w:cs="Times New Roman"/>
          <w:sz w:val="24"/>
          <w:szCs w:val="24"/>
        </w:rPr>
      </w:pPr>
    </w:p>
    <w:p w14:paraId="565B65D7" w14:textId="77777777" w:rsidR="00D161A5" w:rsidRPr="00D91F09" w:rsidRDefault="00D161A5" w:rsidP="00D91F09">
      <w:pPr>
        <w:autoSpaceDE w:val="0"/>
        <w:autoSpaceDN w:val="0"/>
        <w:adjustRightInd w:val="0"/>
        <w:spacing w:line="480" w:lineRule="auto"/>
        <w:rPr>
          <w:rFonts w:ascii="Times New Roman" w:hAnsi="Times New Roman" w:cs="Times New Roman"/>
          <w:b/>
          <w:sz w:val="24"/>
          <w:szCs w:val="24"/>
        </w:rPr>
      </w:pPr>
      <w:r w:rsidRPr="00D91F09">
        <w:rPr>
          <w:rFonts w:ascii="Times New Roman" w:hAnsi="Times New Roman" w:cs="Times New Roman"/>
          <w:b/>
          <w:sz w:val="24"/>
          <w:szCs w:val="24"/>
        </w:rPr>
        <w:t>*Corresponding author:</w:t>
      </w:r>
    </w:p>
    <w:p w14:paraId="0B5ED89A" w14:textId="77777777" w:rsidR="00D161A5" w:rsidRPr="00D91F09" w:rsidRDefault="00D161A5" w:rsidP="00D91F09">
      <w:pPr>
        <w:autoSpaceDE w:val="0"/>
        <w:autoSpaceDN w:val="0"/>
        <w:adjustRightInd w:val="0"/>
        <w:spacing w:line="480" w:lineRule="auto"/>
        <w:rPr>
          <w:rFonts w:ascii="Times New Roman" w:hAnsi="Times New Roman" w:cs="Times New Roman"/>
          <w:sz w:val="24"/>
          <w:szCs w:val="24"/>
        </w:rPr>
      </w:pPr>
      <w:r w:rsidRPr="00D91F09">
        <w:rPr>
          <w:rFonts w:ascii="Times New Roman" w:hAnsi="Times New Roman" w:cs="Times New Roman"/>
          <w:sz w:val="24"/>
          <w:szCs w:val="24"/>
        </w:rPr>
        <w:t>Aanuoluwapo E. Adeyemo (adeyemoelizabeth90@gmail.com)</w:t>
      </w:r>
    </w:p>
    <w:p w14:paraId="0CE24CEB" w14:textId="5CF00F6A" w:rsidR="00D91F09" w:rsidRPr="00D91F09" w:rsidRDefault="00D91F09"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Materials a</w:t>
      </w:r>
      <w:r w:rsidRPr="00D91F09">
        <w:rPr>
          <w:rFonts w:ascii="Times New Roman" w:hAnsi="Times New Roman" w:cs="Times New Roman"/>
          <w:b/>
          <w:sz w:val="24"/>
          <w:szCs w:val="24"/>
        </w:rPr>
        <w:t>nd Methods</w:t>
      </w:r>
    </w:p>
    <w:p w14:paraId="60AD802D" w14:textId="19CCCBAB" w:rsidR="00D91F09" w:rsidRPr="00D91F09" w:rsidRDefault="00453D98"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t>Sample and Chemical A</w:t>
      </w:r>
      <w:r w:rsidR="00D91F09" w:rsidRPr="00D91F09">
        <w:rPr>
          <w:rFonts w:ascii="Times New Roman" w:hAnsi="Times New Roman" w:cs="Times New Roman"/>
          <w:b/>
          <w:sz w:val="24"/>
          <w:szCs w:val="24"/>
        </w:rPr>
        <w:t>cquisitions</w:t>
      </w:r>
    </w:p>
    <w:p w14:paraId="7B1B3003" w14:textId="1165B246" w:rsidR="00D91F09" w:rsidRPr="00D91F09" w:rsidRDefault="00D91F09" w:rsidP="00D91F09">
      <w:pPr>
        <w:spacing w:line="480" w:lineRule="auto"/>
        <w:jc w:val="both"/>
        <w:rPr>
          <w:rFonts w:ascii="Times New Roman" w:eastAsia="TimesNewRoman" w:hAnsi="Times New Roman" w:cs="Times New Roman"/>
          <w:sz w:val="24"/>
          <w:szCs w:val="24"/>
        </w:rPr>
      </w:pPr>
      <w:r w:rsidRPr="00D91F09">
        <w:rPr>
          <w:rFonts w:ascii="Times New Roman" w:eastAsia="TimesNewRoman" w:hAnsi="Times New Roman" w:cs="Times New Roman"/>
          <w:sz w:val="24"/>
          <w:szCs w:val="24"/>
        </w:rPr>
        <w:t>Freshly harvested shallots were purchased from ‘</w:t>
      </w:r>
      <w:r w:rsidRPr="00D91F09">
        <w:rPr>
          <w:rFonts w:ascii="Times New Roman" w:eastAsia="TimesNewRoman" w:hAnsi="Times New Roman" w:cs="Times New Roman"/>
          <w:iCs/>
          <w:sz w:val="24"/>
          <w:szCs w:val="24"/>
        </w:rPr>
        <w:t>Shasha’</w:t>
      </w:r>
      <w:r w:rsidRPr="00D91F09">
        <w:rPr>
          <w:rFonts w:ascii="Times New Roman" w:eastAsia="TimesNewRoman" w:hAnsi="Times New Roman" w:cs="Times New Roman"/>
          <w:sz w:val="24"/>
          <w:szCs w:val="24"/>
        </w:rPr>
        <w:t xml:space="preserve"> Market, Akure, Ondo State, Nigeria. Mature unripe plantain was collected from the Teaching and Research Farm of the Federal University of Technology Akure, Nigeria. The commercial onion biscuit (COMBIS) was purchased from Ceci Supermarket, Akure, Ondo State, Nigeria (see Table 1S for product information). Chemicals used for the study are of analytical grades and were procured from Sigma-Aldrich (United Kingdom).</w:t>
      </w:r>
    </w:p>
    <w:p w14:paraId="6131CAF8" w14:textId="2405C411" w:rsidR="00D91F09" w:rsidRPr="00D91F09" w:rsidRDefault="00D91F09" w:rsidP="00646333">
      <w:pPr>
        <w:spacing w:line="240" w:lineRule="auto"/>
        <w:jc w:val="both"/>
        <w:rPr>
          <w:rFonts w:ascii="Times New Roman" w:hAnsi="Times New Roman" w:cs="Times New Roman"/>
          <w:b/>
          <w:sz w:val="24"/>
          <w:szCs w:val="24"/>
        </w:rPr>
      </w:pPr>
      <w:r w:rsidRPr="00D91F09">
        <w:rPr>
          <w:rFonts w:ascii="Times New Roman" w:hAnsi="Times New Roman" w:cs="Times New Roman"/>
          <w:b/>
          <w:sz w:val="24"/>
          <w:szCs w:val="24"/>
        </w:rPr>
        <w:t>Table</w:t>
      </w:r>
      <w:r>
        <w:rPr>
          <w:rFonts w:ascii="Times New Roman" w:hAnsi="Times New Roman" w:cs="Times New Roman"/>
          <w:b/>
          <w:sz w:val="24"/>
          <w:szCs w:val="24"/>
        </w:rPr>
        <w:t xml:space="preserve"> 1S</w:t>
      </w:r>
      <w:r w:rsidRPr="00D91F09">
        <w:rPr>
          <w:rFonts w:ascii="Times New Roman" w:hAnsi="Times New Roman" w:cs="Times New Roman"/>
          <w:b/>
          <w:sz w:val="24"/>
          <w:szCs w:val="24"/>
        </w:rPr>
        <w:t xml:space="preserve"> </w:t>
      </w:r>
      <w:r w:rsidRPr="00D91F09">
        <w:rPr>
          <w:rFonts w:ascii="Times New Roman" w:hAnsi="Times New Roman" w:cs="Times New Roman"/>
          <w:sz w:val="24"/>
          <w:szCs w:val="24"/>
        </w:rPr>
        <w:t>Additional Information on COMBIS (as provided on the package)</w:t>
      </w:r>
    </w:p>
    <w:tbl>
      <w:tblPr>
        <w:tblStyle w:val="TableGrid"/>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04"/>
      </w:tblGrid>
      <w:tr w:rsidR="00D91F09" w:rsidRPr="00D91F09" w14:paraId="06EED1D4" w14:textId="77777777" w:rsidTr="00CC691B">
        <w:tc>
          <w:tcPr>
            <w:tcW w:w="2376" w:type="dxa"/>
            <w:tcBorders>
              <w:top w:val="single" w:sz="4" w:space="0" w:color="auto"/>
              <w:bottom w:val="nil"/>
            </w:tcBorders>
          </w:tcPr>
          <w:p w14:paraId="4E446927"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Product Name:</w:t>
            </w:r>
          </w:p>
        </w:tc>
        <w:tc>
          <w:tcPr>
            <w:tcW w:w="6804" w:type="dxa"/>
            <w:tcBorders>
              <w:top w:val="single" w:sz="4" w:space="0" w:color="auto"/>
              <w:bottom w:val="nil"/>
            </w:tcBorders>
          </w:tcPr>
          <w:p w14:paraId="3182EDF0"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Onion Cracker</w:t>
            </w:r>
          </w:p>
        </w:tc>
      </w:tr>
      <w:tr w:rsidR="00D91F09" w:rsidRPr="00D91F09" w14:paraId="2E29143F" w14:textId="77777777" w:rsidTr="00CC691B">
        <w:tc>
          <w:tcPr>
            <w:tcW w:w="2376" w:type="dxa"/>
            <w:tcBorders>
              <w:top w:val="nil"/>
              <w:bottom w:val="nil"/>
            </w:tcBorders>
          </w:tcPr>
          <w:p w14:paraId="12F469FD"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Manufacturer:</w:t>
            </w:r>
          </w:p>
        </w:tc>
        <w:tc>
          <w:tcPr>
            <w:tcW w:w="6804" w:type="dxa"/>
            <w:tcBorders>
              <w:top w:val="nil"/>
              <w:bottom w:val="nil"/>
            </w:tcBorders>
          </w:tcPr>
          <w:p w14:paraId="4592DCB0"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Munchy (Shandong) Food Co., Ltd., Yishul County, Shandong Province, China.</w:t>
            </w:r>
          </w:p>
        </w:tc>
      </w:tr>
      <w:tr w:rsidR="00D91F09" w:rsidRPr="00D91F09" w14:paraId="55C2211D" w14:textId="77777777" w:rsidTr="00CC691B">
        <w:tc>
          <w:tcPr>
            <w:tcW w:w="2376" w:type="dxa"/>
            <w:tcBorders>
              <w:top w:val="nil"/>
            </w:tcBorders>
          </w:tcPr>
          <w:p w14:paraId="78FA7339"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Manufactured for:</w:t>
            </w:r>
          </w:p>
        </w:tc>
        <w:tc>
          <w:tcPr>
            <w:tcW w:w="6804" w:type="dxa"/>
            <w:tcBorders>
              <w:top w:val="nil"/>
            </w:tcBorders>
          </w:tcPr>
          <w:p w14:paraId="3B2356B5"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Grace of Life Resources, Lagos Island, Lagos State, Nigeria.</w:t>
            </w:r>
          </w:p>
        </w:tc>
      </w:tr>
      <w:tr w:rsidR="00D91F09" w:rsidRPr="00D91F09" w14:paraId="534114BD" w14:textId="77777777" w:rsidTr="00CC691B">
        <w:tc>
          <w:tcPr>
            <w:tcW w:w="2376" w:type="dxa"/>
          </w:tcPr>
          <w:p w14:paraId="137D3AB1"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NAFDAC Reg. No.:</w:t>
            </w:r>
          </w:p>
        </w:tc>
        <w:tc>
          <w:tcPr>
            <w:tcW w:w="6804" w:type="dxa"/>
          </w:tcPr>
          <w:p w14:paraId="46415405"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D1-9348</w:t>
            </w:r>
          </w:p>
        </w:tc>
      </w:tr>
      <w:tr w:rsidR="00D91F09" w:rsidRPr="00D91F09" w14:paraId="1E9CC7C2" w14:textId="77777777" w:rsidTr="00CC691B">
        <w:tc>
          <w:tcPr>
            <w:tcW w:w="2376" w:type="dxa"/>
          </w:tcPr>
          <w:p w14:paraId="02C57719"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Ingredients:</w:t>
            </w:r>
          </w:p>
        </w:tc>
        <w:tc>
          <w:tcPr>
            <w:tcW w:w="6804" w:type="dxa"/>
          </w:tcPr>
          <w:p w14:paraId="6C76A4CA"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Wheat flour, palm oil, sugar, corn starch, high fructose corn syrup, onion powder, butter, dehydrated onion leaf, yeast, raising agents (Ammonium bicarbonate E503, sodium bicarbonate E500), flavour enhancers (sodium glutamate E621, flavour), acidity regulator (citric acid E330), colour (β-carotene E160a), flour treatment agent (sodium metabisulphite E233), and salt.</w:t>
            </w:r>
          </w:p>
        </w:tc>
      </w:tr>
      <w:tr w:rsidR="00D91F09" w:rsidRPr="00D91F09" w14:paraId="0712C9B6" w14:textId="77777777" w:rsidTr="00CC691B">
        <w:tc>
          <w:tcPr>
            <w:tcW w:w="2376" w:type="dxa"/>
          </w:tcPr>
          <w:p w14:paraId="7FA816F1" w14:textId="77777777" w:rsidR="00D91F09" w:rsidRPr="00D91F09" w:rsidRDefault="00D91F09" w:rsidP="00D91F09">
            <w:pPr>
              <w:spacing w:line="360" w:lineRule="auto"/>
              <w:jc w:val="both"/>
              <w:rPr>
                <w:rFonts w:ascii="Times New Roman" w:hAnsi="Times New Roman" w:cs="Times New Roman"/>
                <w:b/>
                <w:sz w:val="24"/>
                <w:szCs w:val="24"/>
              </w:rPr>
            </w:pPr>
            <w:r w:rsidRPr="00D91F09">
              <w:rPr>
                <w:rFonts w:ascii="Times New Roman" w:hAnsi="Times New Roman" w:cs="Times New Roman"/>
                <w:b/>
                <w:sz w:val="24"/>
                <w:szCs w:val="24"/>
              </w:rPr>
              <w:t>Nutritional Information:</w:t>
            </w:r>
          </w:p>
        </w:tc>
        <w:tc>
          <w:tcPr>
            <w:tcW w:w="6804" w:type="dxa"/>
          </w:tcPr>
          <w:p w14:paraId="6E8527F7"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Energy (2037kJ/100 g)</w:t>
            </w:r>
          </w:p>
          <w:p w14:paraId="055B17DC"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Protein (8.8 g/100g)</w:t>
            </w:r>
          </w:p>
          <w:p w14:paraId="12AF0068"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Fat (19.0 g/100g)</w:t>
            </w:r>
          </w:p>
          <w:p w14:paraId="5EAF5312" w14:textId="77777777" w:rsidR="00D91F09" w:rsidRPr="00D91F09" w:rsidRDefault="00D91F09" w:rsidP="00D91F09">
            <w:pPr>
              <w:spacing w:line="360" w:lineRule="auto"/>
              <w:jc w:val="both"/>
              <w:rPr>
                <w:rFonts w:ascii="Times New Roman" w:hAnsi="Times New Roman" w:cs="Times New Roman"/>
                <w:sz w:val="24"/>
                <w:szCs w:val="24"/>
              </w:rPr>
            </w:pPr>
            <w:r w:rsidRPr="00D91F09">
              <w:rPr>
                <w:rFonts w:ascii="Times New Roman" w:hAnsi="Times New Roman" w:cs="Times New Roman"/>
                <w:sz w:val="24"/>
                <w:szCs w:val="24"/>
              </w:rPr>
              <w:t>Carbohydrate (69.7 g/100g)</w:t>
            </w:r>
          </w:p>
        </w:tc>
      </w:tr>
    </w:tbl>
    <w:p w14:paraId="5D0DD1FB" w14:textId="54FD6329" w:rsidR="00D91F09" w:rsidRDefault="00D91F09" w:rsidP="00D91F09">
      <w:pPr>
        <w:spacing w:line="480" w:lineRule="auto"/>
        <w:jc w:val="both"/>
        <w:rPr>
          <w:rFonts w:ascii="Times New Roman" w:eastAsia="TimesNewRoman" w:hAnsi="Times New Roman" w:cs="Times New Roman"/>
          <w:sz w:val="24"/>
          <w:szCs w:val="24"/>
        </w:rPr>
      </w:pPr>
    </w:p>
    <w:p w14:paraId="17D1F822" w14:textId="77777777" w:rsidR="00646333" w:rsidRPr="00D91F09" w:rsidRDefault="00646333" w:rsidP="00D91F09">
      <w:pPr>
        <w:spacing w:line="480" w:lineRule="auto"/>
        <w:jc w:val="both"/>
        <w:rPr>
          <w:rFonts w:ascii="Times New Roman" w:eastAsia="TimesNewRoman" w:hAnsi="Times New Roman" w:cs="Times New Roman"/>
          <w:sz w:val="24"/>
          <w:szCs w:val="24"/>
        </w:rPr>
      </w:pPr>
    </w:p>
    <w:p w14:paraId="763D83CA" w14:textId="08234D61" w:rsidR="00D91F09" w:rsidRPr="00D91F09" w:rsidRDefault="00453D98" w:rsidP="00D91F09">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sz w:val="24"/>
          <w:szCs w:val="24"/>
        </w:rPr>
        <w:lastRenderedPageBreak/>
        <w:t>Preparation of C</w:t>
      </w:r>
      <w:r w:rsidR="00D91F09" w:rsidRPr="00D91F09">
        <w:rPr>
          <w:rFonts w:ascii="Times New Roman" w:hAnsi="Times New Roman" w:cs="Times New Roman"/>
          <w:b/>
          <w:sz w:val="24"/>
          <w:szCs w:val="24"/>
        </w:rPr>
        <w:t xml:space="preserve">omposite </w:t>
      </w:r>
      <w:r>
        <w:rPr>
          <w:rFonts w:ascii="Times New Roman" w:hAnsi="Times New Roman" w:cs="Times New Roman"/>
          <w:b/>
          <w:bCs/>
          <w:sz w:val="24"/>
          <w:szCs w:val="24"/>
        </w:rPr>
        <w:t>F</w:t>
      </w:r>
      <w:r w:rsidR="00D91F09" w:rsidRPr="00D91F09">
        <w:rPr>
          <w:rFonts w:ascii="Times New Roman" w:hAnsi="Times New Roman" w:cs="Times New Roman"/>
          <w:b/>
          <w:bCs/>
          <w:sz w:val="24"/>
          <w:szCs w:val="24"/>
        </w:rPr>
        <w:t>lour</w:t>
      </w:r>
    </w:p>
    <w:p w14:paraId="30F5D505" w14:textId="030F0730" w:rsidR="00D91F09" w:rsidRPr="007A4CF1" w:rsidRDefault="00D91F09" w:rsidP="00D91F09">
      <w:pPr>
        <w:autoSpaceDE w:val="0"/>
        <w:autoSpaceDN w:val="0"/>
        <w:adjustRightInd w:val="0"/>
        <w:spacing w:after="0" w:line="480" w:lineRule="auto"/>
        <w:jc w:val="both"/>
        <w:rPr>
          <w:rFonts w:ascii="Times New Roman" w:hAnsi="Times New Roman" w:cs="Times New Roman"/>
          <w:b/>
          <w:bCs/>
          <w:i/>
          <w:sz w:val="24"/>
          <w:szCs w:val="24"/>
        </w:rPr>
      </w:pPr>
      <w:r w:rsidRPr="007A4CF1">
        <w:rPr>
          <w:rFonts w:ascii="Times New Roman" w:hAnsi="Times New Roman" w:cs="Times New Roman"/>
          <w:b/>
          <w:bCs/>
          <w:i/>
          <w:sz w:val="24"/>
          <w:szCs w:val="24"/>
        </w:rPr>
        <w:t xml:space="preserve">Processing of </w:t>
      </w:r>
      <w:r w:rsidR="00453D98" w:rsidRPr="007A4CF1">
        <w:rPr>
          <w:rFonts w:ascii="Times New Roman" w:hAnsi="Times New Roman" w:cs="Times New Roman"/>
          <w:b/>
          <w:bCs/>
          <w:i/>
          <w:sz w:val="24"/>
          <w:szCs w:val="24"/>
        </w:rPr>
        <w:t>Unripe Plantain Flour</w:t>
      </w:r>
    </w:p>
    <w:p w14:paraId="61F9E560" w14:textId="041099FF"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Freshly farm</w:t>
      </w:r>
      <w:r w:rsidR="00AB048A">
        <w:rPr>
          <w:rFonts w:ascii="Times New Roman" w:hAnsi="Times New Roman" w:cs="Times New Roman"/>
          <w:sz w:val="24"/>
          <w:szCs w:val="24"/>
        </w:rPr>
        <w:t>-</w:t>
      </w:r>
      <w:r w:rsidRPr="00D91F09">
        <w:rPr>
          <w:rFonts w:ascii="Times New Roman" w:hAnsi="Times New Roman" w:cs="Times New Roman"/>
          <w:sz w:val="24"/>
          <w:szCs w:val="24"/>
        </w:rPr>
        <w:t xml:space="preserve">collected unripe plantains were processed into flour as previously described by Adeyemo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{"citationID":"IW2bvAkU","properties":{"formattedCitation":"[1]","plainCitation":"[1]","noteIndex":0},"citationItems":[{"id":1490,"uris":["http://zotero.org/users/5341874/items/8N9LH7W2"],"itemData":{"id":1490,"type":"article-journal","abstract":"Plant foods have gained tremendous consideration as a significant progenitor of bioactive substances with several therapeutic advantages over synthetic drugs. Shallot (Allium ascalonicum L.) together with plantain (Musa paradisiaca L.; particularly unripe ones) holds their applications as spice/food and folk medicine. Hence, this research pursues to explore the chemical composition, antioxidant activities (in vitro), and phenolic profile of shallot-enriched plantain biscuits. Processed shallot flour and unripe plantain flour were blended in different proportions (100% Plantain (SB0), 95% Plantain + 5% Shallot (SB5), 90% Plantain + 10% Shallot (SB10), 85% Plantain + 15% Shallot biscuit (SB15) and 80% Plantain + 20% Shallot biscuit (SB20), mixed with other ingredients to prepare biscuits. The proximate, mineral, anti-nutrient compositions, as well as antioxidant activities of shallot-enriched plantain biscuits and a commercial onion biscuit (COMBIS), were assessed using standard methods. Also, the physical properties and  sensory attributes were evaluated using standard methods and polyphenols present in the developed biscuits were identified using HPLC–DAD.","container-title":"Bulletin of the National Research Centre","DOI":"10.1186/s42269-022-00769-1","ISSN":"2522-8307","issue":"1","journalAbbreviation":"Bulletin of the National Research Centre","page":"85","source":"BioMed Central","title":"Chemical composition, in vitro antioxidant properties, and phenolic profile of shallot (Allium ascalonicum L.)-enriched plantain biscuit","volume":"46","author":[{"family":"Adeyemo","given":"Aanuoluwapo Elizabeth"},{"family":"Omoba","given":"Olufunmilayo Sade"},{"family":"Olagunju","given":"Aderonke Ibidunni"},{"family":"Josiah","given":"Sunday Solomon"}],"issued":{"date-parts":[["2022",3,28]]}}}],"schema":"https://github.com/citation-style-language/schema/raw/master/csl-citation.json"}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The degree of ripening of the plantains w</w:t>
      </w:r>
      <w:r w:rsidR="00AB048A">
        <w:rPr>
          <w:rFonts w:ascii="Times New Roman" w:hAnsi="Times New Roman" w:cs="Times New Roman"/>
          <w:sz w:val="24"/>
          <w:szCs w:val="24"/>
        </w:rPr>
        <w:t>as</w:t>
      </w:r>
      <w:r w:rsidRPr="00D91F09">
        <w:rPr>
          <w:rFonts w:ascii="Times New Roman" w:hAnsi="Times New Roman" w:cs="Times New Roman"/>
          <w:sz w:val="24"/>
          <w:szCs w:val="24"/>
        </w:rPr>
        <w:t xml:space="preserve"> ascertained using an established plantain ripening colour chart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{"citationID":"JxgoJARt","properties":{"formattedCitation":"[2]","plainCitation":"[2]","noteIndex":0},"citationItems":[{"id":1697,"uris":["http://zotero.org/users/5341874/items/SS6D9KFS"],"itemData":{"id":1697,"type":"article-journal","abstract":"Ripening of dessert banana (Musa sap.) is associated with changes in colour (green to yellow starting from the cente), softening, and surface features. These have mostly been investigated using distinct technologies. Hence, here changes in surface features were examined with two novel, non-invasive techniques: a luster sensor and a 3D profilometer. The profiler measures the 3D surface characteristics of an area, rather than a single profile line, and corrects data for curvature of the fruit. The luster sensor detected an increase in glossiness from stage 3 (green) to stage F7a (ripe) of ca. 35%, followed by a decrease in glossiness from stage F7a to F7b (overripe). The profilometer provided visual and parametric roughness values (Ra) for ripening. Cavendish bananas showed an increase from 2.5 to 6.6 µm during ripening stage 3 (green) to stage 7b (overripe). Another roughness value, Rz, increased concomitantly from 13.1 µm at stage 3 (green) to 26.9 µm at stage F7b (overripe). The study showed that the centre of the fruit was the best region for surface imaging, because it was the most advanced ripening part of the banana fruit, easily curved, and the region of the fruit can be accessed when a carton was opened. This study shows that it is now possible to monitor the changes in surface glossiness and roughness during the ripening of Cavendish bananas using two novel non-invasive technologies. The compact luster sensor may become a component of a portable probe and manual control of packing units. Differences in the predicted green life can be used to prioritize containers for unloading in the discharge port or to implement quality-based warehouse management strategies. Containers that arrive at banana ripening rooms before their green life ends, can be re-routed, in addition to the present, colour-based ripening scale.","container-title":"Journal of Food Science and Technology","DOI":"10.1007/s13197-018-3352-2","ISSN":"0022-1155","issue":"10","journalAbbreviation":"J Food Sci Technol","note":"PMID: 30228418\nPMCID: PMC6133831","page":"4197-4203","source":"PubMed Central","title":"Non-invasive determination of surface features of banana during ripening","volume":"55","author":[{"family":"Ringer","given":"T."},{"family":"Damerow","given":"L."},{"family":"Blanke","given":"M. M."}],"issued":{"date-parts":[["2018",10]]}}}],"schema":"https://github.com/citation-style-language/schema/raw/master/csl-citation.json"}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[2]</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The plantains were manually peeled and chopped into smaller pieces. The small pieces of plantain were then blanched at 100 ± 2 °C for 15 min. The blanched plantains were parched for 15 h at 60 ± 2 °C in a cabinet dryer (Plus11 Sanyo Gallenkamp PLC, UK). The dried samples were milled using a laboratory blender (Kenwood, BLX52 model, UK), and w</w:t>
      </w:r>
      <w:r w:rsidR="00AB048A">
        <w:rPr>
          <w:rFonts w:ascii="Times New Roman" w:hAnsi="Times New Roman" w:cs="Times New Roman"/>
          <w:sz w:val="24"/>
          <w:szCs w:val="24"/>
        </w:rPr>
        <w:t>ere</w:t>
      </w:r>
      <w:r w:rsidRPr="00D91F09">
        <w:rPr>
          <w:rFonts w:ascii="Times New Roman" w:hAnsi="Times New Roman" w:cs="Times New Roman"/>
          <w:sz w:val="24"/>
          <w:szCs w:val="24"/>
        </w:rPr>
        <w:t xml:space="preserve"> sieved with a 60 mm mesh sieve (British Standard). The plantain flour obtained was packaged and sealed in an air-tight plastic vessel and was stored at 4 ± 2 °C for further use.</w:t>
      </w:r>
    </w:p>
    <w:p w14:paraId="4AE1756E" w14:textId="39B49515" w:rsidR="00D91F09" w:rsidRPr="007A4CF1" w:rsidRDefault="00D91F09" w:rsidP="00D91F09">
      <w:pPr>
        <w:spacing w:line="480" w:lineRule="auto"/>
        <w:rPr>
          <w:rFonts w:ascii="Times New Roman" w:hAnsi="Times New Roman" w:cs="Times New Roman"/>
          <w:b/>
          <w:i/>
          <w:sz w:val="24"/>
          <w:szCs w:val="24"/>
        </w:rPr>
      </w:pPr>
      <w:r w:rsidRPr="007A4CF1">
        <w:rPr>
          <w:rFonts w:ascii="Times New Roman" w:hAnsi="Times New Roman" w:cs="Times New Roman"/>
          <w:b/>
          <w:i/>
          <w:sz w:val="24"/>
          <w:szCs w:val="24"/>
        </w:rPr>
        <w:t>Processing of</w:t>
      </w:r>
      <w:r w:rsidR="00453D98" w:rsidRPr="007A4CF1">
        <w:rPr>
          <w:rFonts w:ascii="Times New Roman" w:hAnsi="Times New Roman" w:cs="Times New Roman"/>
          <w:b/>
          <w:i/>
          <w:sz w:val="24"/>
          <w:szCs w:val="24"/>
        </w:rPr>
        <w:t xml:space="preserve"> Shallot Flour</w:t>
      </w:r>
    </w:p>
    <w:p w14:paraId="4662E9D5" w14:textId="18F7AF03" w:rsidR="00D91F09" w:rsidRPr="00D91F09" w:rsidRDefault="00D91F09" w:rsidP="00D91F09">
      <w:pPr>
        <w:spacing w:line="480" w:lineRule="auto"/>
        <w:jc w:val="both"/>
        <w:rPr>
          <w:rFonts w:ascii="Times New Roman" w:hAnsi="Times New Roman" w:cs="Times New Roman"/>
          <w:sz w:val="24"/>
          <w:szCs w:val="24"/>
        </w:rPr>
      </w:pPr>
      <w:r w:rsidRPr="00D91F09">
        <w:rPr>
          <w:rFonts w:ascii="Times New Roman" w:hAnsi="Times New Roman" w:cs="Times New Roman"/>
          <w:sz w:val="24"/>
          <w:szCs w:val="24"/>
        </w:rPr>
        <w:t xml:space="preserve">Fresh shallot plant was processed into flour according to the method previously described by Adeyemo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{"citationID":"FccfvCS1","properties":{"formattedCitation":"[1]","plainCitation":"[1]","noteIndex":0},"citationItems":[{"id":1490,"uris":["http://zotero.org/users/5341874/items/8N9LH7W2"],"itemData":{"id":1490,"type":"article-journal","abstract":"Plant foods have gained tremendous consideration as a significant progenitor of bioactive substances with several therapeutic advantages over synthetic drugs. Shallot (Allium ascalonicum L.) together with plantain (Musa paradisiaca L.; particularly unripe ones) holds their applications as spice/food and folk medicine. Hence, this research pursues to explore the chemical composition, antioxidant activities (in vitro), and phenolic profile of shallot-enriched plantain biscuits. Processed shallot flour and unripe plantain flour were blended in different proportions (100% Plantain (SB0), 95% Plantain + 5% Shallot (SB5), 90% Plantain + 10% Shallot (SB10), 85% Plantain + 15% Shallot biscuit (SB15) and 80% Plantain + 20% Shallot biscuit (SB20), mixed with other ingredients to prepare biscuits. The proximate, mineral, anti-nutrient compositions, as well as antioxidant activities of shallot-enriched plantain biscuits and a commercial onion biscuit (COMBIS), were assessed using standard methods. Also, the physical properties and  sensory attributes were evaluated using standard methods and polyphenols present in the developed biscuits were identified using HPLC–DAD.","container-title":"Bulletin of the National Research Centre","DOI":"10.1186/s42269-022-00769-1","ISSN":"2522-8307","issue":"1","journalAbbreviation":"Bulletin of the National Research Centre","page":"85","source":"BioMed Central","title":"Chemical composition, in vitro antioxidant properties, and phenolic profile of shallot (Allium ascalonicum L.)-enriched plantain biscuit","volume":"46","author":[{"family":"Adeyemo","given":"Aanuoluwapo Elizabeth"},{"family":"Omoba","given":"Olufunmilayo Sade"},{"family":"Olagunju","given":"Aderonke Ibidunni"},{"family":"Josiah","given":"Sunday Solomon"}],"issued":{"date-parts":[["2022",3,28]]}}}],"schema":"https://github.com/citation-style-language/schema/raw/master/csl-citation.json"}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Fresh shallots were sliced and rinsed thoroughly with clean water. The prepared shallots were drained for 20 min</w:t>
      </w:r>
      <w:r w:rsidR="00AB048A">
        <w:rPr>
          <w:rFonts w:ascii="Times New Roman" w:hAnsi="Times New Roman" w:cs="Times New Roman"/>
          <w:sz w:val="24"/>
          <w:szCs w:val="24"/>
        </w:rPr>
        <w:t>utes</w:t>
      </w:r>
      <w:r w:rsidRPr="00D91F09">
        <w:rPr>
          <w:rFonts w:ascii="Times New Roman" w:hAnsi="Times New Roman" w:cs="Times New Roman"/>
          <w:sz w:val="24"/>
          <w:szCs w:val="24"/>
        </w:rPr>
        <w:t xml:space="preserve"> and then soaked in sodium bisulphite solution (500 ppm) for 10 min. After that, they were thoroughly rinsed with clean water </w:t>
      </w:r>
      <w:r w:rsidR="00AB048A">
        <w:rPr>
          <w:rFonts w:ascii="Times New Roman" w:hAnsi="Times New Roman" w:cs="Times New Roman"/>
          <w:sz w:val="24"/>
          <w:szCs w:val="24"/>
        </w:rPr>
        <w:t xml:space="preserve">and </w:t>
      </w:r>
      <w:r w:rsidRPr="00D91F09">
        <w:rPr>
          <w:rFonts w:ascii="Times New Roman" w:hAnsi="Times New Roman" w:cs="Times New Roman"/>
          <w:sz w:val="24"/>
          <w:szCs w:val="24"/>
        </w:rPr>
        <w:t>transferred into a stainless-steel strainer to drain for about 30 min. The drained shallots were then spread on aluminium foil sheets and transferred into a cabinet dryer (Plus11 Sanyo Gallenkamp PLC, UK) to dry (60 ± 2 °C for 10 h). The dried shallots were blended in a blender (Model KM 901D; Kenwood Electronic, Hertfordshire, UK). The shallot flour was packaged in a zip-seal food bag, sealed in a nonporous plastic container, and stored at 4 ± 2 ºC for further use.</w:t>
      </w:r>
    </w:p>
    <w:p w14:paraId="5BB1674B" w14:textId="05E7DCB5" w:rsidR="00D91F09" w:rsidRPr="007A4CF1" w:rsidRDefault="00D91F09" w:rsidP="00D91F09">
      <w:pPr>
        <w:spacing w:line="480" w:lineRule="auto"/>
        <w:jc w:val="both"/>
        <w:rPr>
          <w:rFonts w:ascii="Times New Roman" w:hAnsi="Times New Roman" w:cs="Times New Roman"/>
          <w:b/>
          <w:i/>
          <w:sz w:val="24"/>
          <w:szCs w:val="24"/>
        </w:rPr>
      </w:pPr>
      <w:r w:rsidRPr="007A4CF1">
        <w:rPr>
          <w:rFonts w:ascii="Times New Roman" w:hAnsi="Times New Roman" w:cs="Times New Roman"/>
          <w:b/>
          <w:i/>
          <w:sz w:val="24"/>
          <w:szCs w:val="24"/>
        </w:rPr>
        <w:t xml:space="preserve">Processing of </w:t>
      </w:r>
      <w:r w:rsidR="00453D98" w:rsidRPr="007A4CF1">
        <w:rPr>
          <w:rFonts w:ascii="Times New Roman" w:hAnsi="Times New Roman" w:cs="Times New Roman"/>
          <w:b/>
          <w:i/>
          <w:sz w:val="24"/>
          <w:szCs w:val="24"/>
        </w:rPr>
        <w:t>Date Flour</w:t>
      </w:r>
    </w:p>
    <w:p w14:paraId="3FD49D0F" w14:textId="30870F07" w:rsidR="00D91F09" w:rsidRPr="00D91F09" w:rsidRDefault="00D91F09" w:rsidP="00D91F09">
      <w:pPr>
        <w:spacing w:line="480" w:lineRule="auto"/>
        <w:jc w:val="both"/>
        <w:rPr>
          <w:rFonts w:ascii="Times New Roman" w:hAnsi="Times New Roman" w:cs="Times New Roman"/>
          <w:sz w:val="24"/>
          <w:szCs w:val="24"/>
        </w:rPr>
      </w:pPr>
      <w:r w:rsidRPr="00D91F09">
        <w:rPr>
          <w:rFonts w:ascii="Times New Roman" w:hAnsi="Times New Roman" w:cs="Times New Roman"/>
          <w:sz w:val="24"/>
          <w:szCs w:val="24"/>
        </w:rPr>
        <w:t xml:space="preserve">The date flour was prepared as previously described by Adeyemo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{"citationID":"cPPIACp1","properties":{"formattedCitation":"[1]","plainCitation":"[1]","noteIndex":0},"citationItems":[{"id":1490,"uris":["http://zotero.org/users/5341874/items/8N9LH7W2"],"itemData":{"id":1490,"type":"article-journal","abstract":"Plant foods have gained tremendous consideration as a significant progenitor of bioactive substances with several therapeutic advantages over synthetic drugs. Shallot (Allium ascalonicum L.) together with plantain (Musa paradisiaca L.; particularly unripe ones) holds their applications as spice/food and folk medicine. Hence, this research pursues to explore the chemical composition, antioxidant activities (in vitro), and phenolic profile of shallot-enriched plantain biscuits. Processed shallot flour and unripe plantain flour were blended in different proportions (100% Plantain (SB0), 95% Plantain + 5% Shallot (SB5), 90% Plantain + 10% Shallot (SB10), 85% Plantain + 15% Shallot biscuit (SB15) and 80% Plantain + 20% Shallot biscuit (SB20), mixed with other ingredients to prepare biscuits. The proximate, mineral, anti-nutrient compositions, as well as antioxidant activities of shallot-enriched plantain biscuits and a commercial onion biscuit (COMBIS), were assessed using standard methods. Also, the physical properties and  sensory attributes were evaluated using standard methods and polyphenols present in the developed biscuits were identified using HPLC–DAD.","container-title":"Bulletin of the National Research Centre","DOI":"10.1186/s42269-022-00769-1","ISSN":"2522-8307","issue":"1","journalAbbreviation":"Bulletin of the National Research Centre","page":"85","source":"BioMed Central","title":"Chemical composition, in vitro antioxidant properties, and phenolic profile of shallot (Allium ascalonicum L.)-enriched plantain biscuit","volume":"46","author":[{"family":"Adeyemo","given":"Aanuoluwapo Elizabeth"},{"family":"Omoba","given":"Olufunmilayo Sade"},{"family":"Olagunju","given":"Aderonke Ibidunni"},{"family":"Josiah","given":"Sunday Solomon"}],"issued":{"date-parts":[["2022",3,28]]}}}],"schema":"https://github.com/citation-style-language/schema/raw/master/csl-citation.json"}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xml:space="preserve">. The dates were chopped and, the seeds were removed. The sliced dates were rinsed thoroughly with clean water and drained for 30 min in a stainless-steel strainer. The washed dates were spread on aluminium foil sheets and </w:t>
      </w:r>
      <w:r w:rsidRPr="00D91F09">
        <w:rPr>
          <w:rFonts w:ascii="Times New Roman" w:hAnsi="Times New Roman" w:cs="Times New Roman"/>
          <w:sz w:val="24"/>
          <w:szCs w:val="24"/>
        </w:rPr>
        <w:lastRenderedPageBreak/>
        <w:t>dried for 24 hr at 60 ± 2°C in a hot air oven cabinet dryer (Plus11 Sanyo Gallenkamp PLC, UK). After the drying cycle, the dates were poured into a blender (ModelKM 901D; Kenwood Electronic, Hertfordshire, UK) to blend until smooth. The resulting date flour was sieved with a British standard mesh sieve (60 mm), packaged in zip-seal food bags, and stored at 4±2°C for further use.</w:t>
      </w:r>
    </w:p>
    <w:p w14:paraId="5A9A291B" w14:textId="25C358E0" w:rsidR="00D91F09" w:rsidRPr="007A4CF1" w:rsidRDefault="00453D98" w:rsidP="00D91F09">
      <w:pPr>
        <w:autoSpaceDE w:val="0"/>
        <w:autoSpaceDN w:val="0"/>
        <w:adjustRightInd w:val="0"/>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Biscuit P</w:t>
      </w:r>
      <w:r w:rsidR="00D91F09" w:rsidRPr="007A4CF1">
        <w:rPr>
          <w:rFonts w:ascii="Times New Roman" w:hAnsi="Times New Roman" w:cs="Times New Roman"/>
          <w:b/>
          <w:bCs/>
          <w:i/>
          <w:sz w:val="24"/>
          <w:szCs w:val="24"/>
        </w:rPr>
        <w:t>reparation</w:t>
      </w:r>
    </w:p>
    <w:p w14:paraId="6C798A29" w14:textId="7CCF9D2F" w:rsidR="00646333" w:rsidRPr="00646333" w:rsidRDefault="00D91F09" w:rsidP="00646333">
      <w:pPr>
        <w:spacing w:line="480" w:lineRule="auto"/>
        <w:jc w:val="both"/>
        <w:rPr>
          <w:rFonts w:ascii="Times New Roman" w:hAnsi="Times New Roman" w:cs="Times New Roman"/>
          <w:sz w:val="24"/>
          <w:szCs w:val="24"/>
        </w:rPr>
      </w:pPr>
      <w:r w:rsidRPr="00D91F09">
        <w:rPr>
          <w:rFonts w:ascii="Times New Roman" w:hAnsi="Times New Roman" w:cs="Times New Roman"/>
          <w:sz w:val="24"/>
          <w:szCs w:val="24"/>
        </w:rPr>
        <w:t xml:space="preserve">The method employed in the preparation of the shallot-enriched plantain biscuits </w:t>
      </w:r>
      <w:r w:rsidR="009B635D">
        <w:rPr>
          <w:rFonts w:ascii="Times New Roman" w:hAnsi="Times New Roman" w:cs="Times New Roman"/>
          <w:sz w:val="24"/>
          <w:szCs w:val="24"/>
        </w:rPr>
        <w:t xml:space="preserve">(SEPB) </w:t>
      </w:r>
      <w:r w:rsidRPr="00D91F09">
        <w:rPr>
          <w:rFonts w:ascii="Times New Roman" w:hAnsi="Times New Roman" w:cs="Times New Roman"/>
          <w:sz w:val="24"/>
          <w:szCs w:val="24"/>
        </w:rPr>
        <w:t xml:space="preserve">was previously described by Adeyemo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{"citationID":"CwUjKgR9","properties":{"formattedCitation":"[1]","plainCitation":"[1]","noteIndex":0},"citationItems":[{"id":1490,"uris":["http://zotero.org/users/5341874/items/8N9LH7W2"],"itemData":{"id":1490,"type":"article-journal","abstract":"Plant foods have gained tremendous consideration as a significant progenitor of bioactive substances with several therapeutic advantages over synthetic drugs. Shallot (Allium ascalonicum L.) together with plantain (Musa paradisiaca L.; particularly unripe ones) holds their applications as spice/food and folk medicine. Hence, this research pursues to explore the chemical composition, antioxidant activities (in vitro), and phenolic profile of shallot-enriched plantain biscuits. Processed shallot flour and unripe plantain flour were blended in different proportions (100% Plantain (SB0), 95% Plantain + 5% Shallot (SB5), 90% Plantain + 10% Shallot (SB10), 85% Plantain + 15% Shallot biscuit (SB15) and 80% Plantain + 20% Shallot biscuit (SB20), mixed with other ingredients to prepare biscuits. The proximate, mineral, anti-nutrient compositions, as well as antioxidant activities of shallot-enriched plantain biscuits and a commercial onion biscuit (COMBIS), were assessed using standard methods. Also, the physical properties and  sensory attributes were evaluated using standard methods and polyphenols present in the developed biscuits were identified using HPLC–DAD.","container-title":"Bulletin of the National Research Centre","DOI":"10.1186/s42269-022-00769-1","ISSN":"2522-8307","issue":"1","journalAbbreviation":"Bulletin of the National Research Centre","page":"85","source":"BioMed Central","title":"Chemical composition, in vitro antioxidant properties, and phenolic profile of shallot (Allium ascalonicum L.)-enriched plantain biscuit","volume":"46","author":[{"family":"Adeyemo","given":"Aanuoluwapo Elizabeth"},{"family":"Omoba","given":"Olufunmilayo Sade"},{"family":"Olagunju","given":"Aderonke Ibidunni"},{"family":"Josiah","given":"Sunday Solomon"}],"issued":{"date-parts":[["2022",3,28]]}}}],"schema":"https://github.com/citation-style-language/schema/raw/master/csl-citation.json"}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For the dough preparation, plantain and shallot flour (200 g) in different prop</w:t>
      </w:r>
      <w:r w:rsidR="00646333">
        <w:rPr>
          <w:rFonts w:ascii="Times New Roman" w:hAnsi="Times New Roman" w:cs="Times New Roman"/>
          <w:sz w:val="24"/>
          <w:szCs w:val="24"/>
        </w:rPr>
        <w:t>ortions (Table 2S</w:t>
      </w:r>
      <w:r w:rsidRPr="00D91F09">
        <w:rPr>
          <w:rFonts w:ascii="Times New Roman" w:hAnsi="Times New Roman" w:cs="Times New Roman"/>
          <w:sz w:val="24"/>
          <w:szCs w:val="24"/>
        </w:rPr>
        <w:t>), and date palm flour (60 g) were measured out into a dough pan. To the flour mixture, 80 g of margarine (facilitated the biscuit to spread out during baking) and 0.5 g of xanthan gum (served as dough thickener or stabilizer) were added. Afterwards, water (120 ml) was used to mix all the ingredients to form a smooth dough. The dough was manually rolled out on a tray (5 mm height) with a wooden roller. A round-shaped biscuit cutter (approx. 4.9 cm diameter) was used to cut the rolled</w:t>
      </w:r>
      <w:r w:rsidR="00AB048A">
        <w:rPr>
          <w:rFonts w:ascii="Times New Roman" w:hAnsi="Times New Roman" w:cs="Times New Roman"/>
          <w:sz w:val="24"/>
          <w:szCs w:val="24"/>
        </w:rPr>
        <w:t>-</w:t>
      </w:r>
      <w:r w:rsidRPr="00D91F09">
        <w:rPr>
          <w:rFonts w:ascii="Times New Roman" w:hAnsi="Times New Roman" w:cs="Times New Roman"/>
          <w:sz w:val="24"/>
          <w:szCs w:val="24"/>
        </w:rPr>
        <w:t xml:space="preserve">out dough. The dough pieces were neatly arranged on a baking tray laced </w:t>
      </w:r>
      <w:r w:rsidR="00AB048A">
        <w:rPr>
          <w:rFonts w:ascii="Times New Roman" w:hAnsi="Times New Roman" w:cs="Times New Roman"/>
          <w:sz w:val="24"/>
          <w:szCs w:val="24"/>
        </w:rPr>
        <w:t xml:space="preserve">with </w:t>
      </w:r>
      <w:r w:rsidRPr="00D91F09">
        <w:rPr>
          <w:rFonts w:ascii="Times New Roman" w:hAnsi="Times New Roman" w:cs="Times New Roman"/>
          <w:sz w:val="24"/>
          <w:szCs w:val="24"/>
        </w:rPr>
        <w:t>aluminium foil coated with margarine. The dough pieces were then baked (160 ± 2 °C for 30 min) in a pre-heated Unox steam convection oven and cooled to room temperature for 30 min. The biscuits were tightly in zip-seal food bags and stored at 4 ± 2 °C for further experimental use.</w:t>
      </w:r>
    </w:p>
    <w:p w14:paraId="16ED2F8E" w14:textId="5B9A4A3A" w:rsidR="00646333" w:rsidRPr="004054B4" w:rsidRDefault="00646333" w:rsidP="00646333">
      <w:pPr>
        <w:spacing w:line="240" w:lineRule="auto"/>
        <w:jc w:val="both"/>
        <w:rPr>
          <w:rFonts w:ascii="Times New Roman" w:hAnsi="Times New Roman" w:cs="Times New Roman"/>
          <w:sz w:val="24"/>
          <w:szCs w:val="24"/>
        </w:rPr>
      </w:pPr>
      <w:r>
        <w:rPr>
          <w:rFonts w:ascii="Times New Roman" w:hAnsi="Times New Roman" w:cs="Times New Roman"/>
          <w:b/>
          <w:sz w:val="24"/>
          <w:szCs w:val="24"/>
        </w:rPr>
        <w:t>Table 2S</w:t>
      </w:r>
      <w:r w:rsidR="00CF5D1D">
        <w:rPr>
          <w:rFonts w:ascii="Times New Roman" w:hAnsi="Times New Roman" w:cs="Times New Roman"/>
          <w:b/>
          <w:sz w:val="24"/>
          <w:szCs w:val="24"/>
        </w:rPr>
        <w:t xml:space="preserve"> </w:t>
      </w:r>
      <w:r w:rsidR="00453D98">
        <w:rPr>
          <w:rFonts w:ascii="Times New Roman" w:hAnsi="Times New Roman" w:cs="Times New Roman"/>
          <w:sz w:val="24"/>
          <w:szCs w:val="24"/>
        </w:rPr>
        <w:t>Sample Formulation/Blends R</w:t>
      </w:r>
      <w:r w:rsidRPr="004054B4">
        <w:rPr>
          <w:rFonts w:ascii="Times New Roman" w:hAnsi="Times New Roman" w:cs="Times New Roman"/>
          <w:sz w:val="24"/>
          <w:szCs w:val="24"/>
        </w:rPr>
        <w:t xml:space="preserve">atio of </w:t>
      </w:r>
      <w:r w:rsidR="009B635D">
        <w:rPr>
          <w:rFonts w:ascii="Times New Roman" w:hAnsi="Times New Roman" w:cs="Times New Roman"/>
          <w:sz w:val="24"/>
          <w:szCs w:val="24"/>
        </w:rPr>
        <w:t>SEPB</w:t>
      </w:r>
    </w:p>
    <w:tbl>
      <w:tblPr>
        <w:tblStyle w:val="TableGrid"/>
        <w:tblW w:w="98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118"/>
        <w:gridCol w:w="1985"/>
        <w:gridCol w:w="1559"/>
        <w:gridCol w:w="1701"/>
      </w:tblGrid>
      <w:tr w:rsidR="00646333" w14:paraId="24C5A191" w14:textId="77777777" w:rsidTr="00646333">
        <w:tc>
          <w:tcPr>
            <w:tcW w:w="1526" w:type="dxa"/>
            <w:tcBorders>
              <w:top w:val="single" w:sz="4" w:space="0" w:color="auto"/>
              <w:left w:val="nil"/>
              <w:bottom w:val="nil"/>
              <w:right w:val="nil"/>
            </w:tcBorders>
            <w:vAlign w:val="bottom"/>
          </w:tcPr>
          <w:p w14:paraId="24461FAC" w14:textId="77777777" w:rsidR="00646333" w:rsidRDefault="00646333" w:rsidP="00646333">
            <w:pPr>
              <w:spacing w:line="360" w:lineRule="auto"/>
              <w:jc w:val="both"/>
              <w:rPr>
                <w:rFonts w:ascii="Times New Roman" w:hAnsi="Times New Roman" w:cs="Times New Roman"/>
                <w:b/>
                <w:sz w:val="24"/>
                <w:szCs w:val="24"/>
              </w:rPr>
            </w:pPr>
          </w:p>
        </w:tc>
        <w:tc>
          <w:tcPr>
            <w:tcW w:w="3118" w:type="dxa"/>
            <w:tcBorders>
              <w:top w:val="single" w:sz="4" w:space="0" w:color="auto"/>
              <w:left w:val="nil"/>
              <w:bottom w:val="nil"/>
              <w:right w:val="nil"/>
            </w:tcBorders>
            <w:vAlign w:val="bottom"/>
          </w:tcPr>
          <w:p w14:paraId="3139CF18" w14:textId="77777777" w:rsidR="00646333" w:rsidRDefault="00646333" w:rsidP="00646333">
            <w:pPr>
              <w:spacing w:line="360" w:lineRule="auto"/>
              <w:jc w:val="both"/>
              <w:rPr>
                <w:rFonts w:ascii="Times New Roman" w:hAnsi="Times New Roman" w:cs="Times New Roman"/>
                <w:b/>
                <w:sz w:val="24"/>
                <w:szCs w:val="24"/>
              </w:rPr>
            </w:pPr>
          </w:p>
        </w:tc>
        <w:tc>
          <w:tcPr>
            <w:tcW w:w="5245" w:type="dxa"/>
            <w:gridSpan w:val="3"/>
            <w:tcBorders>
              <w:top w:val="single" w:sz="4" w:space="0" w:color="auto"/>
              <w:left w:val="nil"/>
              <w:bottom w:val="single" w:sz="4" w:space="0" w:color="auto"/>
              <w:right w:val="nil"/>
            </w:tcBorders>
            <w:vAlign w:val="bottom"/>
            <w:hideMark/>
          </w:tcPr>
          <w:p w14:paraId="11CA9BBF" w14:textId="48B35C8A" w:rsidR="00646333" w:rsidRDefault="00646333" w:rsidP="00AB048A">
            <w:pPr>
              <w:spacing w:line="360" w:lineRule="auto"/>
              <w:rPr>
                <w:rFonts w:ascii="Times New Roman" w:hAnsi="Times New Roman" w:cs="Times New Roman"/>
                <w:b/>
                <w:sz w:val="24"/>
                <w:szCs w:val="24"/>
              </w:rPr>
            </w:pPr>
            <w:r>
              <w:rPr>
                <w:rFonts w:ascii="Times New Roman" w:hAnsi="Times New Roman" w:cs="Times New Roman"/>
                <w:b/>
                <w:sz w:val="24"/>
                <w:szCs w:val="24"/>
              </w:rPr>
              <w:t>Blending ratio (Expressed in %)</w:t>
            </w:r>
          </w:p>
        </w:tc>
      </w:tr>
      <w:tr w:rsidR="00646333" w14:paraId="1E21665D" w14:textId="77777777" w:rsidTr="00646333">
        <w:tc>
          <w:tcPr>
            <w:tcW w:w="1526" w:type="dxa"/>
            <w:tcBorders>
              <w:top w:val="nil"/>
              <w:left w:val="nil"/>
              <w:bottom w:val="single" w:sz="4" w:space="0" w:color="auto"/>
              <w:right w:val="nil"/>
            </w:tcBorders>
            <w:vAlign w:val="bottom"/>
            <w:hideMark/>
          </w:tcPr>
          <w:p w14:paraId="4CD3ED79" w14:textId="77777777" w:rsidR="00646333" w:rsidRDefault="00646333" w:rsidP="00646333">
            <w:pPr>
              <w:spacing w:line="360" w:lineRule="auto"/>
              <w:jc w:val="both"/>
              <w:rPr>
                <w:rFonts w:ascii="Times New Roman" w:hAnsi="Times New Roman" w:cs="Times New Roman"/>
                <w:b/>
                <w:sz w:val="24"/>
                <w:szCs w:val="24"/>
              </w:rPr>
            </w:pPr>
            <w:r>
              <w:rPr>
                <w:rFonts w:ascii="Times New Roman" w:hAnsi="Times New Roman" w:cs="Times New Roman"/>
                <w:b/>
                <w:sz w:val="24"/>
                <w:szCs w:val="24"/>
              </w:rPr>
              <w:t>Samples</w:t>
            </w:r>
          </w:p>
        </w:tc>
        <w:tc>
          <w:tcPr>
            <w:tcW w:w="3118" w:type="dxa"/>
            <w:tcBorders>
              <w:top w:val="nil"/>
              <w:left w:val="nil"/>
              <w:bottom w:val="single" w:sz="4" w:space="0" w:color="auto"/>
              <w:right w:val="nil"/>
            </w:tcBorders>
            <w:vAlign w:val="bottom"/>
            <w:hideMark/>
          </w:tcPr>
          <w:p w14:paraId="794A24D4" w14:textId="77777777" w:rsidR="00646333" w:rsidRDefault="00646333" w:rsidP="00646333">
            <w:pPr>
              <w:spacing w:line="360" w:lineRule="auto"/>
              <w:jc w:val="both"/>
              <w:rPr>
                <w:rFonts w:ascii="Times New Roman" w:hAnsi="Times New Roman" w:cs="Times New Roman"/>
                <w:b/>
                <w:sz w:val="24"/>
                <w:szCs w:val="24"/>
              </w:rPr>
            </w:pPr>
            <w:r>
              <w:rPr>
                <w:rFonts w:ascii="Times New Roman" w:hAnsi="Times New Roman" w:cs="Times New Roman"/>
                <w:b/>
                <w:sz w:val="24"/>
                <w:szCs w:val="24"/>
              </w:rPr>
              <w:t>Formulation (%w/w)</w:t>
            </w:r>
          </w:p>
        </w:tc>
        <w:tc>
          <w:tcPr>
            <w:tcW w:w="1985" w:type="dxa"/>
            <w:tcBorders>
              <w:top w:val="single" w:sz="4" w:space="0" w:color="auto"/>
              <w:left w:val="nil"/>
              <w:bottom w:val="single" w:sz="4" w:space="0" w:color="auto"/>
              <w:right w:val="nil"/>
            </w:tcBorders>
            <w:vAlign w:val="bottom"/>
            <w:hideMark/>
          </w:tcPr>
          <w:p w14:paraId="2C73CC1B" w14:textId="77777777" w:rsidR="00646333" w:rsidRDefault="00646333" w:rsidP="006463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Unripe Plantain</w:t>
            </w:r>
          </w:p>
        </w:tc>
        <w:tc>
          <w:tcPr>
            <w:tcW w:w="1559" w:type="dxa"/>
            <w:tcBorders>
              <w:top w:val="single" w:sz="4" w:space="0" w:color="auto"/>
              <w:left w:val="nil"/>
              <w:bottom w:val="single" w:sz="4" w:space="0" w:color="auto"/>
              <w:right w:val="nil"/>
            </w:tcBorders>
            <w:vAlign w:val="bottom"/>
            <w:hideMark/>
          </w:tcPr>
          <w:p w14:paraId="716A01A5" w14:textId="77777777" w:rsidR="00646333" w:rsidRDefault="00646333" w:rsidP="006463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Shallot</w:t>
            </w:r>
          </w:p>
        </w:tc>
        <w:tc>
          <w:tcPr>
            <w:tcW w:w="1701" w:type="dxa"/>
            <w:tcBorders>
              <w:top w:val="single" w:sz="4" w:space="0" w:color="auto"/>
              <w:left w:val="nil"/>
              <w:bottom w:val="single" w:sz="4" w:space="0" w:color="auto"/>
              <w:right w:val="nil"/>
            </w:tcBorders>
            <w:vAlign w:val="bottom"/>
            <w:hideMark/>
          </w:tcPr>
          <w:p w14:paraId="0ACE0EFB" w14:textId="77777777" w:rsidR="00646333" w:rsidRDefault="00646333" w:rsidP="006463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r>
      <w:tr w:rsidR="00646333" w14:paraId="146A6612" w14:textId="77777777" w:rsidTr="00646333">
        <w:tc>
          <w:tcPr>
            <w:tcW w:w="1526" w:type="dxa"/>
            <w:tcBorders>
              <w:top w:val="single" w:sz="4" w:space="0" w:color="auto"/>
              <w:left w:val="nil"/>
              <w:bottom w:val="nil"/>
              <w:right w:val="nil"/>
            </w:tcBorders>
            <w:vAlign w:val="bottom"/>
          </w:tcPr>
          <w:p w14:paraId="0260B396"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COMBIS </w:t>
            </w:r>
          </w:p>
        </w:tc>
        <w:tc>
          <w:tcPr>
            <w:tcW w:w="3118" w:type="dxa"/>
            <w:tcBorders>
              <w:top w:val="single" w:sz="4" w:space="0" w:color="auto"/>
              <w:left w:val="nil"/>
              <w:bottom w:val="nil"/>
              <w:right w:val="nil"/>
            </w:tcBorders>
            <w:vAlign w:val="bottom"/>
          </w:tcPr>
          <w:p w14:paraId="52D64500"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Commercial Onion Biscuit</w:t>
            </w:r>
          </w:p>
        </w:tc>
        <w:tc>
          <w:tcPr>
            <w:tcW w:w="1985" w:type="dxa"/>
            <w:tcBorders>
              <w:top w:val="single" w:sz="4" w:space="0" w:color="auto"/>
              <w:left w:val="nil"/>
              <w:bottom w:val="nil"/>
              <w:right w:val="nil"/>
            </w:tcBorders>
            <w:vAlign w:val="bottom"/>
          </w:tcPr>
          <w:p w14:paraId="01220419"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nil"/>
              <w:bottom w:val="nil"/>
              <w:right w:val="nil"/>
            </w:tcBorders>
            <w:vAlign w:val="bottom"/>
          </w:tcPr>
          <w:p w14:paraId="1103D733"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auto"/>
              <w:left w:val="nil"/>
              <w:bottom w:val="nil"/>
              <w:right w:val="nil"/>
            </w:tcBorders>
            <w:vAlign w:val="bottom"/>
          </w:tcPr>
          <w:p w14:paraId="5B638822"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46333" w14:paraId="0B187E10" w14:textId="77777777" w:rsidTr="00646333">
        <w:tc>
          <w:tcPr>
            <w:tcW w:w="1526" w:type="dxa"/>
            <w:tcBorders>
              <w:top w:val="nil"/>
              <w:left w:val="nil"/>
              <w:bottom w:val="nil"/>
              <w:right w:val="nil"/>
            </w:tcBorders>
            <w:vAlign w:val="bottom"/>
          </w:tcPr>
          <w:p w14:paraId="50DA76F0"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SB0</w:t>
            </w:r>
          </w:p>
        </w:tc>
        <w:tc>
          <w:tcPr>
            <w:tcW w:w="3118" w:type="dxa"/>
            <w:tcBorders>
              <w:top w:val="nil"/>
              <w:left w:val="nil"/>
              <w:bottom w:val="nil"/>
              <w:right w:val="nil"/>
            </w:tcBorders>
            <w:vAlign w:val="bottom"/>
          </w:tcPr>
          <w:p w14:paraId="6811AA14"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Plantain + Shallot </w:t>
            </w:r>
          </w:p>
        </w:tc>
        <w:tc>
          <w:tcPr>
            <w:tcW w:w="1985" w:type="dxa"/>
            <w:tcBorders>
              <w:top w:val="nil"/>
              <w:left w:val="nil"/>
              <w:bottom w:val="nil"/>
              <w:right w:val="nil"/>
            </w:tcBorders>
            <w:vAlign w:val="bottom"/>
          </w:tcPr>
          <w:p w14:paraId="08B6B9C1"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nil"/>
              <w:left w:val="nil"/>
              <w:bottom w:val="nil"/>
              <w:right w:val="nil"/>
            </w:tcBorders>
            <w:vAlign w:val="bottom"/>
          </w:tcPr>
          <w:p w14:paraId="6500D796"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nil"/>
              <w:left w:val="nil"/>
              <w:bottom w:val="nil"/>
              <w:right w:val="nil"/>
            </w:tcBorders>
            <w:vAlign w:val="bottom"/>
          </w:tcPr>
          <w:p w14:paraId="6C5B715A"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46333" w14:paraId="5D9F7419" w14:textId="77777777" w:rsidTr="00646333">
        <w:tc>
          <w:tcPr>
            <w:tcW w:w="1526" w:type="dxa"/>
            <w:tcBorders>
              <w:top w:val="nil"/>
              <w:left w:val="nil"/>
              <w:bottom w:val="single" w:sz="4" w:space="0" w:color="auto"/>
              <w:right w:val="nil"/>
            </w:tcBorders>
            <w:vAlign w:val="bottom"/>
          </w:tcPr>
          <w:p w14:paraId="45A8E2BC"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SB20</w:t>
            </w:r>
          </w:p>
        </w:tc>
        <w:tc>
          <w:tcPr>
            <w:tcW w:w="3118" w:type="dxa"/>
            <w:tcBorders>
              <w:top w:val="nil"/>
              <w:left w:val="nil"/>
              <w:bottom w:val="single" w:sz="4" w:space="0" w:color="auto"/>
              <w:right w:val="nil"/>
            </w:tcBorders>
          </w:tcPr>
          <w:p w14:paraId="7B0F259A" w14:textId="77777777" w:rsidR="00646333" w:rsidRDefault="00646333" w:rsidP="00646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Plantain + Shallot </w:t>
            </w:r>
          </w:p>
        </w:tc>
        <w:tc>
          <w:tcPr>
            <w:tcW w:w="1985" w:type="dxa"/>
            <w:tcBorders>
              <w:top w:val="nil"/>
              <w:left w:val="nil"/>
              <w:bottom w:val="single" w:sz="4" w:space="0" w:color="auto"/>
              <w:right w:val="nil"/>
            </w:tcBorders>
            <w:vAlign w:val="bottom"/>
          </w:tcPr>
          <w:p w14:paraId="0F2286F3"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559" w:type="dxa"/>
            <w:tcBorders>
              <w:top w:val="nil"/>
              <w:left w:val="nil"/>
              <w:bottom w:val="single" w:sz="4" w:space="0" w:color="auto"/>
              <w:right w:val="nil"/>
            </w:tcBorders>
            <w:vAlign w:val="bottom"/>
          </w:tcPr>
          <w:p w14:paraId="3A9FD173"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4" w:space="0" w:color="auto"/>
              <w:right w:val="nil"/>
            </w:tcBorders>
          </w:tcPr>
          <w:p w14:paraId="2032F2F5" w14:textId="77777777" w:rsidR="00646333" w:rsidRDefault="00646333" w:rsidP="00646333">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4935CDC8" w14:textId="77777777" w:rsidR="00646333" w:rsidRDefault="00646333" w:rsidP="0064633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COMBIS: Commercial Onion Biscuit, SB0: 100% plantain biscuit, SB20: 80% Plantain + 20% Shallot biscuit.</w:t>
      </w:r>
    </w:p>
    <w:p w14:paraId="7E67BF06" w14:textId="69B446B9" w:rsidR="00D91F09" w:rsidRPr="00D91F09" w:rsidRDefault="00453D98" w:rsidP="00D91F09">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Animals and Experimental P</w:t>
      </w:r>
      <w:r w:rsidR="00D91F09" w:rsidRPr="00D91F09">
        <w:rPr>
          <w:rFonts w:ascii="Times New Roman" w:hAnsi="Times New Roman" w:cs="Times New Roman"/>
          <w:b/>
          <w:sz w:val="24"/>
          <w:szCs w:val="24"/>
        </w:rPr>
        <w:t>rotocol</w:t>
      </w:r>
    </w:p>
    <w:p w14:paraId="6D18397F" w14:textId="0BAE7922" w:rsidR="00D91F09" w:rsidRPr="007A4CF1" w:rsidRDefault="00453D98" w:rsidP="00D91F09">
      <w:pPr>
        <w:spacing w:line="480" w:lineRule="auto"/>
        <w:rPr>
          <w:rFonts w:ascii="Times New Roman" w:hAnsi="Times New Roman" w:cs="Times New Roman"/>
          <w:b/>
          <w:i/>
          <w:sz w:val="24"/>
          <w:szCs w:val="24"/>
        </w:rPr>
      </w:pPr>
      <w:r>
        <w:rPr>
          <w:rFonts w:ascii="Times New Roman" w:hAnsi="Times New Roman" w:cs="Times New Roman"/>
          <w:b/>
          <w:i/>
          <w:sz w:val="24"/>
          <w:szCs w:val="24"/>
        </w:rPr>
        <w:t>Animal Source and H</w:t>
      </w:r>
      <w:r w:rsidR="00D91F09" w:rsidRPr="007A4CF1">
        <w:rPr>
          <w:rFonts w:ascii="Times New Roman" w:hAnsi="Times New Roman" w:cs="Times New Roman"/>
          <w:b/>
          <w:i/>
          <w:sz w:val="24"/>
          <w:szCs w:val="24"/>
        </w:rPr>
        <w:t>andling</w:t>
      </w:r>
    </w:p>
    <w:p w14:paraId="5562A1C4" w14:textId="5B221B6A"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 xml:space="preserve">Thirty-six mature male albino rats weighing (180-200 g) were obtained from the Central Animal House of the Department of Biochemistry, Federal University of Technology, Akure, Nigeria. The animals were housed in aerated plastic cages maintained at 25 °C on 12 h light/dark cycles, with free access to the commercial rat pellet and water </w:t>
      </w:r>
      <w:r w:rsidRPr="00D91F09">
        <w:rPr>
          <w:rFonts w:ascii="Times New Roman" w:hAnsi="Times New Roman" w:cs="Times New Roman"/>
          <w:i/>
          <w:sz w:val="24"/>
          <w:szCs w:val="24"/>
        </w:rPr>
        <w:t>ad libitum</w:t>
      </w:r>
      <w:r w:rsidRPr="00D91F09">
        <w:rPr>
          <w:rFonts w:ascii="Times New Roman" w:hAnsi="Times New Roman" w:cs="Times New Roman"/>
          <w:sz w:val="24"/>
          <w:szCs w:val="24"/>
        </w:rPr>
        <w:t>. The experimental animals were allowed to acclimatize for 30 days before inducing them with diabetes.</w:t>
      </w:r>
    </w:p>
    <w:p w14:paraId="43E4B3F2" w14:textId="0E20F772" w:rsidR="00D91F09" w:rsidRPr="007A4CF1" w:rsidRDefault="00453D98" w:rsidP="00D91F09">
      <w:pPr>
        <w:spacing w:line="480" w:lineRule="auto"/>
        <w:rPr>
          <w:rFonts w:ascii="Times New Roman" w:hAnsi="Times New Roman" w:cs="Times New Roman"/>
          <w:b/>
          <w:i/>
          <w:sz w:val="24"/>
          <w:szCs w:val="24"/>
        </w:rPr>
      </w:pPr>
      <w:r>
        <w:rPr>
          <w:rFonts w:ascii="Times New Roman" w:hAnsi="Times New Roman" w:cs="Times New Roman"/>
          <w:b/>
          <w:i/>
          <w:sz w:val="24"/>
          <w:szCs w:val="24"/>
        </w:rPr>
        <w:t>Induction of Type II Diabetes and Experimental G</w:t>
      </w:r>
      <w:r w:rsidR="00D91F09" w:rsidRPr="007A4CF1">
        <w:rPr>
          <w:rFonts w:ascii="Times New Roman" w:hAnsi="Times New Roman" w:cs="Times New Roman"/>
          <w:b/>
          <w:i/>
          <w:sz w:val="24"/>
          <w:szCs w:val="24"/>
        </w:rPr>
        <w:t>rouping</w:t>
      </w:r>
    </w:p>
    <w:p w14:paraId="37D8194A" w14:textId="523485A3"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The rats were fed wit</w:t>
      </w:r>
      <w:r w:rsidR="007C025A">
        <w:rPr>
          <w:rFonts w:ascii="Times New Roman" w:hAnsi="Times New Roman" w:cs="Times New Roman"/>
          <w:sz w:val="24"/>
          <w:szCs w:val="24"/>
        </w:rPr>
        <w:t xml:space="preserve">h </w:t>
      </w:r>
      <w:r w:rsidR="00AB048A">
        <w:rPr>
          <w:rFonts w:ascii="Times New Roman" w:hAnsi="Times New Roman" w:cs="Times New Roman"/>
          <w:sz w:val="24"/>
          <w:szCs w:val="24"/>
        </w:rPr>
        <w:t xml:space="preserve">a </w:t>
      </w:r>
      <w:r w:rsidR="007C025A">
        <w:rPr>
          <w:rFonts w:ascii="Times New Roman" w:hAnsi="Times New Roman" w:cs="Times New Roman"/>
          <w:sz w:val="24"/>
          <w:szCs w:val="24"/>
        </w:rPr>
        <w:t>formulated high-fat diet (Table 3S</w:t>
      </w:r>
      <w:r w:rsidRPr="00D91F09">
        <w:rPr>
          <w:rFonts w:ascii="Times New Roman" w:hAnsi="Times New Roman" w:cs="Times New Roman"/>
          <w:sz w:val="24"/>
          <w:szCs w:val="24"/>
        </w:rPr>
        <w:t xml:space="preserve">) for 14 days, followed by </w:t>
      </w:r>
      <w:r w:rsidR="00AB048A">
        <w:rPr>
          <w:rFonts w:ascii="Times New Roman" w:hAnsi="Times New Roman" w:cs="Times New Roman"/>
          <w:sz w:val="24"/>
          <w:szCs w:val="24"/>
        </w:rPr>
        <w:t xml:space="preserve">an </w:t>
      </w:r>
      <w:r w:rsidRPr="00D91F09">
        <w:rPr>
          <w:rFonts w:ascii="Times New Roman" w:hAnsi="Times New Roman" w:cs="Times New Roman"/>
          <w:sz w:val="24"/>
          <w:szCs w:val="24"/>
        </w:rPr>
        <w:t xml:space="preserve">intraperitoneal injection of STZ (35 mg/kg body weight) on day 14 as described by Ajatta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{"citationID":"KftZiiA9","properties":{"formattedCitation":"[3]","plainCitation":"[3]","noteIndex":0},"citationItems":[{"id":1308,"uris":["http://zotero.org/users/5341874/items/7IVXH2HI"],"itemData":{"id":1308,"type":"article-journal","container-title":"Journal of Food Biochemistry","issue":"3","note":"ISBN: 0145-8884\npublisher: Wiley Online Library","page":"e13473","title":"Cognitive impairment by non‐insulin‐dependent diabetes mellitus was attenuated by dietary supplements of marble vine (Dioclea reflexa) and plantain (Musa paradisiaca) dough meals in albino rats","volume":"45","author":[{"family":"Ajatta","given":"Mary A."},{"family":"Oladipupo","given":"Olumayowa R."},{"family":"Josiah","given":"Sunday S."},{"family":"Osundahunsi","given":"Oluwatooyin F."},{"family":"Omoba","given":"Olufunmilayo S."}],"issued":{"date-parts":[["2021"]]}}}],"schema":"https://github.com/citation-style-language/schema/raw/master/csl-citation.json"}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[3]</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The experimental animals were divided into six groups (n = 6) as follows;</w:t>
      </w:r>
    </w:p>
    <w:p w14:paraId="784F0592" w14:textId="77777777"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sz w:val="24"/>
          <w:szCs w:val="24"/>
        </w:rPr>
        <w:t>Group 1:</w:t>
      </w:r>
      <w:r w:rsidRPr="00D91F09">
        <w:rPr>
          <w:rFonts w:ascii="Times New Roman" w:hAnsi="Times New Roman" w:cs="Times New Roman"/>
          <w:sz w:val="24"/>
          <w:szCs w:val="24"/>
        </w:rPr>
        <w:t xml:space="preserve"> Normal rats fed with basal feed (Control).</w:t>
      </w:r>
    </w:p>
    <w:p w14:paraId="0A959C24" w14:textId="3FA003F7"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sz w:val="24"/>
          <w:szCs w:val="24"/>
        </w:rPr>
        <w:t>Group 2:</w:t>
      </w:r>
      <w:r w:rsidRPr="00D91F09">
        <w:rPr>
          <w:rFonts w:ascii="Times New Roman" w:hAnsi="Times New Roman" w:cs="Times New Roman"/>
          <w:bCs/>
          <w:sz w:val="24"/>
          <w:szCs w:val="24"/>
        </w:rPr>
        <w:t xml:space="preserve"> Diabetic rats induced with high</w:t>
      </w:r>
      <w:r w:rsidR="00AB048A">
        <w:rPr>
          <w:rFonts w:ascii="Times New Roman" w:hAnsi="Times New Roman" w:cs="Times New Roman"/>
          <w:bCs/>
          <w:sz w:val="24"/>
          <w:szCs w:val="24"/>
        </w:rPr>
        <w:t>-</w:t>
      </w:r>
      <w:r w:rsidRPr="00D91F09">
        <w:rPr>
          <w:rFonts w:ascii="Times New Roman" w:hAnsi="Times New Roman" w:cs="Times New Roman"/>
          <w:bCs/>
          <w:sz w:val="24"/>
          <w:szCs w:val="24"/>
        </w:rPr>
        <w:t xml:space="preserve">fat diet/STZ </w:t>
      </w:r>
      <w:r w:rsidRPr="00D91F09">
        <w:rPr>
          <w:rFonts w:ascii="Times New Roman" w:hAnsi="Times New Roman" w:cs="Times New Roman"/>
          <w:sz w:val="24"/>
          <w:szCs w:val="24"/>
        </w:rPr>
        <w:t>(HFD/STZ).</w:t>
      </w:r>
    </w:p>
    <w:p w14:paraId="2893CC59" w14:textId="1B80C2E2"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sz w:val="24"/>
          <w:szCs w:val="24"/>
        </w:rPr>
        <w:t>Group 3:</w:t>
      </w:r>
      <w:r w:rsidRPr="00D91F09">
        <w:rPr>
          <w:rFonts w:ascii="Times New Roman" w:hAnsi="Times New Roman" w:cs="Times New Roman"/>
          <w:bCs/>
          <w:sz w:val="24"/>
          <w:szCs w:val="24"/>
        </w:rPr>
        <w:t xml:space="preserve"> Diabetic rats induced with HFD/STZ, and treated with 0% shallot</w:t>
      </w:r>
      <w:r w:rsidR="00AB048A">
        <w:rPr>
          <w:rFonts w:ascii="Times New Roman" w:hAnsi="Times New Roman" w:cs="Times New Roman"/>
          <w:bCs/>
          <w:sz w:val="24"/>
          <w:szCs w:val="24"/>
        </w:rPr>
        <w:t>-</w:t>
      </w:r>
      <w:r w:rsidRPr="00D91F09">
        <w:rPr>
          <w:rFonts w:ascii="Times New Roman" w:hAnsi="Times New Roman" w:cs="Times New Roman"/>
          <w:bCs/>
          <w:sz w:val="24"/>
          <w:szCs w:val="24"/>
        </w:rPr>
        <w:t>enriched plantain biscuit</w:t>
      </w:r>
      <w:r w:rsidRPr="00D91F09">
        <w:rPr>
          <w:rFonts w:ascii="Times New Roman" w:hAnsi="Times New Roman" w:cs="Times New Roman"/>
          <w:sz w:val="24"/>
          <w:szCs w:val="24"/>
        </w:rPr>
        <w:t xml:space="preserve"> (SB0) diet.</w:t>
      </w:r>
    </w:p>
    <w:p w14:paraId="49133FCF" w14:textId="5132EE3C"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sz w:val="24"/>
          <w:szCs w:val="24"/>
        </w:rPr>
        <w:t>Group 4:</w:t>
      </w:r>
      <w:r w:rsidRPr="00D91F09">
        <w:rPr>
          <w:rFonts w:ascii="Times New Roman" w:hAnsi="Times New Roman" w:cs="Times New Roman"/>
          <w:bCs/>
          <w:sz w:val="24"/>
          <w:szCs w:val="24"/>
        </w:rPr>
        <w:t xml:space="preserve"> Diabetic rats induced with HFD/STZ, and treated with 20% shallot</w:t>
      </w:r>
      <w:r w:rsidR="00AB048A">
        <w:rPr>
          <w:rFonts w:ascii="Times New Roman" w:hAnsi="Times New Roman" w:cs="Times New Roman"/>
          <w:bCs/>
          <w:sz w:val="24"/>
          <w:szCs w:val="24"/>
        </w:rPr>
        <w:t>-</w:t>
      </w:r>
      <w:r w:rsidRPr="00D91F09">
        <w:rPr>
          <w:rFonts w:ascii="Times New Roman" w:hAnsi="Times New Roman" w:cs="Times New Roman"/>
          <w:bCs/>
          <w:sz w:val="24"/>
          <w:szCs w:val="24"/>
        </w:rPr>
        <w:t>enriched plantain biscuit</w:t>
      </w:r>
      <w:r w:rsidRPr="00D91F09">
        <w:rPr>
          <w:rFonts w:ascii="Times New Roman" w:hAnsi="Times New Roman" w:cs="Times New Roman"/>
          <w:sz w:val="24"/>
          <w:szCs w:val="24"/>
        </w:rPr>
        <w:t xml:space="preserve"> (SB20) diet.</w:t>
      </w:r>
    </w:p>
    <w:p w14:paraId="0283BB00" w14:textId="06FB7404"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bCs/>
          <w:sz w:val="24"/>
          <w:szCs w:val="24"/>
        </w:rPr>
        <w:t>Group 5:</w:t>
      </w:r>
      <w:r w:rsidRPr="00D91F09">
        <w:rPr>
          <w:rFonts w:ascii="Times New Roman" w:hAnsi="Times New Roman" w:cs="Times New Roman"/>
          <w:bCs/>
          <w:sz w:val="24"/>
          <w:szCs w:val="24"/>
        </w:rPr>
        <w:t xml:space="preserve"> Diabetic rats induced with HFD/STZ and treated with </w:t>
      </w:r>
      <w:r w:rsidR="00AB048A">
        <w:rPr>
          <w:rFonts w:ascii="Times New Roman" w:hAnsi="Times New Roman" w:cs="Times New Roman"/>
          <w:bCs/>
          <w:sz w:val="24"/>
          <w:szCs w:val="24"/>
        </w:rPr>
        <w:t xml:space="preserve">a </w:t>
      </w:r>
      <w:r w:rsidRPr="00D91F09">
        <w:rPr>
          <w:rFonts w:ascii="Times New Roman" w:hAnsi="Times New Roman" w:cs="Times New Roman"/>
          <w:bCs/>
          <w:sz w:val="24"/>
          <w:szCs w:val="24"/>
        </w:rPr>
        <w:t>commercial onion biscuit (COMBIS) diet.</w:t>
      </w:r>
    </w:p>
    <w:p w14:paraId="12A99777" w14:textId="77777777" w:rsidR="00D91F09" w:rsidRP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b/>
          <w:bCs/>
          <w:sz w:val="24"/>
          <w:szCs w:val="24"/>
        </w:rPr>
        <w:t>Group 6:</w:t>
      </w:r>
      <w:r w:rsidRPr="00D91F09">
        <w:rPr>
          <w:rFonts w:ascii="Times New Roman" w:hAnsi="Times New Roman" w:cs="Times New Roman"/>
          <w:bCs/>
          <w:sz w:val="24"/>
          <w:szCs w:val="24"/>
        </w:rPr>
        <w:t xml:space="preserve"> Diabetic rats induced with HFD/STZ and treated with Metformin (MET).</w:t>
      </w:r>
    </w:p>
    <w:p w14:paraId="0F246702" w14:textId="284BBF31" w:rsidR="00D91F09" w:rsidRDefault="00D91F09" w:rsidP="00D91F09">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 xml:space="preserve">The experimental animals were treated orally with SB0, SB20 and COMBIS, and intraperitoneally with standard drug (metformin) for 14 days. The blood glucose level of the animals was monitored at Day 0, 7 and 14 of the experiment using </w:t>
      </w:r>
      <w:r w:rsidR="00AB048A">
        <w:rPr>
          <w:rFonts w:ascii="Times New Roman" w:hAnsi="Times New Roman" w:cs="Times New Roman"/>
          <w:sz w:val="24"/>
          <w:szCs w:val="24"/>
        </w:rPr>
        <w:t xml:space="preserve">a </w:t>
      </w:r>
      <w:r w:rsidRPr="00D91F09">
        <w:rPr>
          <w:rFonts w:ascii="Times New Roman" w:hAnsi="Times New Roman" w:cs="Times New Roman"/>
          <w:sz w:val="24"/>
          <w:szCs w:val="24"/>
        </w:rPr>
        <w:t>glucometer (ACCU-CHEK ACTIVE, Roche, Germany).</w:t>
      </w:r>
    </w:p>
    <w:p w14:paraId="7C11C6BB" w14:textId="61E6549B" w:rsidR="007C025A" w:rsidRDefault="007C025A" w:rsidP="00D91F09">
      <w:pPr>
        <w:autoSpaceDE w:val="0"/>
        <w:autoSpaceDN w:val="0"/>
        <w:adjustRightInd w:val="0"/>
        <w:spacing w:after="0" w:line="480" w:lineRule="auto"/>
        <w:jc w:val="both"/>
        <w:rPr>
          <w:rFonts w:ascii="Times New Roman" w:hAnsi="Times New Roman" w:cs="Times New Roman"/>
          <w:sz w:val="24"/>
          <w:szCs w:val="24"/>
        </w:rPr>
      </w:pPr>
    </w:p>
    <w:p w14:paraId="47C09444" w14:textId="7C729AE5" w:rsidR="007C025A" w:rsidRDefault="007C025A" w:rsidP="007C025A">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Table 3S </w:t>
      </w:r>
      <w:r w:rsidRPr="004054B4">
        <w:rPr>
          <w:rFonts w:ascii="Times New Roman" w:hAnsi="Times New Roman" w:cs="Times New Roman"/>
          <w:sz w:val="24"/>
          <w:szCs w:val="24"/>
        </w:rPr>
        <w:t>Fo</w:t>
      </w:r>
      <w:r w:rsidR="00453D98">
        <w:rPr>
          <w:rFonts w:ascii="Times New Roman" w:hAnsi="Times New Roman" w:cs="Times New Roman"/>
          <w:sz w:val="24"/>
          <w:szCs w:val="24"/>
        </w:rPr>
        <w:t>rmulation of H</w:t>
      </w:r>
      <w:r w:rsidRPr="004054B4">
        <w:rPr>
          <w:rFonts w:ascii="Times New Roman" w:hAnsi="Times New Roman" w:cs="Times New Roman"/>
          <w:sz w:val="24"/>
          <w:szCs w:val="24"/>
        </w:rPr>
        <w:t>igh</w:t>
      </w:r>
      <w:r w:rsidR="00AB048A">
        <w:rPr>
          <w:rFonts w:ascii="Times New Roman" w:hAnsi="Times New Roman" w:cs="Times New Roman"/>
          <w:sz w:val="24"/>
          <w:szCs w:val="24"/>
        </w:rPr>
        <w:t>-</w:t>
      </w:r>
      <w:r w:rsidR="00453D98">
        <w:rPr>
          <w:rFonts w:ascii="Times New Roman" w:hAnsi="Times New Roman" w:cs="Times New Roman"/>
          <w:sz w:val="24"/>
          <w:szCs w:val="24"/>
        </w:rPr>
        <w:t>Fat D</w:t>
      </w:r>
      <w:r w:rsidRPr="004054B4">
        <w:rPr>
          <w:rFonts w:ascii="Times New Roman" w:hAnsi="Times New Roman" w:cs="Times New Roman"/>
          <w:sz w:val="24"/>
          <w:szCs w:val="24"/>
        </w:rPr>
        <w:t>iet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C025A" w14:paraId="39744666" w14:textId="77777777" w:rsidTr="00CC691B">
        <w:tc>
          <w:tcPr>
            <w:tcW w:w="3116" w:type="dxa"/>
            <w:tcBorders>
              <w:top w:val="single" w:sz="4" w:space="0" w:color="auto"/>
              <w:left w:val="nil"/>
              <w:bottom w:val="single" w:sz="4" w:space="0" w:color="auto"/>
              <w:right w:val="nil"/>
            </w:tcBorders>
            <w:vAlign w:val="bottom"/>
            <w:hideMark/>
          </w:tcPr>
          <w:p w14:paraId="4204C088"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Ingredients (g)</w:t>
            </w:r>
          </w:p>
        </w:tc>
        <w:tc>
          <w:tcPr>
            <w:tcW w:w="3117" w:type="dxa"/>
            <w:tcBorders>
              <w:top w:val="single" w:sz="4" w:space="0" w:color="auto"/>
              <w:left w:val="nil"/>
              <w:bottom w:val="single" w:sz="4" w:space="0" w:color="auto"/>
              <w:right w:val="nil"/>
            </w:tcBorders>
            <w:vAlign w:val="bottom"/>
            <w:hideMark/>
          </w:tcPr>
          <w:p w14:paraId="4B5AF45A"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Control diet (g)</w:t>
            </w:r>
          </w:p>
        </w:tc>
        <w:tc>
          <w:tcPr>
            <w:tcW w:w="3117" w:type="dxa"/>
            <w:tcBorders>
              <w:top w:val="single" w:sz="4" w:space="0" w:color="auto"/>
              <w:left w:val="nil"/>
              <w:bottom w:val="single" w:sz="4" w:space="0" w:color="auto"/>
              <w:right w:val="nil"/>
            </w:tcBorders>
            <w:vAlign w:val="bottom"/>
            <w:hideMark/>
          </w:tcPr>
          <w:p w14:paraId="7B5CFD74"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Experimental diet (g)</w:t>
            </w:r>
          </w:p>
        </w:tc>
      </w:tr>
      <w:tr w:rsidR="007C025A" w14:paraId="776B0363" w14:textId="77777777" w:rsidTr="00CC691B">
        <w:tc>
          <w:tcPr>
            <w:tcW w:w="3116" w:type="dxa"/>
            <w:tcBorders>
              <w:top w:val="single" w:sz="4" w:space="0" w:color="auto"/>
              <w:left w:val="nil"/>
              <w:bottom w:val="nil"/>
              <w:right w:val="nil"/>
            </w:tcBorders>
            <w:vAlign w:val="bottom"/>
            <w:hideMark/>
          </w:tcPr>
          <w:p w14:paraId="3CBD8940"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Cornstarch</w:t>
            </w:r>
          </w:p>
        </w:tc>
        <w:tc>
          <w:tcPr>
            <w:tcW w:w="3117" w:type="dxa"/>
            <w:tcBorders>
              <w:top w:val="single" w:sz="4" w:space="0" w:color="auto"/>
              <w:left w:val="nil"/>
              <w:bottom w:val="nil"/>
              <w:right w:val="nil"/>
            </w:tcBorders>
            <w:vAlign w:val="bottom"/>
            <w:hideMark/>
          </w:tcPr>
          <w:p w14:paraId="4E47400E"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3117" w:type="dxa"/>
            <w:tcBorders>
              <w:top w:val="single" w:sz="4" w:space="0" w:color="auto"/>
              <w:left w:val="nil"/>
              <w:bottom w:val="nil"/>
              <w:right w:val="nil"/>
            </w:tcBorders>
            <w:vAlign w:val="bottom"/>
            <w:hideMark/>
          </w:tcPr>
          <w:p w14:paraId="1E7130D4"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16</w:t>
            </w:r>
          </w:p>
        </w:tc>
      </w:tr>
      <w:tr w:rsidR="007C025A" w14:paraId="7ABB3EEC" w14:textId="77777777" w:rsidTr="00CC691B">
        <w:tc>
          <w:tcPr>
            <w:tcW w:w="3116" w:type="dxa"/>
            <w:tcBorders>
              <w:top w:val="nil"/>
              <w:left w:val="nil"/>
              <w:bottom w:val="nil"/>
              <w:right w:val="nil"/>
            </w:tcBorders>
            <w:vAlign w:val="bottom"/>
            <w:hideMark/>
          </w:tcPr>
          <w:p w14:paraId="5F6DED04"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Lard</w:t>
            </w:r>
          </w:p>
        </w:tc>
        <w:tc>
          <w:tcPr>
            <w:tcW w:w="3117" w:type="dxa"/>
            <w:tcBorders>
              <w:top w:val="nil"/>
              <w:left w:val="nil"/>
              <w:bottom w:val="nil"/>
              <w:right w:val="nil"/>
            </w:tcBorders>
            <w:vAlign w:val="bottom"/>
            <w:hideMark/>
          </w:tcPr>
          <w:p w14:paraId="172A9CA1"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3117" w:type="dxa"/>
            <w:tcBorders>
              <w:top w:val="nil"/>
              <w:left w:val="nil"/>
              <w:bottom w:val="nil"/>
              <w:right w:val="nil"/>
            </w:tcBorders>
            <w:vAlign w:val="bottom"/>
            <w:hideMark/>
          </w:tcPr>
          <w:p w14:paraId="58C78EB9"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30</w:t>
            </w:r>
          </w:p>
        </w:tc>
      </w:tr>
      <w:tr w:rsidR="007C025A" w14:paraId="542A00E4" w14:textId="77777777" w:rsidTr="00CC691B">
        <w:tc>
          <w:tcPr>
            <w:tcW w:w="3116" w:type="dxa"/>
            <w:tcBorders>
              <w:top w:val="nil"/>
              <w:left w:val="nil"/>
              <w:bottom w:val="nil"/>
              <w:right w:val="nil"/>
            </w:tcBorders>
            <w:vAlign w:val="bottom"/>
            <w:hideMark/>
          </w:tcPr>
          <w:p w14:paraId="7C69DD44"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Vegetable oil</w:t>
            </w:r>
          </w:p>
        </w:tc>
        <w:tc>
          <w:tcPr>
            <w:tcW w:w="3117" w:type="dxa"/>
            <w:tcBorders>
              <w:top w:val="nil"/>
              <w:left w:val="nil"/>
              <w:bottom w:val="nil"/>
              <w:right w:val="nil"/>
            </w:tcBorders>
            <w:vAlign w:val="bottom"/>
            <w:hideMark/>
          </w:tcPr>
          <w:p w14:paraId="045A6B86"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117" w:type="dxa"/>
            <w:tcBorders>
              <w:top w:val="nil"/>
              <w:left w:val="nil"/>
              <w:bottom w:val="nil"/>
              <w:right w:val="nil"/>
            </w:tcBorders>
            <w:vAlign w:val="bottom"/>
            <w:hideMark/>
          </w:tcPr>
          <w:p w14:paraId="1BDBA3DC"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7C025A" w14:paraId="4A139527" w14:textId="77777777" w:rsidTr="00CC691B">
        <w:tc>
          <w:tcPr>
            <w:tcW w:w="3116" w:type="dxa"/>
            <w:tcBorders>
              <w:top w:val="nil"/>
              <w:left w:val="nil"/>
              <w:bottom w:val="nil"/>
              <w:right w:val="nil"/>
            </w:tcBorders>
            <w:vAlign w:val="bottom"/>
            <w:hideMark/>
          </w:tcPr>
          <w:p w14:paraId="6A712017"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Skimmed milk</w:t>
            </w:r>
          </w:p>
        </w:tc>
        <w:tc>
          <w:tcPr>
            <w:tcW w:w="3117" w:type="dxa"/>
            <w:tcBorders>
              <w:top w:val="nil"/>
              <w:left w:val="nil"/>
              <w:bottom w:val="nil"/>
              <w:right w:val="nil"/>
            </w:tcBorders>
            <w:vAlign w:val="bottom"/>
            <w:hideMark/>
          </w:tcPr>
          <w:p w14:paraId="10E8F676"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3117" w:type="dxa"/>
            <w:tcBorders>
              <w:top w:val="nil"/>
              <w:left w:val="nil"/>
              <w:bottom w:val="nil"/>
              <w:right w:val="nil"/>
            </w:tcBorders>
            <w:vAlign w:val="bottom"/>
            <w:hideMark/>
          </w:tcPr>
          <w:p w14:paraId="5443DA1E"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50</w:t>
            </w:r>
          </w:p>
        </w:tc>
      </w:tr>
      <w:tr w:rsidR="007C025A" w14:paraId="7E8F8E49" w14:textId="77777777" w:rsidTr="00CC691B">
        <w:tc>
          <w:tcPr>
            <w:tcW w:w="3116" w:type="dxa"/>
            <w:tcBorders>
              <w:top w:val="nil"/>
              <w:left w:val="nil"/>
              <w:bottom w:val="single" w:sz="4" w:space="0" w:color="auto"/>
              <w:right w:val="nil"/>
            </w:tcBorders>
            <w:vAlign w:val="bottom"/>
            <w:hideMark/>
          </w:tcPr>
          <w:p w14:paraId="6C4DD45A"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Vitamin premix</w:t>
            </w:r>
          </w:p>
        </w:tc>
        <w:tc>
          <w:tcPr>
            <w:tcW w:w="3117" w:type="dxa"/>
            <w:tcBorders>
              <w:top w:val="nil"/>
              <w:left w:val="nil"/>
              <w:bottom w:val="single" w:sz="4" w:space="0" w:color="auto"/>
              <w:right w:val="nil"/>
            </w:tcBorders>
            <w:vAlign w:val="bottom"/>
            <w:hideMark/>
          </w:tcPr>
          <w:p w14:paraId="00D88313"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117" w:type="dxa"/>
            <w:tcBorders>
              <w:top w:val="nil"/>
              <w:left w:val="nil"/>
              <w:bottom w:val="single" w:sz="4" w:space="0" w:color="auto"/>
              <w:right w:val="nil"/>
            </w:tcBorders>
            <w:vAlign w:val="bottom"/>
            <w:hideMark/>
          </w:tcPr>
          <w:p w14:paraId="0D29257B" w14:textId="77777777" w:rsidR="007C025A" w:rsidRDefault="007C025A" w:rsidP="007C025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r>
    </w:tbl>
    <w:p w14:paraId="5C48B9B7" w14:textId="5882BF9A" w:rsidR="007C025A" w:rsidRPr="00D91F09" w:rsidRDefault="007C025A" w:rsidP="00D91F09">
      <w:pPr>
        <w:autoSpaceDE w:val="0"/>
        <w:autoSpaceDN w:val="0"/>
        <w:adjustRightInd w:val="0"/>
        <w:spacing w:after="0" w:line="480" w:lineRule="auto"/>
        <w:jc w:val="both"/>
        <w:rPr>
          <w:rFonts w:ascii="Times New Roman" w:hAnsi="Times New Roman" w:cs="Times New Roman"/>
          <w:sz w:val="24"/>
          <w:szCs w:val="24"/>
        </w:rPr>
      </w:pPr>
    </w:p>
    <w:p w14:paraId="029079BE" w14:textId="6645A94E" w:rsidR="00D91F09" w:rsidRPr="007A4CF1" w:rsidRDefault="00453D98" w:rsidP="00D91F09">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Sacrifice and T</w:t>
      </w:r>
      <w:r w:rsidR="00D91F09" w:rsidRPr="007A4CF1">
        <w:rPr>
          <w:rFonts w:ascii="Times New Roman" w:hAnsi="Times New Roman" w:cs="Times New Roman"/>
          <w:b/>
          <w:sz w:val="24"/>
          <w:szCs w:val="24"/>
        </w:rPr>
        <w:t xml:space="preserve">issue </w:t>
      </w:r>
      <w:r>
        <w:rPr>
          <w:rFonts w:ascii="Times New Roman" w:hAnsi="Times New Roman" w:cs="Times New Roman"/>
          <w:b/>
          <w:sz w:val="24"/>
          <w:szCs w:val="24"/>
        </w:rPr>
        <w:t>P</w:t>
      </w:r>
      <w:r w:rsidR="00D91F09" w:rsidRPr="007A4CF1">
        <w:rPr>
          <w:rFonts w:ascii="Times New Roman" w:hAnsi="Times New Roman" w:cs="Times New Roman"/>
          <w:b/>
          <w:sz w:val="24"/>
          <w:szCs w:val="24"/>
        </w:rPr>
        <w:t>reparation</w:t>
      </w:r>
    </w:p>
    <w:p w14:paraId="7B9B2278" w14:textId="331BD5FE" w:rsidR="00D91F09" w:rsidRPr="00D91F09" w:rsidRDefault="00D91F09" w:rsidP="007C025A">
      <w:pPr>
        <w:autoSpaceDE w:val="0"/>
        <w:autoSpaceDN w:val="0"/>
        <w:adjustRightInd w:val="0"/>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The animals were sacrificed by cervical dislocation 24 h</w:t>
      </w:r>
      <w:r w:rsidR="00AB048A">
        <w:rPr>
          <w:rFonts w:ascii="Times New Roman" w:hAnsi="Times New Roman" w:cs="Times New Roman"/>
          <w:sz w:val="24"/>
          <w:szCs w:val="24"/>
        </w:rPr>
        <w:t>ours</w:t>
      </w:r>
      <w:r w:rsidRPr="00D91F09">
        <w:rPr>
          <w:rFonts w:ascii="Times New Roman" w:hAnsi="Times New Roman" w:cs="Times New Roman"/>
          <w:sz w:val="24"/>
          <w:szCs w:val="24"/>
        </w:rPr>
        <w:t xml:space="preserve"> after the last treatment. Blood samples were collected from the animals through cardiac puncture into EDTA bottles. The blood was centrifuged and plasma was aspirated for estimations of glucose concentration, lipid profile assay and organ biomarkers. Also, the rats’ pancreas, intestine, liver, and kidney were quickly isolated and placed on ice, thereafter, the tissues were rinsed in cold 0.9 % saline solution, blotted and weighed. The tissues were subsequently homogenized in 0.1M sodium phosphate buffer (pH 6.9), cold-centrifuged for 30 min at 8000 rpm and the clear supernatant was used for biochemical assays. Furthermore, parts of the excised liver and kidney tissues were fixed in 10% formalin for histopathological examination.</w:t>
      </w:r>
    </w:p>
    <w:p w14:paraId="09865B7F" w14:textId="77777777" w:rsidR="00D91F09" w:rsidRPr="00D91F09" w:rsidRDefault="00D91F09" w:rsidP="00D91F09">
      <w:pPr>
        <w:spacing w:line="480" w:lineRule="auto"/>
        <w:rPr>
          <w:rFonts w:ascii="Times New Roman" w:hAnsi="Times New Roman" w:cs="Times New Roman"/>
          <w:b/>
          <w:sz w:val="24"/>
          <w:szCs w:val="24"/>
        </w:rPr>
      </w:pPr>
    </w:p>
    <w:p w14:paraId="0270D1F6" w14:textId="6BC06973" w:rsidR="00D91F09" w:rsidRPr="00D91F09" w:rsidRDefault="00D91F09" w:rsidP="00D91F09">
      <w:pPr>
        <w:spacing w:line="480" w:lineRule="auto"/>
        <w:rPr>
          <w:rFonts w:ascii="Times New Roman" w:hAnsi="Times New Roman" w:cs="Times New Roman"/>
          <w:b/>
          <w:sz w:val="24"/>
          <w:szCs w:val="24"/>
        </w:rPr>
      </w:pPr>
      <w:r w:rsidRPr="00D91F09">
        <w:rPr>
          <w:rFonts w:ascii="Times New Roman" w:hAnsi="Times New Roman" w:cs="Times New Roman"/>
          <w:b/>
          <w:sz w:val="24"/>
          <w:szCs w:val="24"/>
        </w:rPr>
        <w:t xml:space="preserve">Determination of </w:t>
      </w:r>
      <w:r w:rsidR="00453D98" w:rsidRPr="00D91F09">
        <w:rPr>
          <w:rFonts w:ascii="Times New Roman" w:eastAsia="Calibri" w:hAnsi="Times New Roman" w:cs="Times New Roman"/>
          <w:b/>
          <w:sz w:val="24"/>
          <w:szCs w:val="24"/>
        </w:rPr>
        <w:t xml:space="preserve">Plasma Glucose Level, </w:t>
      </w:r>
      <w:r w:rsidR="00453D98">
        <w:rPr>
          <w:rFonts w:ascii="Times New Roman" w:hAnsi="Times New Roman" w:cs="Times New Roman"/>
          <w:b/>
          <w:sz w:val="24"/>
          <w:szCs w:val="24"/>
        </w:rPr>
        <w:t>Lipid Profile a</w:t>
      </w:r>
      <w:r w:rsidR="00453D98" w:rsidRPr="00D91F09">
        <w:rPr>
          <w:rFonts w:ascii="Times New Roman" w:hAnsi="Times New Roman" w:cs="Times New Roman"/>
          <w:b/>
          <w:sz w:val="24"/>
          <w:szCs w:val="24"/>
        </w:rPr>
        <w:t>nd Cardiovascular Risk Indices</w:t>
      </w:r>
    </w:p>
    <w:p w14:paraId="3D336E09" w14:textId="71FBA178" w:rsidR="00D91F09" w:rsidRPr="00D91F09" w:rsidRDefault="00D91F09" w:rsidP="00D91F09">
      <w:pPr>
        <w:spacing w:after="0" w:line="480" w:lineRule="auto"/>
        <w:jc w:val="both"/>
        <w:rPr>
          <w:rFonts w:ascii="Times New Roman" w:hAnsi="Times New Roman" w:cs="Times New Roman"/>
          <w:sz w:val="24"/>
          <w:szCs w:val="24"/>
        </w:rPr>
      </w:pPr>
      <w:r w:rsidRPr="00D91F09">
        <w:rPr>
          <w:rFonts w:ascii="Times New Roman" w:eastAsia="Calibri" w:hAnsi="Times New Roman" w:cs="Times New Roman"/>
          <w:sz w:val="24"/>
          <w:szCs w:val="24"/>
        </w:rPr>
        <w:t xml:space="preserve">Glucose </w:t>
      </w:r>
      <w:r w:rsidRPr="00D91F09">
        <w:rPr>
          <w:rFonts w:ascii="Times New Roman" w:eastAsia="Calibri" w:hAnsi="Times New Roman" w:cs="Times New Roman"/>
          <w:bCs/>
          <w:sz w:val="24"/>
          <w:szCs w:val="24"/>
        </w:rPr>
        <w:t>level</w:t>
      </w:r>
      <w:r w:rsidRPr="00D91F09">
        <w:rPr>
          <w:rFonts w:ascii="Times New Roman" w:eastAsia="Calibri" w:hAnsi="Times New Roman" w:cs="Times New Roman"/>
          <w:sz w:val="24"/>
          <w:szCs w:val="24"/>
        </w:rPr>
        <w:t xml:space="preserve"> was determined using </w:t>
      </w:r>
      <w:r w:rsidR="00AB048A">
        <w:rPr>
          <w:rFonts w:ascii="Times New Roman" w:eastAsia="Calibri" w:hAnsi="Times New Roman" w:cs="Times New Roman"/>
          <w:sz w:val="24"/>
          <w:szCs w:val="24"/>
        </w:rPr>
        <w:t xml:space="preserve">a </w:t>
      </w:r>
      <w:r w:rsidRPr="00D91F09">
        <w:rPr>
          <w:rFonts w:ascii="Times New Roman" w:eastAsia="Calibri" w:hAnsi="Times New Roman" w:cs="Times New Roman"/>
          <w:sz w:val="24"/>
          <w:szCs w:val="24"/>
        </w:rPr>
        <w:t xml:space="preserve">commercially available kit from Randox Laboratories Ltd., UK. </w:t>
      </w:r>
      <w:r w:rsidRPr="00D91F09">
        <w:rPr>
          <w:rFonts w:ascii="Times New Roman" w:hAnsi="Times New Roman" w:cs="Times New Roman"/>
          <w:bCs/>
          <w:sz w:val="24"/>
          <w:szCs w:val="24"/>
        </w:rPr>
        <w:t xml:space="preserve">Total cholesterol (CHOL), triglycerides (TRIG), and high-density lipoprotein-cholesterol (HDL-c) levels were determined using </w:t>
      </w:r>
      <w:r w:rsidRPr="00D91F09">
        <w:rPr>
          <w:rFonts w:ascii="Times New Roman" w:hAnsi="Times New Roman" w:cs="Times New Roman"/>
          <w:sz w:val="24"/>
          <w:szCs w:val="24"/>
        </w:rPr>
        <w:t xml:space="preserve">commercially available kits from Agappe Diagnostics Ltd., </w:t>
      </w:r>
      <w:r w:rsidRPr="00D91F09">
        <w:rPr>
          <w:rFonts w:ascii="Times New Roman" w:hAnsi="Times New Roman" w:cs="Times New Roman"/>
          <w:sz w:val="24"/>
          <w:szCs w:val="24"/>
        </w:rPr>
        <w:lastRenderedPageBreak/>
        <w:t xml:space="preserve">Switzerland. The low-density </w:t>
      </w:r>
      <w:r w:rsidRPr="00D91F09">
        <w:rPr>
          <w:rFonts w:ascii="Times New Roman" w:hAnsi="Times New Roman" w:cs="Times New Roman"/>
          <w:bCs/>
          <w:sz w:val="24"/>
          <w:szCs w:val="24"/>
        </w:rPr>
        <w:t xml:space="preserve">lipoprotein-cholesterol (LDL-c) was calculated from other lipid profile parameters according to the method of </w:t>
      </w:r>
      <w:r w:rsidRPr="00D91F09">
        <w:rPr>
          <w:rFonts w:ascii="Times New Roman" w:eastAsia="Calibri" w:hAnsi="Times New Roman" w:cs="Times New Roman"/>
          <w:sz w:val="24"/>
          <w:szCs w:val="24"/>
        </w:rPr>
        <w:t>Friedwald et al</w:t>
      </w:r>
      <w:r w:rsidRPr="00D91F09">
        <w:rPr>
          <w:rFonts w:ascii="Times New Roman" w:eastAsia="Calibri" w:hAnsi="Times New Roman" w:cs="Times New Roman"/>
          <w:i/>
          <w:sz w:val="24"/>
          <w:szCs w:val="24"/>
        </w:rPr>
        <w:t xml:space="preserve">.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{"citationID":"tyMLDbto","properties":{"formattedCitation":"[4]","plainCitation":"[4]","noteIndex":0},"citationItems":[{"id":118,"uris":["http://zotero.org/users/5341874/items/3ZQYZ7TC"],"itemData":{"id":118,"type":"article-journal","abstract":"A method for estimating the cholesterol content of the serum low-density lipoprotein fraction (Sf0-20) is presented. The method involves measurements of fasting plasma total cholesterol, triglyceride, and high-density lipoprotein cholesterol concentrations, none of which requires the use of the preparative ultracentrifuge. Comparison of this suggested procedure with the more direct procedure, in which the ultracentrifuge is used, yielded correlation coefficients of .94 to .99, depending on the patient population compared.","container-title":"Clinical Chemistry","ISSN":"0009-9147, 1530-8561","issue":"6","language":"en","license":"© 1972 The American Association of Clinical Chemists, Inc.","note":"PMID: 4337382","page":"499-502","source":"clinchem.aaccjnls.org","title":"Estimation of the Concentration of Low-Density Lipoprotein Cholesterol in Plasma, Without Use of the Preparative Ultracentrifuge","volume":"18","author":[{"family":"Friedewald","given":"William T."},{"family":"Levy","given":"Robert I."},{"family":"Fredrickson","given":"Donald S."}],"issued":{"date-parts":[["1972",6,1]]}}}],"schema":"https://github.com/citation-style-language/schema/raw/master/csl-citation.json"}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[4]</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w:t>
      </w:r>
    </w:p>
    <w:p w14:paraId="7911146D" w14:textId="77777777" w:rsidR="00D91F09" w:rsidRPr="00D91F09" w:rsidRDefault="00D91F09" w:rsidP="00D91F09">
      <w:pPr>
        <w:spacing w:after="0" w:line="480" w:lineRule="auto"/>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LDL-c (mg/dL) = </w:t>
      </w:r>
      <m:oMath>
        <m:r>
          <w:rPr>
            <w:rFonts w:ascii="Cambria Math" w:eastAsia="Calibri" w:hAnsi="Cambria Math" w:cs="Times New Roman"/>
            <w:sz w:val="24"/>
            <w:szCs w:val="24"/>
          </w:rPr>
          <m:t>Cholesterol -</m:t>
        </m:r>
        <m:d>
          <m:dPr>
            <m:ctrlPr>
              <w:rPr>
                <w:rFonts w:ascii="Cambria Math" w:eastAsia="Calibri" w:hAnsi="Cambria Math" w:cs="Times New Roman"/>
                <w:i/>
                <w:sz w:val="24"/>
                <w:szCs w:val="24"/>
              </w:rPr>
            </m:ctrlPr>
          </m:dPr>
          <m:e>
            <m:f>
              <m:fPr>
                <m:type m:val="skw"/>
                <m:ctrlPr>
                  <w:rPr>
                    <w:rFonts w:ascii="Cambria Math" w:eastAsia="Calibri" w:hAnsi="Cambria Math" w:cs="Times New Roman"/>
                    <w:i/>
                    <w:sz w:val="24"/>
                    <w:szCs w:val="24"/>
                  </w:rPr>
                </m:ctrlPr>
              </m:fPr>
              <m:num>
                <m:r>
                  <w:rPr>
                    <w:rFonts w:ascii="Cambria Math" w:eastAsia="Calibri" w:hAnsi="Cambria Math" w:cs="Times New Roman"/>
                    <w:sz w:val="24"/>
                    <w:szCs w:val="24"/>
                  </w:rPr>
                  <m:t>Triglycerides</m:t>
                </m:r>
              </m:num>
              <m:den>
                <m:r>
                  <w:rPr>
                    <w:rFonts w:ascii="Cambria Math" w:eastAsia="Calibri" w:hAnsi="Cambria Math" w:cs="Times New Roman"/>
                    <w:sz w:val="24"/>
                    <w:szCs w:val="24"/>
                  </w:rPr>
                  <m:t>5</m:t>
                </m:r>
              </m:den>
            </m:f>
          </m:e>
        </m:d>
        <m:r>
          <w:rPr>
            <w:rFonts w:ascii="Cambria Math" w:eastAsia="Calibri" w:hAnsi="Cambria Math" w:cs="Times New Roman"/>
            <w:sz w:val="24"/>
            <w:szCs w:val="24"/>
          </w:rPr>
          <m:t xml:space="preserve"> -High density lipoprotein</m:t>
        </m:r>
      </m:oMath>
      <w:r w:rsidRPr="00D91F09">
        <w:rPr>
          <w:rFonts w:ascii="Times New Roman" w:eastAsia="Calibri" w:hAnsi="Times New Roman" w:cs="Times New Roman"/>
          <w:sz w:val="24"/>
          <w:szCs w:val="24"/>
        </w:rPr>
        <w:tab/>
        <w:t>… (1)</w:t>
      </w:r>
    </w:p>
    <w:p w14:paraId="1F49A38B" w14:textId="221F7AD7" w:rsidR="00D91F09" w:rsidRPr="00D91F09" w:rsidRDefault="00D91F09" w:rsidP="00D91F09">
      <w:pPr>
        <w:spacing w:after="0" w:line="480" w:lineRule="auto"/>
        <w:ind w:firstLine="720"/>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The atherogenic index (AI) and coronary risk index (CRI) were also calculated using the formula of Wilson et al</w:t>
      </w:r>
      <w:r w:rsidRPr="00D91F09">
        <w:rPr>
          <w:rFonts w:ascii="Times New Roman" w:eastAsia="Calibri" w:hAnsi="Times New Roman" w:cs="Times New Roman"/>
          <w:i/>
          <w:sz w:val="24"/>
          <w:szCs w:val="24"/>
        </w:rPr>
        <w:t>.</w:t>
      </w:r>
      <w:r w:rsidRPr="00D91F09">
        <w:rPr>
          <w:rFonts w:ascii="Times New Roman" w:eastAsia="Calibri" w:hAnsi="Times New Roman" w:cs="Times New Roman"/>
          <w:sz w:val="24"/>
          <w:szCs w:val="24"/>
        </w:rPr>
        <w:t xml:space="preserve">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{"citationID":"WPEvwTgG","properties":{"formattedCitation":"[5]","plainCitation":"[5]","noteIndex":0},"citationItems":[{"id":274,"uris":["http://zotero.org/users/5341874/items/9KQLUNAB"],"itemData":{"id":274,"type":"article-journal","abstract":"The current study was designed to investigate the hypocholesterolemic and anti-atherogenic properties of soy lecithin beyond its fatty acid content. In experiment 1, 18 cynomolgus monkeys were divided into three groups of six and fed diets which approximated either the average American diet (AAD), the American Heart Association (AHA) Step I diet, or a modified AHA (mAHA) Step I diet containing 3.4% soy lecithin for 8 weeks. Plasma samples were collected from food-deprived monkeys and analyzed for total cholesterol (TC), high-density lipoprotein cholesterol (HDL-C), very low- and low-density lipoprotein cholesterol (non-HDL-C), and triglyceride (TG) concentrations. Group comparisons revealed that monkeys fed the mAHA Step 1 diet had significantly lower plasma TC (−46%) and non-HDL-C (−55%) levels compared to the AAD diet, whereas monkeys fed the AHA Step 1 diet had lesser reductions in plasma TC (−21%) and non-HDL-C (−18%) levels. The monkeys fed the mAHA Step I diet had significantly lower plasma TC (−32%) and non-HDL-C (−45%) compared to the monkeys fed the AHA step diet. Also, only the mAHA Step I diet significantly reduced pre-treatment plasma TC and non-HDL-C levels by −39 and −51%, respectively with no significant effect on plasma HDL-C or TG levels. In experiment 2, 45 hamsters were divided into three groups of 15 and fed the following three modified non-purified diets for 8 weeks: a hypercholesterolemic diet (HCD) containing 10% coconut oil and 0.05% cholesterol, HCD plus 3.4% soy lecithin (+SL), or the HCD with added levels of linoleate and choline equivalent to the +SL diet but no lecithin (−SL). Plasma lipids were determined as in experiment 1 and aortas were perfusion-fixed and Oil Red O stained for morphometric analyses of fatty streak area. Relative to the HCD group, the +SL-treated hamsters had significantly lower plasma TC (−58%), non-HDL-C (−73%) and aortic fatty streak area (−90%). Relative to the −SL group, hamsters fed the +SL diet had significantly lower plasma TC (−33%), non-HDL-C (−50%) and significantly reduced aortic fatty streak area (−79%). In conclusion, the first experiment suggests that the cholesterol-lowering efficacy of the AHA Step I diet can be enhanced with the addition of soy lecithin without reducing plasma HDL-C levels, whereas the second experiment suggest that the hypocholesterolemic, and in particular, the anti-atherogenic properties of soy lecithin cannot be attributed solely to its linoleate content.","container-title":"Atherosclerosis","DOI":"10.1016/S0021-9150(98)00132-4","ISSN":"0021-9150","issue":"1","journalAbbreviation":"Atherosclerosis","page":"147-153","source":"ScienceDirect","title":"Soy lecithin reduces plasma lipoprotein cholesterol and early atherogenesis in hypercholesterolemic monkeys and hamsters: beyond linoleate","title-short":"Soy lecithin reduces plasma lipoprotein cholesterol and early atherogenesis in hypercholesterolemic monkeys and hamsters","volume":"140","author":[{"family":"Wilson","given":"Thomas A"},{"family":"Meservey","given":"Craig M"},{"family":"Nicolosi","given":"Robert J"}],"issued":{"date-parts":[["1998",9,1]]}}}],"schema":"https://github.com/citation-style-language/schema/raw/master/csl-citation.json"}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[5]</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w:t>
      </w:r>
    </w:p>
    <w:p w14:paraId="6713CE68" w14:textId="77777777" w:rsidR="00D91F09"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AI =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Cholesterol -High density lipoprotein</m:t>
            </m:r>
          </m:num>
          <m:den>
            <m:r>
              <w:rPr>
                <w:rFonts w:ascii="Cambria Math" w:eastAsia="Calibri" w:hAnsi="Cambria Math" w:cs="Times New Roman"/>
                <w:sz w:val="24"/>
                <w:szCs w:val="24"/>
              </w:rPr>
              <m:t>High density lipoprotein</m:t>
            </m:r>
          </m:den>
        </m:f>
      </m:oMath>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t>… (2)</w:t>
      </w:r>
    </w:p>
    <w:p w14:paraId="7DE24D7C" w14:textId="77777777" w:rsidR="00D91F09" w:rsidRPr="00D91F09" w:rsidRDefault="00D91F09" w:rsidP="00D91F09">
      <w:pPr>
        <w:spacing w:after="0" w:line="480" w:lineRule="auto"/>
        <w:jc w:val="both"/>
        <w:rPr>
          <w:rFonts w:ascii="Times New Roman" w:eastAsia="Calibri" w:hAnsi="Times New Roman" w:cs="Times New Roman"/>
          <w:sz w:val="24"/>
          <w:szCs w:val="24"/>
        </w:rPr>
      </w:pPr>
    </w:p>
    <w:p w14:paraId="6DC388DA" w14:textId="77777777" w:rsidR="00D91F09"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CRI =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Total cholesterol</m:t>
            </m:r>
          </m:num>
          <m:den>
            <m:r>
              <w:rPr>
                <w:rFonts w:ascii="Cambria Math" w:eastAsia="Calibri" w:hAnsi="Cambria Math" w:cs="Times New Roman"/>
                <w:sz w:val="24"/>
                <w:szCs w:val="24"/>
              </w:rPr>
              <m:t>High density lipoprotein</m:t>
            </m:r>
          </m:den>
        </m:f>
      </m:oMath>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t>… (3)</w:t>
      </w:r>
    </w:p>
    <w:p w14:paraId="01660850" w14:textId="77777777" w:rsidR="00D91F09" w:rsidRPr="00D91F09" w:rsidRDefault="00D91F09" w:rsidP="00D91F09">
      <w:pPr>
        <w:spacing w:after="0" w:line="480" w:lineRule="auto"/>
        <w:jc w:val="both"/>
        <w:rPr>
          <w:rFonts w:ascii="Times New Roman" w:eastAsia="Calibri" w:hAnsi="Times New Roman" w:cs="Times New Roman"/>
          <w:sz w:val="24"/>
          <w:szCs w:val="24"/>
        </w:rPr>
      </w:pPr>
    </w:p>
    <w:p w14:paraId="425994F1" w14:textId="7E1FFC44" w:rsidR="00D91F09" w:rsidRPr="00D91F09" w:rsidRDefault="00453D98" w:rsidP="00D91F09">
      <w:pPr>
        <w:spacing w:after="0" w:line="480" w:lineRule="auto"/>
        <w:jc w:val="both"/>
        <w:rPr>
          <w:rFonts w:ascii="Times New Roman" w:eastAsia="Calibri" w:hAnsi="Times New Roman" w:cs="Times New Roman"/>
          <w:sz w:val="24"/>
          <w:szCs w:val="24"/>
        </w:rPr>
      </w:pPr>
      <w:r>
        <w:rPr>
          <w:rFonts w:ascii="Times New Roman" w:hAnsi="Times New Roman" w:cs="Times New Roman"/>
          <w:b/>
          <w:sz w:val="24"/>
          <w:szCs w:val="24"/>
        </w:rPr>
        <w:t>Evaluation of Markers of L</w:t>
      </w:r>
      <w:r w:rsidR="00D91F09" w:rsidRPr="00D91F09">
        <w:rPr>
          <w:rFonts w:ascii="Times New Roman" w:hAnsi="Times New Roman" w:cs="Times New Roman"/>
          <w:b/>
          <w:sz w:val="24"/>
          <w:szCs w:val="24"/>
        </w:rPr>
        <w:t xml:space="preserve">iver and </w:t>
      </w:r>
      <w:r w:rsidRPr="00D91F09">
        <w:rPr>
          <w:rFonts w:ascii="Times New Roman" w:hAnsi="Times New Roman" w:cs="Times New Roman"/>
          <w:b/>
          <w:sz w:val="24"/>
          <w:szCs w:val="24"/>
        </w:rPr>
        <w:t>Kidney Toxicity</w:t>
      </w:r>
    </w:p>
    <w:p w14:paraId="01B3BE05" w14:textId="50EEDCAC" w:rsidR="00D91F09" w:rsidRPr="00D91F09" w:rsidRDefault="00D91F09" w:rsidP="00D91F09">
      <w:pPr>
        <w:spacing w:after="0" w:line="480" w:lineRule="auto"/>
        <w:jc w:val="both"/>
        <w:rPr>
          <w:rFonts w:ascii="Times New Roman" w:hAnsi="Times New Roman" w:cs="Times New Roman"/>
          <w:sz w:val="24"/>
          <w:szCs w:val="24"/>
        </w:rPr>
      </w:pPr>
      <w:r w:rsidRPr="00D91F09">
        <w:rPr>
          <w:rFonts w:ascii="Times New Roman" w:hAnsi="Times New Roman" w:cs="Times New Roman"/>
          <w:sz w:val="24"/>
          <w:szCs w:val="24"/>
        </w:rPr>
        <w:t>The activities of a</w:t>
      </w:r>
      <w:r w:rsidRPr="00D91F09">
        <w:rPr>
          <w:rFonts w:ascii="Times New Roman" w:eastAsia="Calibri" w:hAnsi="Times New Roman" w:cs="Times New Roman"/>
          <w:sz w:val="24"/>
          <w:szCs w:val="24"/>
        </w:rPr>
        <w:t>lanine aminotransferase</w:t>
      </w:r>
      <w:r w:rsidRPr="00D91F09">
        <w:rPr>
          <w:rFonts w:ascii="Times New Roman" w:eastAsia="Calibri" w:hAnsi="Times New Roman" w:cs="Times New Roman"/>
          <w:bCs/>
          <w:sz w:val="24"/>
          <w:szCs w:val="24"/>
        </w:rPr>
        <w:t xml:space="preserve"> (ALT), and </w:t>
      </w:r>
      <w:r w:rsidRPr="00D91F09">
        <w:rPr>
          <w:rFonts w:ascii="Times New Roman" w:hAnsi="Times New Roman" w:cs="Times New Roman"/>
          <w:sz w:val="24"/>
          <w:szCs w:val="24"/>
        </w:rPr>
        <w:t xml:space="preserve">aspartate aminotransferase (AST) as well as </w:t>
      </w:r>
      <w:r w:rsidRPr="00D91F09">
        <w:rPr>
          <w:rFonts w:ascii="Times New Roman" w:eastAsia="Calibri" w:hAnsi="Times New Roman" w:cs="Times New Roman"/>
          <w:sz w:val="24"/>
          <w:szCs w:val="24"/>
        </w:rPr>
        <w:t xml:space="preserve">urea and uric acid concentrations </w:t>
      </w:r>
      <w:r w:rsidRPr="00D91F09">
        <w:rPr>
          <w:rFonts w:ascii="Times New Roman" w:hAnsi="Times New Roman" w:cs="Times New Roman"/>
          <w:sz w:val="24"/>
          <w:szCs w:val="24"/>
        </w:rPr>
        <w:t>were estimated using commercially available kits obtained from </w:t>
      </w:r>
      <w:r w:rsidRPr="00D91F09">
        <w:rPr>
          <w:rFonts w:ascii="Times New Roman" w:eastAsia="Calibri" w:hAnsi="Times New Roman" w:cs="Times New Roman"/>
          <w:sz w:val="24"/>
          <w:szCs w:val="24"/>
        </w:rPr>
        <w:t>(Randox Laboratories Ltd., UK)</w:t>
      </w:r>
      <w:r w:rsidRPr="00D91F09">
        <w:rPr>
          <w:rFonts w:ascii="Times New Roman" w:hAnsi="Times New Roman" w:cs="Times New Roman"/>
          <w:sz w:val="24"/>
          <w:szCs w:val="24"/>
        </w:rPr>
        <w:t xml:space="preserve"> following the manufacturer’s instruction. </w:t>
      </w:r>
      <w:r w:rsidRPr="00D91F09">
        <w:rPr>
          <w:rFonts w:ascii="Times New Roman" w:eastAsia="Calibri" w:hAnsi="Times New Roman" w:cs="Times New Roman"/>
          <w:sz w:val="24"/>
          <w:szCs w:val="24"/>
        </w:rPr>
        <w:t xml:space="preserve">Albumin </w:t>
      </w:r>
      <w:r w:rsidRPr="00D91F09">
        <w:rPr>
          <w:rFonts w:ascii="Times New Roman" w:eastAsia="Calibri" w:hAnsi="Times New Roman" w:cs="Times New Roman"/>
          <w:bCs/>
          <w:sz w:val="24"/>
          <w:szCs w:val="24"/>
        </w:rPr>
        <w:t>level</w:t>
      </w:r>
      <w:r w:rsidRPr="00D91F09">
        <w:rPr>
          <w:rFonts w:ascii="Times New Roman" w:eastAsia="Calibri" w:hAnsi="Times New Roman" w:cs="Times New Roman"/>
          <w:sz w:val="24"/>
          <w:szCs w:val="24"/>
        </w:rPr>
        <w:t xml:space="preserve"> was also determined using commercially available kits from CliniChem Ltd., Hungary. Globulin level was calculated according to Doumas et al.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{"citationID":"33pGmNlP","properties":{"formattedCitation":"[6]","plainCitation":"[6]","noteIndex":0},"citationItems":[{"id":1583,"uris":["http://zotero.org/users/5341874/items/KSXQDGNC"],"itemData":{"id":1583,"type":"article-journal","abstract":"A rapid and reliable method for measuring serum albumin employing bromcresol green is described. The addition of albumin to a solution of bromcresol green in a 0.075 M succinate buffer pH 4.20 results in an increase in absorbance at 628 nm. The absorbance—concentration relationship is linear for samples containing up to 6 g/dl albumin. Bilirubin, moderate lipemia, and salicylate do not interfere with the analysis. The use of a nonionic surfactant (Brij-35) reduces the absorbance of the blank, prevents turbidity and provides linearity. The results by this method agree very well with those obtained by electrophoresis and salt fractionation. The method is simple, it has excellent precision and the reagents are stable. A protein standard is introduced which can be employed for both the total serum proteins and albumin determinations.","container-title":"Clinica Chimica Acta","DOI":"10.1016/0009-8981(71)90365-2","ISSN":"0009-8981","issue":"1","journalAbbreviation":"Clinica Chimica Acta","page":"87-96","source":"ScienceDirect","title":"Albumin standards and the measurement of serum albumin with bromcresol green","volume":"31","author":[{"family":"Doumas","given":"Basil T."},{"family":"Ard Watson","given":"W."},{"family":"Biggs","given":"Homer G."}],"issued":{"date-parts":[["1971",1,1]]}}}],"schema":"https://github.com/citation-style-language/schema/raw/master/csl-citation.json"}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[6]</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 xml:space="preserve">; </w:t>
      </w:r>
    </w:p>
    <w:p w14:paraId="678D63EF" w14:textId="77777777" w:rsidR="00D91F09" w:rsidRPr="00D91F09" w:rsidRDefault="00D91F09" w:rsidP="00D91F09">
      <w:pPr>
        <w:spacing w:after="0" w:line="480" w:lineRule="auto"/>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Globulin concentration (mg/dL) = </w:t>
      </w:r>
      <m:oMath>
        <m:r>
          <w:rPr>
            <w:rFonts w:ascii="Cambria Math" w:eastAsia="Calibri" w:hAnsi="Cambria Math" w:cs="Times New Roman"/>
            <w:sz w:val="24"/>
            <w:szCs w:val="24"/>
          </w:rPr>
          <m:t>Total protein level -Albumin level</m:t>
        </m:r>
      </m:oMath>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r>
      <w:r w:rsidRPr="00D91F09">
        <w:rPr>
          <w:rFonts w:ascii="Times New Roman" w:eastAsia="Calibri" w:hAnsi="Times New Roman" w:cs="Times New Roman"/>
          <w:sz w:val="24"/>
          <w:szCs w:val="24"/>
        </w:rPr>
        <w:tab/>
        <w:t xml:space="preserve"> … (4)</w:t>
      </w:r>
    </w:p>
    <w:p w14:paraId="363FC8C7" w14:textId="77777777" w:rsidR="00D91F09" w:rsidRPr="00D91F09" w:rsidRDefault="00D91F09" w:rsidP="00D91F09">
      <w:pPr>
        <w:spacing w:after="0" w:line="480" w:lineRule="auto"/>
        <w:ind w:left="3600" w:firstLine="720"/>
        <w:jc w:val="both"/>
        <w:rPr>
          <w:rFonts w:ascii="Times New Roman" w:eastAsia="Calibri" w:hAnsi="Times New Roman" w:cs="Times New Roman"/>
          <w:sz w:val="24"/>
          <w:szCs w:val="24"/>
          <w:vertAlign w:val="subscript"/>
        </w:rPr>
      </w:pPr>
    </w:p>
    <w:p w14:paraId="48065BED" w14:textId="7483EDCD" w:rsidR="00D91F09" w:rsidRPr="00D91F09" w:rsidRDefault="00D91F09" w:rsidP="00D91F09">
      <w:pPr>
        <w:spacing w:after="0" w:line="480" w:lineRule="auto"/>
        <w:jc w:val="both"/>
        <w:rPr>
          <w:rFonts w:ascii="Times New Roman" w:eastAsia="Calibri" w:hAnsi="Times New Roman" w:cs="Times New Roman"/>
          <w:b/>
          <w:sz w:val="24"/>
          <w:szCs w:val="24"/>
        </w:rPr>
      </w:pPr>
      <w:r w:rsidRPr="00D91F09">
        <w:rPr>
          <w:rFonts w:ascii="Times New Roman" w:eastAsia="Calibri" w:hAnsi="Times New Roman" w:cs="Times New Roman"/>
          <w:b/>
          <w:sz w:val="24"/>
          <w:szCs w:val="24"/>
        </w:rPr>
        <w:t xml:space="preserve">Determination </w:t>
      </w:r>
      <w:r w:rsidR="00453D98">
        <w:rPr>
          <w:rFonts w:ascii="Times New Roman" w:eastAsia="Calibri" w:hAnsi="Times New Roman" w:cs="Times New Roman"/>
          <w:b/>
          <w:sz w:val="24"/>
          <w:szCs w:val="24"/>
        </w:rPr>
        <w:t>of α-amylase and α-glucosidase A</w:t>
      </w:r>
      <w:r w:rsidRPr="00D91F09">
        <w:rPr>
          <w:rFonts w:ascii="Times New Roman" w:eastAsia="Calibri" w:hAnsi="Times New Roman" w:cs="Times New Roman"/>
          <w:b/>
          <w:sz w:val="24"/>
          <w:szCs w:val="24"/>
        </w:rPr>
        <w:t>ctivities</w:t>
      </w:r>
    </w:p>
    <w:p w14:paraId="37016093" w14:textId="6D90CD1D" w:rsidR="00D91F09" w:rsidRPr="007A4CF1" w:rsidRDefault="00453D98" w:rsidP="00D91F09">
      <w:pPr>
        <w:spacing w:after="0" w:line="48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Determination of α-amylase A</w:t>
      </w:r>
      <w:r w:rsidR="00D91F09" w:rsidRPr="007A4CF1">
        <w:rPr>
          <w:rFonts w:ascii="Times New Roman" w:eastAsia="Calibri" w:hAnsi="Times New Roman" w:cs="Times New Roman"/>
          <w:b/>
          <w:i/>
          <w:sz w:val="24"/>
          <w:szCs w:val="24"/>
        </w:rPr>
        <w:t>ctivity</w:t>
      </w:r>
    </w:p>
    <w:p w14:paraId="4AE2BA33" w14:textId="5E23A3BB" w:rsidR="00D91F09"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The activity of α-amylase in the pancreatic of diabetic rats was evaluated as described by Worthington </w:t>
      </w:r>
      <w:r w:rsidR="00AB048A">
        <w:rPr>
          <w:rFonts w:ascii="Times New Roman" w:eastAsia="Calibri" w:hAnsi="Times New Roman" w:cs="Times New Roman"/>
          <w:sz w:val="24"/>
          <w:szCs w:val="24"/>
        </w:rPr>
        <w:t>B</w:t>
      </w:r>
      <w:r w:rsidRPr="00D91F09">
        <w:rPr>
          <w:rFonts w:ascii="Times New Roman" w:eastAsia="Calibri" w:hAnsi="Times New Roman" w:cs="Times New Roman"/>
          <w:sz w:val="24"/>
          <w:szCs w:val="24"/>
        </w:rPr>
        <w:t xml:space="preserve">iochemical Corporation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{"citationID":"ZkbGAOkA","properties":{"formattedCitation":"[7]","plainCitation":"[7]","noteIndex":0},"citationItems":[{"id":1694,"uris":["http://zotero.org/users/5341874/items/JBWRHXW3"],"itemData":{"id":1694,"type":"webpage","abstract":"Amylase, Alpha - Worthington Enzyme Manual","language":"en","title":"Amylase, Alpha - Worthington Enzyme Manual","URL":"https://www.worthington-biochem.com/products/amylase-alpha/manual","author":[{"family":"Worthington Biochemical Corporation","given":""}],"accessed":{"date-parts":[["2024",2,15]]},"issued":{"date-parts":[["1993"]]}}}],"schema":"https://github.com/citation-style-language/schema/raw/master/csl-citation.json"}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[7]</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 Pancreatic homogenate (100 µL) which is the α-amylase source was added to 500 μL of 20 mM sodium phosphate buffer (pH 6.9 with 6 mM NaCl) and w</w:t>
      </w:r>
      <w:r w:rsidR="00AB048A">
        <w:rPr>
          <w:rFonts w:ascii="Times New Roman" w:eastAsia="Calibri" w:hAnsi="Times New Roman" w:cs="Times New Roman"/>
          <w:sz w:val="24"/>
          <w:szCs w:val="24"/>
        </w:rPr>
        <w:t>as</w:t>
      </w:r>
      <w:r w:rsidRPr="00D91F09">
        <w:rPr>
          <w:rFonts w:ascii="Times New Roman" w:eastAsia="Calibri" w:hAnsi="Times New Roman" w:cs="Times New Roman"/>
          <w:sz w:val="24"/>
          <w:szCs w:val="24"/>
        </w:rPr>
        <w:t xml:space="preserve"> incubated for 10 min at 25 ◦C, and then followed by </w:t>
      </w:r>
      <w:r w:rsidR="00AB048A">
        <w:rPr>
          <w:rFonts w:ascii="Times New Roman" w:eastAsia="Calibri" w:hAnsi="Times New Roman" w:cs="Times New Roman"/>
          <w:sz w:val="24"/>
          <w:szCs w:val="24"/>
        </w:rPr>
        <w:t xml:space="preserve">the </w:t>
      </w:r>
      <w:r w:rsidRPr="00D91F09">
        <w:rPr>
          <w:rFonts w:ascii="Times New Roman" w:eastAsia="Calibri" w:hAnsi="Times New Roman" w:cs="Times New Roman"/>
          <w:sz w:val="24"/>
          <w:szCs w:val="24"/>
        </w:rPr>
        <w:t xml:space="preserve">addition of 1000 μL of dinitrosalicylic acid (DNSA) solution. The mixture was incubated at 100 ◦C for 5 min to stop the reaction and then cooled </w:t>
      </w:r>
      <w:r w:rsidRPr="00D91F09">
        <w:rPr>
          <w:rFonts w:ascii="Times New Roman" w:eastAsia="Calibri" w:hAnsi="Times New Roman" w:cs="Times New Roman"/>
          <w:sz w:val="24"/>
          <w:szCs w:val="24"/>
        </w:rPr>
        <w:lastRenderedPageBreak/>
        <w:t xml:space="preserve">at room temperature. The mixture was diluted by adding 10 mL of distilled water. The absorbance was read at 540 nm using </w:t>
      </w:r>
      <w:r w:rsidR="00AB048A">
        <w:rPr>
          <w:rFonts w:ascii="Times New Roman" w:eastAsia="Calibri" w:hAnsi="Times New Roman" w:cs="Times New Roman"/>
          <w:sz w:val="24"/>
          <w:szCs w:val="24"/>
        </w:rPr>
        <w:t xml:space="preserve">a </w:t>
      </w:r>
      <w:r w:rsidRPr="00D91F09">
        <w:rPr>
          <w:rFonts w:ascii="Times New Roman" w:eastAsia="Calibri" w:hAnsi="Times New Roman" w:cs="Times New Roman"/>
          <w:sz w:val="24"/>
          <w:szCs w:val="24"/>
        </w:rPr>
        <w:t>spectrophotometer and α-amylase activity was finally calculated.</w:t>
      </w:r>
    </w:p>
    <w:p w14:paraId="770E0559" w14:textId="4E8BFD27" w:rsidR="00D91F09" w:rsidRPr="007A4CF1" w:rsidRDefault="00453D98" w:rsidP="00D91F09">
      <w:pPr>
        <w:spacing w:after="0" w:line="48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Determination of α-glucosidase A</w:t>
      </w:r>
      <w:r w:rsidR="00D91F09" w:rsidRPr="007A4CF1">
        <w:rPr>
          <w:rFonts w:ascii="Times New Roman" w:eastAsia="Calibri" w:hAnsi="Times New Roman" w:cs="Times New Roman"/>
          <w:b/>
          <w:i/>
          <w:sz w:val="24"/>
          <w:szCs w:val="24"/>
        </w:rPr>
        <w:t>ctivity</w:t>
      </w:r>
    </w:p>
    <w:p w14:paraId="6BA7FED3" w14:textId="07FA6663" w:rsidR="00D91F09"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The activity of α-glucosidase in the intestine of diabetic rats was evaluated as described by Apostolidis et al.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{"citationID":"dvSodwlG","properties":{"formattedCitation":"[8]","plainCitation":"[8]","noteIndex":0},"citationItems":[{"id":1560,"uris":["http://zotero.org/users/5341874/items/RW6CKX8P"],"itemData":{"id":1560,"type":"article-journal","abstract":"In the current study, three different types of cheese, cheddar, feta, and Roquefort, were screened to determine the variations in phenolic-linked antioxidant activity and the potential to inhibit key enzymes relevant to type 2 diabetes and related hypertension. The cheese samples were assayed for total phenolic content, related antioxidant activity, and inhibition of α-glucosidase, pancreatic α-amylase inhibitory activity, and the angiotensin-converting enzyme (ACE)-I inhibitory activity. The three fungal-enriched Roquefort cheese samples had the highest total phenolic content. The phenolic content in the herb cheese was slightly but not significantly higher compared to plain cheese. Roquefort cheese samples had the highest antioxidant-linked DPPH (free radical) scavenging activity and as expected DPPH radical scavenging activity was higher in the herb cheese compared to plain cheese. All samples had some α-glucosidase and α-amylase inhibitory activities, with cranberry-enriched cheese having the highest activities. However, no correlation to soluble phenolic content was observed. All the cheese samples had very high anti-ACE-I inhibitory activity, indicating no correlation to phenolic content and activity was even high in 10× diluted samples. The highest ACE-I inhibitory activity was observed in plain and herb-enriched cheddar cheese as well as cranberry-enriched cheese. These studies indicate that cranberry-enriched cheese had the best potential for inhibition of α-glucosidase and α-amylase relevant for type 2 diabetes management, whereas any cheese product had potential for ACE-I inhibition linked to hypertension management, indicating likely the role of other factors such as peptides from cheese fermentation.\nIndustrial relevance\nThis research is focused on screening of different types of commercial plain, herbal, fruit, and fungal-enriched to provide a strong biochemical rationale for further design of functional cheese products for anti-type 2 diabetic and relevant hypertension management. A better understanding of these functional attributes provides a strong biochemical rationale for design in vivo and clinical studies from which right design of functional food can be established.","container-title":"Innovative Food Science &amp; Emerging Technologies","DOI":"10.1016/j.ifset.2006.06.001","ISSN":"1466-8564","issue":"1","journalAbbreviation":"Innovative Food Science &amp; Emerging Technologies","page":"46-54","source":"ScienceDirect","title":"Inhibitory potential of herb, fruit, and fungal-enriched cheese against key enzymes linked to type 2 diabetes and hypertension","volume":"8","author":[{"family":"Apostolidis","given":"E."},{"family":"Kwon","given":"Y. -I."},{"family":"Shetty","given":"K."}],"issued":{"date-parts":[["2007",3,1]]}}}],"schema":"https://github.com/citation-style-language/schema/raw/master/csl-citation.json"}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[8]</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 Briefly, 100 μL of intestinal homogenate (α-glucosidase source), and 2.85 ml of phosphate buffer (0.1 M, pH 6.9) was pre-incubated for 10 min at 25 ◦C. Then, 50 µl of p-nitrophenyl-D-glucopyranoside (5 mM) was added to the pre-incubated solution, and subjected to further incubation at 25 ◦C for 5 min. The absorbance was then read at 405 nm and α-glucosidase activity was calculated.</w:t>
      </w:r>
    </w:p>
    <w:p w14:paraId="26E7CF94" w14:textId="72524EEF" w:rsidR="00D91F09" w:rsidRPr="00D91F09" w:rsidRDefault="00453D98" w:rsidP="00D91F09">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Determination of Angiotensin Converting Enzyme A</w:t>
      </w:r>
      <w:r w:rsidR="00D91F09" w:rsidRPr="00D91F09">
        <w:rPr>
          <w:rFonts w:ascii="Times New Roman" w:eastAsia="Calibri" w:hAnsi="Times New Roman" w:cs="Times New Roman"/>
          <w:b/>
          <w:sz w:val="24"/>
          <w:szCs w:val="24"/>
        </w:rPr>
        <w:t>ctivity</w:t>
      </w:r>
    </w:p>
    <w:p w14:paraId="323742F1" w14:textId="2BF5201F" w:rsidR="007C025A"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The liver and kidney angiotensin converting enzyme (ACE) activity was estimated as described by Cushman and Cheung </w:t>
      </w:r>
      <w:r w:rsidR="00481303">
        <w:rPr>
          <w:rFonts w:ascii="Times New Roman" w:eastAsia="Calibri" w:hAnsi="Times New Roman" w:cs="Times New Roman"/>
          <w:sz w:val="24"/>
          <w:szCs w:val="24"/>
        </w:rPr>
        <w:fldChar w:fldCharType="begin"/>
      </w:r>
      <w:r w:rsidR="00481303">
        <w:rPr>
          <w:rFonts w:ascii="Times New Roman" w:eastAsia="Calibri" w:hAnsi="Times New Roman" w:cs="Times New Roman"/>
          <w:sz w:val="24"/>
          <w:szCs w:val="24"/>
        </w:rPr>
        <w:instrText xml:space="preserve"> ADDIN ZOTERO_ITEM CSL_CITATION {"citationID":"vuvrY3qc","properties":{"formattedCitation":"[9]","plainCitation":"[9]","noteIndex":0},"citationItems":[{"id":1574,"uris":["http://zotero.org/users/5341874/items/P49FNIEI"],"itemData":{"id":1574,"type":"article-journal","abstract":"A sensitive, fixed-time, spectrophotometric assay for angiotensin-converting enzyme measures the rate of production of hippuric acid from hippuryl-L-histidyl-L-leucine (HHL). The angiotensin-converting enzyme from rabbit lung acetone powder extract, when assayed by this method, is optimally active at pH 8.1 to 8.3 at a chloride ion concentration of 300 mM and an HHL concentration of 5–10 mM; the Km for HHL is 2–6 mM. The enzyme was inhibited by metal-chelating agents, heavy metal salts and certain peptides. The most effective inhibitors were EDTA; CdBr2; angiotensin II; bradykinin; and a pentapeptide, L-pyroglutamyl-L-lysyl-L-tryptophyl-L-alanyl-L-proline, a component of Bothrops jararaca venom. Enzyme inhibited by 0.1 mM EDTA was completely reactivated after removal of EDTA by dialysis but, after prolonged dialysis of the enzyme against 1 mM EDTA, reactivation could only be achieved by addition of metal ions: MnCI2 (40%), ZnCl2 (100%) or Co(NO3)2 (160%). The angiotensin-converting enzyme of rabbit lung is a stable, chloride ion-activated metalloenzyme, similar to both the angiotensin-converting enzyme and kininase II of plasma.","container-title":"Biochemical Pharmacology","DOI":"10.1016/0006-2952(71)90292-9","ISSN":"0006-2952","issue":"7","journalAbbreviation":"Biochemical Pharmacology","page":"1637-1648","source":"ScienceDirect","title":"Spectrophotometric assay and properties of the angiotensin-converting enzyme of rabbit lung","volume":"20","author":[{"family":"Cushman","given":"D. W."},{"family":"Cheung","given":"H. S."}],"issued":{"date-parts":[["1971",7,1]]}}}],"schema":"https://github.com/citation-style-language/schema/raw/master/csl-citation.json"} </w:instrText>
      </w:r>
      <w:r w:rsidR="00481303">
        <w:rPr>
          <w:rFonts w:ascii="Times New Roman" w:eastAsia="Calibri" w:hAnsi="Times New Roman" w:cs="Times New Roman"/>
          <w:sz w:val="24"/>
          <w:szCs w:val="24"/>
        </w:rPr>
        <w:fldChar w:fldCharType="separate"/>
      </w:r>
      <w:r w:rsidR="00481303" w:rsidRPr="00481303">
        <w:rPr>
          <w:rFonts w:ascii="Times New Roman" w:hAnsi="Times New Roman" w:cs="Times New Roman"/>
          <w:sz w:val="24"/>
        </w:rPr>
        <w:t>[9]</w:t>
      </w:r>
      <w:r w:rsidR="00481303">
        <w:rPr>
          <w:rFonts w:ascii="Times New Roman" w:eastAsia="Calibri" w:hAnsi="Times New Roman" w:cs="Times New Roman"/>
          <w:sz w:val="24"/>
          <w:szCs w:val="24"/>
        </w:rPr>
        <w:fldChar w:fldCharType="end"/>
      </w:r>
      <w:r w:rsidRPr="00D91F09">
        <w:rPr>
          <w:rFonts w:ascii="Times New Roman" w:eastAsia="Calibri" w:hAnsi="Times New Roman" w:cs="Times New Roman"/>
          <w:sz w:val="24"/>
          <w:szCs w:val="24"/>
        </w:rPr>
        <w:t xml:space="preserve">. Briefly, the reaction mixture consists of 50 µl of liver/kidney homogenate that was pre-incubated in 125 mM Tris-HCl at 25 ◦C for 10 min. Subsequently, 50 μL of 8.3 mM ACE substrate (hippuryl-histidyl-leucine [HHL]) was added to the mixture, </w:t>
      </w:r>
      <w:r w:rsidR="00AB048A">
        <w:rPr>
          <w:rFonts w:ascii="Times New Roman" w:eastAsia="Calibri" w:hAnsi="Times New Roman" w:cs="Times New Roman"/>
          <w:sz w:val="24"/>
          <w:szCs w:val="24"/>
        </w:rPr>
        <w:t xml:space="preserve">and </w:t>
      </w:r>
      <w:r w:rsidRPr="00D91F09">
        <w:rPr>
          <w:rFonts w:ascii="Times New Roman" w:eastAsia="Calibri" w:hAnsi="Times New Roman" w:cs="Times New Roman"/>
          <w:sz w:val="24"/>
          <w:szCs w:val="24"/>
        </w:rPr>
        <w:t xml:space="preserve">incubated at 25 ◦C for 1 h. The rate of </w:t>
      </w:r>
      <w:r w:rsidR="00AB048A">
        <w:rPr>
          <w:rFonts w:ascii="Times New Roman" w:eastAsia="Calibri" w:hAnsi="Times New Roman" w:cs="Times New Roman"/>
          <w:sz w:val="24"/>
          <w:szCs w:val="24"/>
        </w:rPr>
        <w:t xml:space="preserve">the </w:t>
      </w:r>
      <w:r w:rsidRPr="00D91F09">
        <w:rPr>
          <w:rFonts w:ascii="Times New Roman" w:eastAsia="Calibri" w:hAnsi="Times New Roman" w:cs="Times New Roman"/>
          <w:sz w:val="24"/>
          <w:szCs w:val="24"/>
        </w:rPr>
        <w:t xml:space="preserve">HHL hydrolysis reaction was terminated by adding 100 µl of 1 M HCl, whereas the resulting hippuric acid generated was obtained using 1.5 ml of ethyl acetate. Then, the mixture was centrifuged at low speed, </w:t>
      </w:r>
      <w:r w:rsidR="00AB048A">
        <w:rPr>
          <w:rFonts w:ascii="Times New Roman" w:eastAsia="Calibri" w:hAnsi="Times New Roman" w:cs="Times New Roman"/>
          <w:sz w:val="24"/>
          <w:szCs w:val="24"/>
        </w:rPr>
        <w:t xml:space="preserve">and </w:t>
      </w:r>
      <w:r w:rsidRPr="00D91F09">
        <w:rPr>
          <w:rFonts w:ascii="Times New Roman" w:eastAsia="Calibri" w:hAnsi="Times New Roman" w:cs="Times New Roman"/>
          <w:sz w:val="24"/>
          <w:szCs w:val="24"/>
        </w:rPr>
        <w:t xml:space="preserve">the supernatant </w:t>
      </w:r>
      <w:r w:rsidR="00AB048A">
        <w:rPr>
          <w:rFonts w:ascii="Times New Roman" w:eastAsia="Calibri" w:hAnsi="Times New Roman" w:cs="Times New Roman"/>
          <w:sz w:val="24"/>
          <w:szCs w:val="24"/>
        </w:rPr>
        <w:t xml:space="preserve">was </w:t>
      </w:r>
      <w:r w:rsidRPr="00D91F09">
        <w:rPr>
          <w:rFonts w:ascii="Times New Roman" w:eastAsia="Calibri" w:hAnsi="Times New Roman" w:cs="Times New Roman"/>
          <w:sz w:val="24"/>
          <w:szCs w:val="24"/>
        </w:rPr>
        <w:t xml:space="preserve">collected into clean tubes and was then evaporated to dryness. Finally, the extracted hippuric acid was recovered by </w:t>
      </w:r>
      <w:r w:rsidR="00AB048A">
        <w:rPr>
          <w:rFonts w:ascii="Times New Roman" w:eastAsia="Calibri" w:hAnsi="Times New Roman" w:cs="Times New Roman"/>
          <w:sz w:val="24"/>
          <w:szCs w:val="24"/>
        </w:rPr>
        <w:t xml:space="preserve">the </w:t>
      </w:r>
      <w:r w:rsidRPr="00D91F09">
        <w:rPr>
          <w:rFonts w:ascii="Times New Roman" w:eastAsia="Calibri" w:hAnsi="Times New Roman" w:cs="Times New Roman"/>
          <w:sz w:val="24"/>
          <w:szCs w:val="24"/>
        </w:rPr>
        <w:t xml:space="preserve">addition of 1.0 ml of distilled water in the test tube and the absorbance was measured at 228 nm using a spectrophotometer. The specific activity of the enzyme was subsequently calculated. The ACE activity was expressed as </w:t>
      </w:r>
      <w:r w:rsidR="00AB048A">
        <w:rPr>
          <w:rFonts w:ascii="Times New Roman" w:eastAsia="Calibri" w:hAnsi="Times New Roman" w:cs="Times New Roman"/>
          <w:sz w:val="24"/>
          <w:szCs w:val="24"/>
        </w:rPr>
        <w:t xml:space="preserve">a </w:t>
      </w:r>
      <w:r w:rsidRPr="00D91F09">
        <w:rPr>
          <w:rFonts w:ascii="Times New Roman" w:eastAsia="Calibri" w:hAnsi="Times New Roman" w:cs="Times New Roman"/>
          <w:sz w:val="24"/>
          <w:szCs w:val="24"/>
        </w:rPr>
        <w:t>percentage inhibitory activity.</w:t>
      </w:r>
    </w:p>
    <w:p w14:paraId="6D9E3C2E" w14:textId="1BEB49F1" w:rsidR="00D91F09" w:rsidRPr="00D91F09" w:rsidRDefault="00D91F09" w:rsidP="00D91F09">
      <w:pPr>
        <w:spacing w:after="0" w:line="480" w:lineRule="auto"/>
        <w:jc w:val="both"/>
        <w:rPr>
          <w:rFonts w:ascii="Times New Roman" w:eastAsia="Calibri" w:hAnsi="Times New Roman" w:cs="Times New Roman"/>
          <w:b/>
          <w:sz w:val="24"/>
          <w:szCs w:val="24"/>
        </w:rPr>
      </w:pPr>
      <w:r w:rsidRPr="00D91F09">
        <w:rPr>
          <w:rFonts w:ascii="Times New Roman" w:eastAsia="Calibri" w:hAnsi="Times New Roman" w:cs="Times New Roman"/>
          <w:b/>
          <w:sz w:val="24"/>
          <w:szCs w:val="24"/>
        </w:rPr>
        <w:t xml:space="preserve">Evaluation of </w:t>
      </w:r>
      <w:r w:rsidR="00453D98" w:rsidRPr="00D91F09">
        <w:rPr>
          <w:rFonts w:ascii="Times New Roman" w:eastAsia="Calibri" w:hAnsi="Times New Roman" w:cs="Times New Roman"/>
          <w:b/>
          <w:sz w:val="24"/>
          <w:szCs w:val="24"/>
        </w:rPr>
        <w:t>Oxidative Stress Indicators</w:t>
      </w:r>
    </w:p>
    <w:p w14:paraId="6A77A5E6" w14:textId="17036CCD" w:rsidR="00D91F09" w:rsidRPr="007A4CF1" w:rsidRDefault="00D91F09" w:rsidP="00D91F09">
      <w:pPr>
        <w:spacing w:after="0" w:line="480" w:lineRule="auto"/>
        <w:jc w:val="both"/>
        <w:rPr>
          <w:rFonts w:ascii="Times New Roman" w:eastAsia="Calibri" w:hAnsi="Times New Roman" w:cs="Times New Roman"/>
          <w:b/>
          <w:i/>
          <w:sz w:val="24"/>
          <w:szCs w:val="24"/>
        </w:rPr>
      </w:pPr>
      <w:r w:rsidRPr="007A4CF1">
        <w:rPr>
          <w:rFonts w:ascii="Times New Roman" w:hAnsi="Times New Roman" w:cs="Times New Roman"/>
          <w:b/>
          <w:i/>
          <w:sz w:val="24"/>
          <w:szCs w:val="24"/>
        </w:rPr>
        <w:t xml:space="preserve">Determination of </w:t>
      </w:r>
      <w:r w:rsidR="00453D98" w:rsidRPr="007A4CF1">
        <w:rPr>
          <w:rFonts w:ascii="Times New Roman" w:hAnsi="Times New Roman" w:cs="Times New Roman"/>
          <w:b/>
          <w:i/>
          <w:sz w:val="24"/>
          <w:szCs w:val="24"/>
        </w:rPr>
        <w:t>Glutathione Peroxidase Activity</w:t>
      </w:r>
    </w:p>
    <w:p w14:paraId="0B2445B2" w14:textId="1BD96555" w:rsidR="00D91F09" w:rsidRPr="00D91F09" w:rsidRDefault="00D91F09" w:rsidP="00D91F09">
      <w:pPr>
        <w:spacing w:line="480" w:lineRule="auto"/>
        <w:jc w:val="both"/>
        <w:rPr>
          <w:rFonts w:ascii="Times New Roman" w:hAnsi="Times New Roman" w:cs="Times New Roman"/>
          <w:b/>
          <w:sz w:val="24"/>
          <w:szCs w:val="24"/>
        </w:rPr>
      </w:pPr>
      <w:r w:rsidRPr="00D91F09">
        <w:rPr>
          <w:rFonts w:ascii="Times New Roman" w:hAnsi="Times New Roman" w:cs="Times New Roman"/>
          <w:sz w:val="24"/>
          <w:szCs w:val="24"/>
        </w:rPr>
        <w:t xml:space="preserve">Glutathione peroxidase (GPx) activity </w:t>
      </w:r>
      <w:r w:rsidRPr="00D91F09">
        <w:rPr>
          <w:rFonts w:ascii="Times New Roman" w:eastAsia="Times New Roman" w:hAnsi="Times New Roman" w:cs="Times New Roman"/>
          <w:sz w:val="24"/>
          <w:szCs w:val="24"/>
        </w:rPr>
        <w:t xml:space="preserve">in </w:t>
      </w:r>
      <w:r w:rsidRPr="00D91F09">
        <w:rPr>
          <w:rFonts w:ascii="Times New Roman" w:hAnsi="Times New Roman" w:cs="Times New Roman"/>
          <w:sz w:val="24"/>
          <w:szCs w:val="24"/>
        </w:rPr>
        <w:t>the liver and kidney of diabetic rats</w:t>
      </w:r>
      <w:r w:rsidRPr="00D91F09">
        <w:rPr>
          <w:rFonts w:ascii="Times New Roman" w:eastAsia="Times New Roman" w:hAnsi="Times New Roman" w:cs="Times New Roman"/>
          <w:sz w:val="24"/>
          <w:szCs w:val="24"/>
        </w:rPr>
        <w:t xml:space="preserve"> </w:t>
      </w:r>
      <w:r w:rsidRPr="00D91F09">
        <w:rPr>
          <w:rFonts w:ascii="Times New Roman" w:hAnsi="Times New Roman" w:cs="Times New Roman"/>
          <w:sz w:val="24"/>
          <w:szCs w:val="24"/>
        </w:rPr>
        <w:t xml:space="preserve">was determined according to the method of Haque </w:t>
      </w:r>
      <w:r w:rsidRPr="00D91F09">
        <w:rPr>
          <w:rFonts w:ascii="Times New Roman" w:hAnsi="Times New Roman" w:cs="Times New Roman"/>
          <w:iCs/>
          <w:sz w:val="24"/>
          <w:szCs w:val="24"/>
        </w:rPr>
        <w:t>et al</w:t>
      </w:r>
      <w:r w:rsidRPr="00D91F09">
        <w:rPr>
          <w:rFonts w:ascii="Times New Roman" w:hAnsi="Times New Roman" w:cs="Times New Roman"/>
          <w:i/>
          <w:iCs/>
          <w:sz w:val="24"/>
          <w:szCs w:val="24"/>
        </w:rPr>
        <w:t>.</w:t>
      </w:r>
      <w:r w:rsidRPr="00D91F09">
        <w:rPr>
          <w:rFonts w:ascii="Times New Roman" w:hAnsi="Times New Roman" w:cs="Times New Roman"/>
          <w:sz w:val="24"/>
          <w:szCs w:val="24"/>
        </w:rPr>
        <w:t xml:space="preserve">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{"citationID":"gIw1Y496","properties":{"formattedCitation":"[10]","plainCitation":"[10]","noteIndex":0},"citationItems":[{"id":12,"uris":["http://zotero.org/users/5341874/items/6JPSLBVT"],"itemData":{"id":12,"type":"article-journal","abstract":"Walnut (Juglans regia L.) is extensively used in traditional systems of medicine for treatment of various ailments. It is described as an anticancer, tonic, blood purifier and detoxifier agent. The present study was undertaken to investigate modulatory effects of walnut extract on the toxicity of an anticancer drug, cyclophosphamide (CP) with special reference to protection against disruption of drug metabolizing and antioxidant enzymes. Plant extract+CP group animals showed restoration in the level of cytochrome P450 (CYP) content and in the activities of glutathione S-transferase (GST), glutathione peroxidase (GP) and catalase (CAT) in both liver and kidneys. But plant extract restored the activity of superoxide dismutase (SOD) and the level of reduced glutathione (GSH) in the kidneys only when compared with CP-treated animals. Plant extract treatment alone caused significant reduction in the content of CYP in the kidneys mainly. The extract showed a significant increase in the level of GSH and in the activities of GP in both the tissues and CAT in liver only, whereas no significant change was observed in the activities of GST and SOD. CP treatment resulted in a significant (P &lt; 0.01) increase in the lipid peroxidation (LPO) in the liver and kidneys compared with controls, while the extract+CP treated group showed a significant decrease in the LPO in liver and kidneys when compared with the CP-treated group. The study shows that the use of J. regia extract might be helpful in abrogation of CP toxicity during the chemotherapy.","container-title":"Human &amp; Experimental Toxicology","DOI":"10.1191/0960327103ht388oa","ISSN":"0960-3271","issue":"9","journalAbbreviation":"Hum Exp Toxicol","language":"eng","note":"PMID: 14580007","page":"473-480","source":"PubMed","title":"Aqueous extract of walnut (Juglans regia L.) protects mice against cyclophosphamide-induced biochemical toxicity","volume":"22","author":[{"family":"Haque","given":"R."},{"family":"Bin-Hafeez","given":"B."},{"family":"Parvez","given":"S."},{"family":"Pandey","given":"S."},{"family":"Sayeed","given":"I."},{"family":"Ali","given":"M."},{"family":"Raisuddin","given":"S."}],"issued":{"date-parts":[["2003",9]]}}}],"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[10]</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xml:space="preserve">. A reaction cocktail containing 500 μl of 0.1M </w:t>
      </w:r>
      <w:r w:rsidRPr="00D91F09">
        <w:rPr>
          <w:rFonts w:ascii="Times New Roman" w:hAnsi="Times New Roman" w:cs="Times New Roman"/>
          <w:sz w:val="24"/>
          <w:szCs w:val="24"/>
        </w:rPr>
        <w:lastRenderedPageBreak/>
        <w:t>phosphate buffer (pH 7.4), 100 μl of 10 mM sodium azide, 200 μl of 4 mM glutathione (GSH) solution, 100 μl of 2.5 mM H</w:t>
      </w:r>
      <w:r w:rsidRPr="00D91F09">
        <w:rPr>
          <w:rFonts w:ascii="Times New Roman" w:hAnsi="Times New Roman" w:cs="Times New Roman"/>
          <w:sz w:val="24"/>
          <w:szCs w:val="24"/>
          <w:vertAlign w:val="subscript"/>
        </w:rPr>
        <w:t>2</w:t>
      </w:r>
      <w:r w:rsidRPr="00D91F09">
        <w:rPr>
          <w:rFonts w:ascii="Times New Roman" w:hAnsi="Times New Roman" w:cs="Times New Roman"/>
          <w:sz w:val="24"/>
          <w:szCs w:val="24"/>
        </w:rPr>
        <w:t>O</w:t>
      </w:r>
      <w:r w:rsidRPr="00D91F09">
        <w:rPr>
          <w:rFonts w:ascii="Times New Roman" w:hAnsi="Times New Roman" w:cs="Times New Roman"/>
          <w:sz w:val="24"/>
          <w:szCs w:val="24"/>
          <w:vertAlign w:val="subscript"/>
        </w:rPr>
        <w:t>2</w:t>
      </w:r>
      <w:r w:rsidRPr="00D91F09">
        <w:rPr>
          <w:rFonts w:ascii="Times New Roman" w:hAnsi="Times New Roman" w:cs="Times New Roman"/>
          <w:sz w:val="24"/>
          <w:szCs w:val="24"/>
        </w:rPr>
        <w:t>, and 500 μl of the tissue homogenates was made up to 2 ml with distilled water, and mixed thoroughly. The reaction mixture was incubated at 37</w:t>
      </w:r>
      <w:r w:rsidRPr="00D91F09">
        <w:rPr>
          <w:rFonts w:ascii="Times New Roman" w:hAnsi="Times New Roman" w:cs="Times New Roman"/>
          <w:sz w:val="24"/>
          <w:szCs w:val="24"/>
        </w:rPr>
        <w:sym w:font="Symbol" w:char="F0B0"/>
      </w:r>
      <w:r w:rsidRPr="00D91F09">
        <w:rPr>
          <w:rFonts w:ascii="Times New Roman" w:hAnsi="Times New Roman" w:cs="Times New Roman"/>
          <w:sz w:val="24"/>
          <w:szCs w:val="24"/>
        </w:rPr>
        <w:t xml:space="preserve">C for 3 min, and 0.5 ml of 10% trichloroacetic acid (TCA) was added to stop the reaction. The resulting solution was centrifuged at 3000 rpm for 5 min. A portion of the supernatant (1 ml) was collected, and was mixed with 2 ml of </w:t>
      </w:r>
      <w:r w:rsidRPr="00D91F09">
        <w:rPr>
          <w:rFonts w:ascii="Times New Roman" w:hAnsi="Times New Roman" w:cs="Times New Roman"/>
          <w:bCs/>
          <w:sz w:val="24"/>
          <w:szCs w:val="24"/>
          <w:shd w:val="clear" w:color="auto" w:fill="FFFFFF"/>
        </w:rPr>
        <w:t>dipotassium phosphate</w:t>
      </w:r>
      <w:r w:rsidRPr="00D91F09">
        <w:rPr>
          <w:rFonts w:ascii="Times New Roman" w:hAnsi="Times New Roman" w:cs="Times New Roman"/>
          <w:sz w:val="24"/>
          <w:szCs w:val="24"/>
        </w:rPr>
        <w:t xml:space="preserve"> and 1 ml of </w:t>
      </w:r>
      <w:r w:rsidRPr="00D91F09">
        <w:rPr>
          <w:rFonts w:ascii="Times New Roman" w:hAnsi="Times New Roman" w:cs="Times New Roman"/>
          <w:sz w:val="24"/>
          <w:szCs w:val="24"/>
          <w:shd w:val="clear" w:color="auto" w:fill="FFFFFF"/>
        </w:rPr>
        <w:t>5,5'-dithio-bis-(2-nitrobenzoic acid)</w:t>
      </w:r>
      <w:r w:rsidRPr="00D91F09">
        <w:rPr>
          <w:rFonts w:ascii="Times New Roman" w:hAnsi="Times New Roman" w:cs="Times New Roman"/>
          <w:sz w:val="24"/>
          <w:szCs w:val="24"/>
        </w:rPr>
        <w:t xml:space="preserve"> (0.04 %, w/v) were added and the absorbance was read at 412 nm against a blank.</w:t>
      </w:r>
      <w:r w:rsidRPr="00D91F09">
        <w:rPr>
          <w:rFonts w:ascii="Times New Roman" w:hAnsi="Times New Roman" w:cs="Times New Roman"/>
          <w:b/>
          <w:sz w:val="24"/>
          <w:szCs w:val="24"/>
        </w:rPr>
        <w:t xml:space="preserve"> </w:t>
      </w:r>
      <w:r w:rsidRPr="00D91F09">
        <w:rPr>
          <w:rFonts w:ascii="Times New Roman" w:hAnsi="Times New Roman" w:cs="Times New Roman"/>
          <w:sz w:val="24"/>
          <w:szCs w:val="24"/>
        </w:rPr>
        <w:t>GPx activity was obtained by estimating the concentration of GSH obtained from a standard calibration curve by extrapolation and expressed as GSH consumed/mg protein.</w:t>
      </w:r>
    </w:p>
    <w:p w14:paraId="099268AD" w14:textId="41518281" w:rsidR="00D91F09" w:rsidRPr="007A4CF1" w:rsidRDefault="00D91F09" w:rsidP="00D91F09">
      <w:pPr>
        <w:autoSpaceDE w:val="0"/>
        <w:autoSpaceDN w:val="0"/>
        <w:adjustRightInd w:val="0"/>
        <w:spacing w:after="0" w:line="480" w:lineRule="auto"/>
        <w:jc w:val="both"/>
        <w:rPr>
          <w:rFonts w:ascii="Times New Roman" w:eastAsia="Times New Roman" w:hAnsi="Times New Roman" w:cs="Times New Roman"/>
          <w:b/>
          <w:i/>
          <w:sz w:val="24"/>
          <w:szCs w:val="24"/>
        </w:rPr>
      </w:pPr>
      <w:r w:rsidRPr="007A4CF1">
        <w:rPr>
          <w:rFonts w:ascii="Times New Roman" w:eastAsia="Times New Roman" w:hAnsi="Times New Roman" w:cs="Times New Roman"/>
          <w:b/>
          <w:i/>
          <w:sz w:val="24"/>
          <w:szCs w:val="24"/>
        </w:rPr>
        <w:t xml:space="preserve">Determination of </w:t>
      </w:r>
      <w:r w:rsidR="00453D98" w:rsidRPr="007A4CF1">
        <w:rPr>
          <w:rFonts w:ascii="Times New Roman" w:eastAsia="Times New Roman" w:hAnsi="Times New Roman" w:cs="Times New Roman"/>
          <w:b/>
          <w:i/>
          <w:sz w:val="24"/>
          <w:szCs w:val="24"/>
        </w:rPr>
        <w:t>Glutathione Transferase Activity</w:t>
      </w:r>
    </w:p>
    <w:p w14:paraId="50C6725D" w14:textId="5A2E171E" w:rsidR="00D91F09" w:rsidRPr="00D91F09" w:rsidRDefault="00D91F09" w:rsidP="00D91F09">
      <w:pPr>
        <w:autoSpaceDE w:val="0"/>
        <w:autoSpaceDN w:val="0"/>
        <w:adjustRightInd w:val="0"/>
        <w:spacing w:line="480" w:lineRule="auto"/>
        <w:jc w:val="both"/>
        <w:rPr>
          <w:rFonts w:ascii="Times New Roman" w:eastAsia="Times New Roman" w:hAnsi="Times New Roman" w:cs="Times New Roman"/>
          <w:sz w:val="24"/>
          <w:szCs w:val="24"/>
        </w:rPr>
      </w:pPr>
      <w:r w:rsidRPr="00D91F09">
        <w:rPr>
          <w:rFonts w:ascii="Times New Roman" w:eastAsia="Times New Roman" w:hAnsi="Times New Roman" w:cs="Times New Roman"/>
          <w:sz w:val="24"/>
          <w:szCs w:val="24"/>
        </w:rPr>
        <w:t xml:space="preserve">Glutathione transferase (GST) activity in </w:t>
      </w:r>
      <w:r w:rsidRPr="00D91F09">
        <w:rPr>
          <w:rFonts w:ascii="Times New Roman" w:hAnsi="Times New Roman" w:cs="Times New Roman"/>
          <w:sz w:val="24"/>
          <w:szCs w:val="24"/>
        </w:rPr>
        <w:t>the liver and kidney of diabetic rats</w:t>
      </w:r>
      <w:r w:rsidRPr="00D91F09">
        <w:rPr>
          <w:rFonts w:ascii="Times New Roman" w:eastAsia="Times New Roman" w:hAnsi="Times New Roman" w:cs="Times New Roman"/>
          <w:sz w:val="24"/>
          <w:szCs w:val="24"/>
        </w:rPr>
        <w:t xml:space="preserve"> was determined according to the method of Habig et al</w:t>
      </w:r>
      <w:r w:rsidRPr="00D91F09">
        <w:rPr>
          <w:rFonts w:ascii="Times New Roman" w:eastAsia="Times New Roman" w:hAnsi="Times New Roman" w:cs="Times New Roman"/>
          <w:i/>
          <w:sz w:val="24"/>
          <w:szCs w:val="24"/>
        </w:rPr>
        <w:t xml:space="preserve">. </w:t>
      </w:r>
      <w:r w:rsidR="00481303">
        <w:rPr>
          <w:rFonts w:ascii="Times New Roman" w:eastAsia="Times New Roman" w:hAnsi="Times New Roman" w:cs="Times New Roman"/>
          <w:sz w:val="24"/>
          <w:szCs w:val="24"/>
        </w:rPr>
        <w:fldChar w:fldCharType="begin"/>
      </w:r>
      <w:r w:rsidR="00481303">
        <w:rPr>
          <w:rFonts w:ascii="Times New Roman" w:eastAsia="Times New Roman" w:hAnsi="Times New Roman" w:cs="Times New Roman"/>
          <w:sz w:val="24"/>
          <w:szCs w:val="24"/>
        </w:rPr>
        <w:instrText xml:space="preserve"> ADDIN ZOTERO_ITEM CSL_CITATION {"citationID":"Hs4KQ7VR","properties":{"formattedCitation":"[11]","plainCitation":"[11]","noteIndex":0},"citationItems":[{"id":184,"uris":["http://zotero.org/users/5341874/items/R9LJ7RG2"],"itemData":{"id":184,"type":"article-journal","container-title":"The Journal of Biological Chemistry","ISSN":"0021-9258","issue":"22","journalAbbreviation":"J. Biol. Chem.","language":"eng","note":"PMID: 4436300","page":"7130-7139","source":"PubMed","title":"Glutathione S-transferases. The first enzymatic step in mercapturic acid formation","volume":"249","author":[{"family":"Habig","given":"W. H."},{"family":"Pabst","given":"M. J."},{"family":"Jakoby","given":"W. B."}],"issued":{"date-parts":[["1974",11,25]]}}}],"schema":"https://github.com/citation-style-language/schema/raw/master/csl-citation.json"} </w:instrText>
      </w:r>
      <w:r w:rsidR="00481303">
        <w:rPr>
          <w:rFonts w:ascii="Times New Roman" w:eastAsia="Times New Roman" w:hAnsi="Times New Roman" w:cs="Times New Roman"/>
          <w:sz w:val="24"/>
          <w:szCs w:val="24"/>
        </w:rPr>
        <w:fldChar w:fldCharType="separate"/>
      </w:r>
      <w:r w:rsidR="00481303" w:rsidRPr="00481303">
        <w:rPr>
          <w:rFonts w:ascii="Times New Roman" w:hAnsi="Times New Roman" w:cs="Times New Roman"/>
          <w:sz w:val="24"/>
        </w:rPr>
        <w:t>[11]</w:t>
      </w:r>
      <w:r w:rsidR="00481303">
        <w:rPr>
          <w:rFonts w:ascii="Times New Roman" w:eastAsia="Times New Roman" w:hAnsi="Times New Roman" w:cs="Times New Roman"/>
          <w:sz w:val="24"/>
          <w:szCs w:val="24"/>
        </w:rPr>
        <w:fldChar w:fldCharType="end"/>
      </w:r>
      <w:r w:rsidRPr="00D91F09">
        <w:rPr>
          <w:rFonts w:ascii="Times New Roman" w:eastAsia="Times New Roman" w:hAnsi="Times New Roman" w:cs="Times New Roman"/>
          <w:sz w:val="24"/>
          <w:szCs w:val="24"/>
        </w:rPr>
        <w:t xml:space="preserve">. The reaction mixture consisted of 30 </w:t>
      </w:r>
      <w:r w:rsidRPr="00D91F09">
        <w:rPr>
          <w:rFonts w:ascii="Times New Roman" w:eastAsia="Times New Roman" w:hAnsi="Times New Roman" w:cs="Times New Roman"/>
          <w:sz w:val="24"/>
          <w:szCs w:val="24"/>
        </w:rPr>
        <w:sym w:font="Symbol" w:char="F06D"/>
      </w:r>
      <w:r w:rsidRPr="00D91F09">
        <w:rPr>
          <w:rFonts w:ascii="Times New Roman" w:eastAsia="Times New Roman" w:hAnsi="Times New Roman" w:cs="Times New Roman"/>
          <w:sz w:val="24"/>
          <w:szCs w:val="24"/>
        </w:rPr>
        <w:t xml:space="preserve">l GSH (0.1 M), 150 </w:t>
      </w:r>
      <w:r w:rsidRPr="00D91F09">
        <w:rPr>
          <w:rFonts w:ascii="Times New Roman" w:eastAsia="Times New Roman" w:hAnsi="Times New Roman" w:cs="Times New Roman"/>
          <w:sz w:val="24"/>
          <w:szCs w:val="24"/>
        </w:rPr>
        <w:sym w:font="Symbol" w:char="F06D"/>
      </w:r>
      <w:r w:rsidRPr="00D91F09">
        <w:rPr>
          <w:rFonts w:ascii="Times New Roman" w:eastAsia="Times New Roman" w:hAnsi="Times New Roman" w:cs="Times New Roman"/>
          <w:sz w:val="24"/>
          <w:szCs w:val="24"/>
        </w:rPr>
        <w:t xml:space="preserve">l </w:t>
      </w:r>
      <w:r w:rsidRPr="00D91F09">
        <w:rPr>
          <w:rFonts w:ascii="Times New Roman" w:hAnsi="Times New Roman" w:cs="Times New Roman"/>
          <w:sz w:val="24"/>
          <w:szCs w:val="24"/>
          <w:shd w:val="clear" w:color="auto" w:fill="FFFFFF"/>
        </w:rPr>
        <w:t>1-chloro-2,4-dinitro-benzene </w:t>
      </w:r>
      <w:r w:rsidRPr="00D91F09">
        <w:rPr>
          <w:rFonts w:ascii="Times New Roman" w:eastAsia="Times New Roman" w:hAnsi="Times New Roman" w:cs="Times New Roman"/>
          <w:sz w:val="24"/>
          <w:szCs w:val="24"/>
        </w:rPr>
        <w:t xml:space="preserve"> (CDNB, 20 mM), 2.79 ml phosphate buffer (0.1 M, pH 6.5) and 30 </w:t>
      </w:r>
      <w:r w:rsidRPr="00D91F09">
        <w:rPr>
          <w:rFonts w:ascii="Times New Roman" w:eastAsia="Times New Roman" w:hAnsi="Times New Roman" w:cs="Times New Roman"/>
          <w:sz w:val="24"/>
          <w:szCs w:val="24"/>
        </w:rPr>
        <w:sym w:font="Symbol" w:char="F06D"/>
      </w:r>
      <w:r w:rsidRPr="00D91F09">
        <w:rPr>
          <w:rFonts w:ascii="Times New Roman" w:eastAsia="Times New Roman" w:hAnsi="Times New Roman" w:cs="Times New Roman"/>
          <w:sz w:val="24"/>
          <w:szCs w:val="24"/>
        </w:rPr>
        <w:t xml:space="preserve">l supernatant of the tissue homogenate in a cuvette inside the spectrophotometer. The reaction was allowed to run for 3 minutes and the absorbance </w:t>
      </w:r>
      <w:r w:rsidR="00AB048A">
        <w:rPr>
          <w:rFonts w:ascii="Times New Roman" w:eastAsia="Times New Roman" w:hAnsi="Times New Roman" w:cs="Times New Roman"/>
          <w:sz w:val="24"/>
          <w:szCs w:val="24"/>
        </w:rPr>
        <w:t xml:space="preserve">was </w:t>
      </w:r>
      <w:r w:rsidRPr="00D91F09">
        <w:rPr>
          <w:rFonts w:ascii="Times New Roman" w:eastAsia="Times New Roman" w:hAnsi="Times New Roman" w:cs="Times New Roman"/>
          <w:sz w:val="24"/>
          <w:szCs w:val="24"/>
        </w:rPr>
        <w:t xml:space="preserve">taken every 60 seconds each time against the blank at 340 nm. GST activity was calculated and expressed as </w:t>
      </w:r>
      <w:r w:rsidRPr="00D91F09">
        <w:rPr>
          <w:rFonts w:ascii="Times New Roman" w:eastAsia="Calibri" w:hAnsi="Times New Roman" w:cs="Times New Roman"/>
          <w:sz w:val="24"/>
          <w:szCs w:val="24"/>
        </w:rPr>
        <w:sym w:font="Symbol" w:char="F06D"/>
      </w:r>
      <w:r w:rsidRPr="00D91F09">
        <w:rPr>
          <w:rFonts w:ascii="Times New Roman" w:eastAsia="Calibri" w:hAnsi="Times New Roman" w:cs="Times New Roman"/>
          <w:sz w:val="24"/>
          <w:szCs w:val="24"/>
          <w:lang w:val="de-DE"/>
        </w:rPr>
        <w:t>mole/min/mg protein</w:t>
      </w:r>
      <w:r w:rsidRPr="00D91F09">
        <w:rPr>
          <w:rFonts w:ascii="Times New Roman" w:eastAsia="Calibri" w:hAnsi="Times New Roman" w:cs="Times New Roman"/>
          <w:sz w:val="24"/>
          <w:szCs w:val="24"/>
        </w:rPr>
        <w:t>.</w:t>
      </w:r>
    </w:p>
    <w:p w14:paraId="681E387E" w14:textId="0AB2F52E" w:rsidR="00D91F09" w:rsidRPr="007A4CF1" w:rsidRDefault="00D91F09" w:rsidP="00D91F09">
      <w:pPr>
        <w:autoSpaceDE w:val="0"/>
        <w:autoSpaceDN w:val="0"/>
        <w:adjustRightInd w:val="0"/>
        <w:spacing w:line="480" w:lineRule="auto"/>
        <w:jc w:val="both"/>
        <w:rPr>
          <w:rFonts w:ascii="Times New Roman" w:eastAsia="Times New Roman" w:hAnsi="Times New Roman" w:cs="Times New Roman"/>
          <w:b/>
          <w:i/>
          <w:sz w:val="24"/>
          <w:szCs w:val="24"/>
        </w:rPr>
      </w:pPr>
      <w:r w:rsidRPr="007A4CF1">
        <w:rPr>
          <w:rFonts w:ascii="Times New Roman" w:eastAsia="Times New Roman" w:hAnsi="Times New Roman" w:cs="Times New Roman"/>
          <w:b/>
          <w:i/>
          <w:sz w:val="24"/>
          <w:szCs w:val="24"/>
        </w:rPr>
        <w:t>Determination</w:t>
      </w:r>
      <w:r w:rsidRPr="007A4CF1">
        <w:rPr>
          <w:rFonts w:ascii="Times New Roman" w:eastAsia="Times New Roman" w:hAnsi="Times New Roman" w:cs="Times New Roman"/>
          <w:b/>
          <w:i/>
          <w:sz w:val="24"/>
          <w:szCs w:val="24"/>
          <w:lang w:eastAsia="en-GB"/>
        </w:rPr>
        <w:t xml:space="preserve"> of </w:t>
      </w:r>
      <w:r w:rsidR="00453D98" w:rsidRPr="007A4CF1">
        <w:rPr>
          <w:rFonts w:ascii="Times New Roman" w:eastAsia="Times New Roman" w:hAnsi="Times New Roman" w:cs="Times New Roman"/>
          <w:b/>
          <w:i/>
          <w:sz w:val="24"/>
          <w:szCs w:val="24"/>
          <w:lang w:eastAsia="en-GB"/>
        </w:rPr>
        <w:t>Superoxide Dismutase Activity</w:t>
      </w:r>
    </w:p>
    <w:p w14:paraId="6A6A2A63" w14:textId="39300F4F" w:rsidR="00D91F09" w:rsidRPr="00D91F09" w:rsidRDefault="00D91F09" w:rsidP="00D91F09">
      <w:pPr>
        <w:spacing w:line="480" w:lineRule="auto"/>
        <w:jc w:val="both"/>
        <w:rPr>
          <w:rFonts w:ascii="Times New Roman" w:eastAsiaTheme="minorEastAsia" w:hAnsi="Times New Roman" w:cs="Times New Roman"/>
          <w:b/>
          <w:sz w:val="24"/>
          <w:szCs w:val="24"/>
        </w:rPr>
      </w:pPr>
      <w:r w:rsidRPr="00D91F09">
        <w:rPr>
          <w:rFonts w:ascii="Times New Roman" w:hAnsi="Times New Roman" w:cs="Times New Roman"/>
          <w:sz w:val="24"/>
          <w:szCs w:val="24"/>
        </w:rPr>
        <w:t xml:space="preserve">The activity of superoxide dismutase (SOD) in the liver and kidney of diabetic rats was determined by the method of Kakkar </w:t>
      </w:r>
      <w:r w:rsidRPr="00D91F09">
        <w:rPr>
          <w:rFonts w:ascii="Times New Roman" w:hAnsi="Times New Roman" w:cs="Times New Roman"/>
          <w:iCs/>
          <w:sz w:val="24"/>
          <w:szCs w:val="24"/>
        </w:rPr>
        <w:t>et al</w:t>
      </w:r>
      <w:r w:rsidRPr="00D91F09">
        <w:rPr>
          <w:rFonts w:ascii="Times New Roman" w:hAnsi="Times New Roman" w:cs="Times New Roman"/>
          <w:i/>
          <w:iCs/>
          <w:sz w:val="24"/>
          <w:szCs w:val="24"/>
        </w:rPr>
        <w:t>.</w:t>
      </w:r>
      <w:r w:rsidRPr="00D91F09">
        <w:rPr>
          <w:rFonts w:ascii="Times New Roman" w:hAnsi="Times New Roman" w:cs="Times New Roman"/>
          <w:sz w:val="24"/>
          <w:szCs w:val="24"/>
        </w:rPr>
        <w:t xml:space="preserve">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{"citationID":"zp6DjUJ0","properties":{"formattedCitation":"[12]","plainCitation":"[12]","noteIndex":0},"citationItems":[{"id":284,"uris":["http://zotero.org/users/5341874/items/UFALBKYD"],"itemData":{"id":284,"type":"article-journal","abstract":"A simple and rapid method for the assay of superoxide dismutase in biological samples is described. Present method takes advantage of the inhibition of NADH-dependent-nitroblue tetrazolium reduction by the dismutase. Inhibition of the chromogen formation by superoxide dismutase was linear with increase in enzyme concentrations. The chromogen extract in butanol was stable even up to 48 hr. Superoxide dismutase activity, as assayed by the modified method, was in good agreement with that obtained using other methods.","container-title":"Indian Journal of Biochemistry &amp; Biophysics","ISSN":"0975-0959 (Online); 0301-1208 (Print)","issue":"2","journalAbbreviation":"IJBB","language":"en_US","license":"\\textlessimg src='http://nopr.niscair.res.in/image/cc-license-sml.png'\\textgreater \\textlessa href='http://creativecommons.org/licenses/by-nc-nd/2.5/in' target='_blank'\\textgreaterCC Attribution-Noncommercial-No Derivative Works 2.5 India\\textless/a\\textgreater","page":"130-132","source":"nopr.niscair.res.in","title":"A Modified Spectrophotometric Assay of Superoxide Dismutase","volume":"21","author":[{"family":"Kakkar","given":"Poonam"},{"family":"Das","given":"Ballabh"},{"family":"Viswanathan","given":"P. N."}],"issued":{"date-parts":[["1984",4]]}}}],"schema":"https://github.com/citation-style-language/schema/raw/master/csl-citation.json"}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[12]</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xml:space="preserve">. The homogenate (1 ml) was diluted in 9 ml of distilled water. An aliquot of the diluted sample (0.2 ml) was added to 2.5 ml of 0.05 M carbonate buffer (pH 10.2) to equilibrate in the spectrophotometer and the reaction was initiated by the addition of 0.3 ml of freshly prepared 0.3 mM adrenaline and was quickly mixed by inversion. The reference cuvette contained 2.5 ml of buffer, 0.3 ml of </w:t>
      </w:r>
      <w:r w:rsidR="00AB048A">
        <w:rPr>
          <w:rFonts w:ascii="Times New Roman" w:hAnsi="Times New Roman" w:cs="Times New Roman"/>
          <w:sz w:val="24"/>
          <w:szCs w:val="24"/>
        </w:rPr>
        <w:t xml:space="preserve">the </w:t>
      </w:r>
      <w:r w:rsidRPr="00D91F09">
        <w:rPr>
          <w:rFonts w:ascii="Times New Roman" w:hAnsi="Times New Roman" w:cs="Times New Roman"/>
          <w:sz w:val="24"/>
          <w:szCs w:val="24"/>
        </w:rPr>
        <w:t xml:space="preserve">substrate (adrenaline) and 0.2 ml of water </w:t>
      </w:r>
      <w:r w:rsidR="00AB048A">
        <w:rPr>
          <w:rFonts w:ascii="Times New Roman" w:hAnsi="Times New Roman" w:cs="Times New Roman"/>
          <w:sz w:val="24"/>
          <w:szCs w:val="24"/>
        </w:rPr>
        <w:t xml:space="preserve">and </w:t>
      </w:r>
      <w:r w:rsidRPr="00D91F09">
        <w:rPr>
          <w:rFonts w:ascii="Times New Roman" w:hAnsi="Times New Roman" w:cs="Times New Roman"/>
          <w:sz w:val="24"/>
          <w:szCs w:val="24"/>
        </w:rPr>
        <w:t xml:space="preserve">was used as </w:t>
      </w:r>
      <w:r w:rsidR="00AB048A">
        <w:rPr>
          <w:rFonts w:ascii="Times New Roman" w:hAnsi="Times New Roman" w:cs="Times New Roman"/>
          <w:sz w:val="24"/>
          <w:szCs w:val="24"/>
        </w:rPr>
        <w:t xml:space="preserve">a </w:t>
      </w:r>
      <w:r w:rsidRPr="00D91F09">
        <w:rPr>
          <w:rFonts w:ascii="Times New Roman" w:hAnsi="Times New Roman" w:cs="Times New Roman"/>
          <w:sz w:val="24"/>
          <w:szCs w:val="24"/>
        </w:rPr>
        <w:t xml:space="preserve">sample </w:t>
      </w:r>
      <w:r w:rsidRPr="00D91F09">
        <w:rPr>
          <w:rFonts w:ascii="Times New Roman" w:hAnsi="Times New Roman" w:cs="Times New Roman"/>
          <w:sz w:val="24"/>
          <w:szCs w:val="24"/>
        </w:rPr>
        <w:lastRenderedPageBreak/>
        <w:t xml:space="preserve">blank. The increase in absorbance at 480 nm was monitored every 30 s for 150 s, and the enzyme activity expressed as </w:t>
      </w:r>
      <w:r w:rsidRPr="00D91F09">
        <w:rPr>
          <w:rFonts w:ascii="Times New Roman" w:eastAsia="Calibri" w:hAnsi="Times New Roman" w:cs="Times New Roman"/>
          <w:sz w:val="24"/>
          <w:szCs w:val="24"/>
        </w:rPr>
        <w:t>nM</w:t>
      </w:r>
      <w:r w:rsidRPr="00D91F09">
        <w:rPr>
          <w:rFonts w:ascii="Times New Roman" w:eastAsia="Calibri" w:hAnsi="Times New Roman" w:cs="Times New Roman"/>
          <w:sz w:val="24"/>
          <w:szCs w:val="24"/>
          <w:lang w:val="de-DE"/>
        </w:rPr>
        <w:t>/min/mg protein</w:t>
      </w:r>
    </w:p>
    <w:p w14:paraId="05E91865" w14:textId="7841AABE" w:rsidR="00D91F09" w:rsidRPr="007A4CF1" w:rsidRDefault="00D91F09" w:rsidP="00D91F09">
      <w:pPr>
        <w:pStyle w:val="Timesnewroman"/>
        <w:spacing w:line="480" w:lineRule="auto"/>
        <w:jc w:val="both"/>
        <w:rPr>
          <w:b/>
          <w:i/>
        </w:rPr>
      </w:pPr>
      <w:r w:rsidRPr="007A4CF1">
        <w:rPr>
          <w:b/>
          <w:i/>
        </w:rPr>
        <w:t xml:space="preserve">Determination of </w:t>
      </w:r>
      <w:r w:rsidR="00453D98" w:rsidRPr="007A4CF1">
        <w:rPr>
          <w:b/>
          <w:i/>
        </w:rPr>
        <w:t>Catalase Activity</w:t>
      </w:r>
    </w:p>
    <w:p w14:paraId="3A98834F" w14:textId="03351ED9" w:rsidR="00D91F09" w:rsidRPr="00D91F09" w:rsidRDefault="00D91F09" w:rsidP="0087139D">
      <w:pPr>
        <w:pStyle w:val="Timesnewroman"/>
        <w:spacing w:line="480" w:lineRule="auto"/>
        <w:jc w:val="both"/>
      </w:pPr>
      <w:r w:rsidRPr="00D91F09">
        <w:t xml:space="preserve">Catalase activity in the liver and kidney of diabetic rats was determined according to the method of Clairborne </w:t>
      </w:r>
      <w:r w:rsidR="00481303">
        <w:fldChar w:fldCharType="begin"/>
      </w:r>
      <w:r w:rsidR="00481303">
        <w:instrText xml:space="preserve"> ADDIN ZOTERO_ITEM CSL_CITATION {"citationID":"I5Lf2tSA","properties":{"formattedCitation":"[13]","plainCitation":"[13]","noteIndex":0},"citationItems":[{"id":538,"uris":["http://zotero.org/users/5341874/items/LI8DQT2R"],"itemData":{"id":538,"type":"chapter","container-title":"CRC Handbook of Methods for Oxygen Radical Research","edition":"1","ISBN":"978-0-8493-2936-4","language":"en","note":"Google-Books-ID: 8PNqAAAAMAAJ","page":"283-284","publisher":"CRC Press, Boca Raton, Florida, USA","source":"Google Books","title":"Catalase Activity","author":[{"family":"Clairborne","given":"A."}],"editor":[{"family":"Greenwald","given":"Robert A."}],"issued":{"date-parts":[["1985"]]}}}],"schema":"https://github.com/citation-style-language/schema/raw/master/csl-citation.json"} </w:instrText>
      </w:r>
      <w:r w:rsidR="00481303">
        <w:fldChar w:fldCharType="separate"/>
      </w:r>
      <w:r w:rsidR="00481303" w:rsidRPr="00481303">
        <w:t>[13]</w:t>
      </w:r>
      <w:r w:rsidR="00481303">
        <w:fldChar w:fldCharType="end"/>
      </w:r>
      <w:r w:rsidRPr="00D91F09">
        <w:t>. The assay mixture contained 100 µl liver and kidney homogenates, 400 µl H</w:t>
      </w:r>
      <w:r w:rsidRPr="00D91F09">
        <w:rPr>
          <w:vertAlign w:val="subscript"/>
        </w:rPr>
        <w:t>2</w:t>
      </w:r>
      <w:r w:rsidRPr="00D91F09">
        <w:t>O</w:t>
      </w:r>
      <w:r w:rsidRPr="00D91F09">
        <w:rPr>
          <w:vertAlign w:val="subscript"/>
        </w:rPr>
        <w:t>2</w:t>
      </w:r>
      <w:r w:rsidRPr="00D91F09">
        <w:t xml:space="preserve"> (800 µM) and 1000 µl of phosphate buffer (pH 7.4) pre-incubated at room temperature and 1000 µl dichromate/acetic acid (1:3, w/v) equilibrated at room temperature. Afterwards, 1 ml of the reaction mixture was added to 2 ml dichromate/acetic acid (1:3, w/v) at 60 s intervals for 3 min, and subsequent</w:t>
      </w:r>
      <w:r w:rsidR="00AB048A">
        <w:t>ly</w:t>
      </w:r>
      <w:r w:rsidRPr="00D91F09">
        <w:t xml:space="preserve"> incubated in boiling water for 10 min to form </w:t>
      </w:r>
      <w:r w:rsidR="00AB048A">
        <w:t xml:space="preserve">a </w:t>
      </w:r>
      <w:r w:rsidRPr="00D91F09">
        <w:t>stable green</w:t>
      </w:r>
      <w:r w:rsidR="00AB048A">
        <w:t>-</w:t>
      </w:r>
      <w:r w:rsidRPr="00D91F09">
        <w:t>coloured solution. The solution was then cooled at room temperature, and the absorbance was read at 570 nm. The catalase activity was calculated and expressed as mM H</w:t>
      </w:r>
      <w:r w:rsidRPr="00D91F09">
        <w:rPr>
          <w:vertAlign w:val="subscript"/>
        </w:rPr>
        <w:t>2</w:t>
      </w:r>
      <w:r w:rsidRPr="00D91F09">
        <w:t>O</w:t>
      </w:r>
      <w:r w:rsidRPr="00D91F09">
        <w:rPr>
          <w:vertAlign w:val="subscript"/>
        </w:rPr>
        <w:t xml:space="preserve">2 </w:t>
      </w:r>
      <w:r w:rsidRPr="00D91F09">
        <w:t>consumed/min/mg protein.</w:t>
      </w:r>
    </w:p>
    <w:p w14:paraId="07F23D0D" w14:textId="4177C913" w:rsidR="00D91F09" w:rsidRPr="007A4CF1" w:rsidRDefault="00D91F09" w:rsidP="00D91F09">
      <w:pPr>
        <w:tabs>
          <w:tab w:val="left" w:pos="1276"/>
        </w:tabs>
        <w:autoSpaceDE w:val="0"/>
        <w:autoSpaceDN w:val="0"/>
        <w:adjustRightInd w:val="0"/>
        <w:spacing w:after="0" w:line="480" w:lineRule="auto"/>
        <w:contextualSpacing/>
        <w:rPr>
          <w:rFonts w:ascii="Times New Roman" w:eastAsia="Times New Roman" w:hAnsi="Times New Roman" w:cs="Times New Roman"/>
          <w:b/>
          <w:i/>
          <w:sz w:val="24"/>
          <w:szCs w:val="24"/>
          <w:lang w:eastAsia="en-GB"/>
        </w:rPr>
      </w:pPr>
      <w:r w:rsidRPr="007A4CF1">
        <w:rPr>
          <w:rFonts w:ascii="Times New Roman" w:eastAsia="Times New Roman" w:hAnsi="Times New Roman" w:cs="Times New Roman"/>
          <w:b/>
          <w:i/>
          <w:sz w:val="24"/>
          <w:szCs w:val="24"/>
          <w:lang w:eastAsia="en-GB"/>
        </w:rPr>
        <w:t xml:space="preserve">Evaluation of </w:t>
      </w:r>
      <w:r w:rsidR="00453D98" w:rsidRPr="007A4CF1">
        <w:rPr>
          <w:rFonts w:ascii="Times New Roman" w:eastAsia="Times New Roman" w:hAnsi="Times New Roman" w:cs="Times New Roman"/>
          <w:b/>
          <w:i/>
          <w:sz w:val="24"/>
          <w:szCs w:val="24"/>
          <w:lang w:eastAsia="en-GB"/>
        </w:rPr>
        <w:t>Lipid Peroxidation</w:t>
      </w:r>
    </w:p>
    <w:p w14:paraId="5877CC66" w14:textId="7B18712D" w:rsidR="007C025A" w:rsidRPr="0087139D" w:rsidRDefault="00AB048A" w:rsidP="0087139D">
      <w:pPr>
        <w:spacing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The e</w:t>
      </w:r>
      <w:r w:rsidR="00D91F09" w:rsidRPr="00D91F09">
        <w:rPr>
          <w:rFonts w:ascii="Times New Roman" w:hAnsi="Times New Roman" w:cs="Times New Roman"/>
          <w:sz w:val="24"/>
          <w:szCs w:val="24"/>
        </w:rPr>
        <w:t xml:space="preserve">xtent of lipid peroxidation in the liver and kidney of diabetic rats was evaluated by measuring the formation of thiobarbituric acid reactive substances (TBARS) according to the method of Varshney and Kale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{"citationID":"ZvV4SSao","properties":{"formattedCitation":"[14]","plainCitation":"[14]","noteIndex":0},"citationItems":[{"id":271,"uris":["http://zotero.org/users/5341874/items/RHAGPIST"],"itemData":{"id":271,"type":"article-journal","abstract":"Rat liver microsomes were irradiated with γ-rays at a dose rate of 1·31 Gy s−1. The extent of lipid peroxidation, measured in terms of malondialdehyde (MDA) formed, increased with radiation dose. The presence of calmodulin antagonists during irradiation decreased lipid peroxidation. The order of their protective efficiency was: chlorpromazine (CPZ) &gt; promethazine (PMZ) &gt; trimeprazine (TMZ). Their protective effect was diminished in the presence of ferrous (Fe2+) ions and was restored on addition of EDTA. However, calmodulin antagonists considerably inhibited radiation-induced lipid peroxidation in the presence of ferric (Fe3+) ions. Calmodulin antagonists also decreased the cytochrome P-450 content of microsomes. These results are discussed with respect to their applicability to radiotherapy. A possible mechanism for the inhibition of radiation-induced lipid peroxidation is suggested.","container-title":"International Journal of Radiation Biology","DOI":"10.1080/09553009014552121","ISSN":"0955-3002","issue":"5","page":"733-743","source":"Taylor and Francis+NEJM","title":"Effects of Calmodulin Antagonists on Radiation-induced Lipid Peroxidation in Microsomes","volume":"58","author":[{"family":"Varshney","given":"R."},{"family":"Kale","given":"R. K."}],"issued":{"date-parts":[["1990",1,1]]}}}],"schema":"https://github.com/citation-style-language/schema/raw/master/csl-citation.json"}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[14]</w:t>
      </w:r>
      <w:r w:rsidR="00481303">
        <w:rPr>
          <w:rFonts w:ascii="Times New Roman" w:hAnsi="Times New Roman" w:cs="Times New Roman"/>
          <w:sz w:val="24"/>
          <w:szCs w:val="24"/>
        </w:rPr>
        <w:fldChar w:fldCharType="end"/>
      </w:r>
      <w:r w:rsidR="00D91F09" w:rsidRPr="00D91F09">
        <w:rPr>
          <w:rFonts w:ascii="Times New Roman" w:hAnsi="Times New Roman" w:cs="Times New Roman"/>
          <w:sz w:val="24"/>
          <w:szCs w:val="24"/>
        </w:rPr>
        <w:t xml:space="preserve">. Tissue homogenate (0.4 ml) was mixed with 1.6 ml of Tris-KCl buffer to which 0.5 ml of 30% TCA was added. Then 0.5 ml of </w:t>
      </w:r>
      <w:r w:rsidR="00D91F09" w:rsidRPr="00D91F09">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t</w:t>
      </w:r>
      <w:r w:rsidR="00D91F09" w:rsidRPr="00D91F09">
        <w:rPr>
          <w:rFonts w:ascii="Times New Roman" w:hAnsi="Times New Roman" w:cs="Times New Roman"/>
          <w:sz w:val="24"/>
          <w:szCs w:val="24"/>
          <w:shd w:val="clear" w:color="auto" w:fill="FFFFFF"/>
        </w:rPr>
        <w:t>hiobarbituric acid</w:t>
      </w:r>
      <w:r w:rsidR="00D91F09" w:rsidRPr="00D91F09">
        <w:rPr>
          <w:rFonts w:ascii="Times New Roman" w:hAnsi="Times New Roman" w:cs="Times New Roman"/>
          <w:sz w:val="24"/>
          <w:szCs w:val="24"/>
        </w:rPr>
        <w:t xml:space="preserve"> (0.75%, w/v) was added and placed in a water bath for 45 min at 80 </w:t>
      </w:r>
      <w:r w:rsidR="00D91F09" w:rsidRPr="00D91F09">
        <w:rPr>
          <w:rFonts w:ascii="Times New Roman" w:hAnsi="Times New Roman" w:cs="Times New Roman"/>
          <w:sz w:val="24"/>
          <w:szCs w:val="24"/>
          <w:vertAlign w:val="superscript"/>
        </w:rPr>
        <w:t>o</w:t>
      </w:r>
      <w:r w:rsidR="00D91F09" w:rsidRPr="00D91F09">
        <w:rPr>
          <w:rFonts w:ascii="Times New Roman" w:hAnsi="Times New Roman" w:cs="Times New Roman"/>
          <w:sz w:val="24"/>
          <w:szCs w:val="24"/>
        </w:rPr>
        <w:t xml:space="preserve">C. After incubation, the solution was cooled on ice and centrifuged at 3000 × </w:t>
      </w:r>
      <w:r w:rsidR="00D91F09" w:rsidRPr="00D91F09">
        <w:rPr>
          <w:rFonts w:ascii="Times New Roman" w:hAnsi="Times New Roman" w:cs="Times New Roman"/>
          <w:i/>
          <w:sz w:val="24"/>
          <w:szCs w:val="24"/>
        </w:rPr>
        <w:t xml:space="preserve">g. </w:t>
      </w:r>
      <w:r w:rsidR="00D91F09" w:rsidRPr="00D91F09">
        <w:rPr>
          <w:rFonts w:ascii="Times New Roman" w:hAnsi="Times New Roman" w:cs="Times New Roman"/>
          <w:sz w:val="24"/>
          <w:szCs w:val="24"/>
        </w:rPr>
        <w:t xml:space="preserve">The clear supernatant was collected and absorbance </w:t>
      </w:r>
      <w:r>
        <w:rPr>
          <w:rFonts w:ascii="Times New Roman" w:hAnsi="Times New Roman" w:cs="Times New Roman"/>
          <w:sz w:val="24"/>
          <w:szCs w:val="24"/>
        </w:rPr>
        <w:t xml:space="preserve">was </w:t>
      </w:r>
      <w:r w:rsidR="00D91F09" w:rsidRPr="00D91F09">
        <w:rPr>
          <w:rFonts w:ascii="Times New Roman" w:hAnsi="Times New Roman" w:cs="Times New Roman"/>
          <w:sz w:val="24"/>
          <w:szCs w:val="24"/>
        </w:rPr>
        <w:t>measured against a reference blank of distilled water at 532 nm. The extent of lipid peroxidation was calculated and expressed as µM malondialdehyde/mg protein.</w:t>
      </w:r>
    </w:p>
    <w:p w14:paraId="3553B189" w14:textId="7F435E40" w:rsidR="00D91F09" w:rsidRPr="007A4CF1" w:rsidRDefault="00D91F09" w:rsidP="00D91F09">
      <w:pPr>
        <w:spacing w:after="0" w:line="480" w:lineRule="auto"/>
        <w:jc w:val="both"/>
        <w:rPr>
          <w:rFonts w:ascii="Times New Roman" w:hAnsi="Times New Roman" w:cs="Times New Roman"/>
          <w:b/>
          <w:i/>
          <w:sz w:val="24"/>
          <w:szCs w:val="24"/>
        </w:rPr>
      </w:pPr>
      <w:r w:rsidRPr="007A4CF1">
        <w:rPr>
          <w:rFonts w:ascii="Times New Roman" w:hAnsi="Times New Roman" w:cs="Times New Roman"/>
          <w:b/>
          <w:i/>
          <w:sz w:val="24"/>
          <w:szCs w:val="24"/>
        </w:rPr>
        <w:t xml:space="preserve">Determination of </w:t>
      </w:r>
      <w:r w:rsidR="00453D98" w:rsidRPr="007A4CF1">
        <w:rPr>
          <w:rFonts w:ascii="Times New Roman" w:hAnsi="Times New Roman" w:cs="Times New Roman"/>
          <w:b/>
          <w:i/>
          <w:sz w:val="24"/>
          <w:szCs w:val="24"/>
        </w:rPr>
        <w:t>Total Protein Concentration</w:t>
      </w:r>
    </w:p>
    <w:p w14:paraId="66CE94FB" w14:textId="7F3BB0AC" w:rsidR="00D91F09" w:rsidRPr="00D91F09" w:rsidRDefault="00D91F09" w:rsidP="00D91F09">
      <w:pPr>
        <w:spacing w:line="480" w:lineRule="auto"/>
        <w:jc w:val="both"/>
        <w:rPr>
          <w:rFonts w:ascii="Times New Roman" w:eastAsia="Calibri" w:hAnsi="Times New Roman" w:cs="Times New Roman"/>
          <w:sz w:val="24"/>
          <w:szCs w:val="24"/>
        </w:rPr>
      </w:pPr>
      <w:r w:rsidRPr="00D91F09">
        <w:rPr>
          <w:rFonts w:ascii="Times New Roman" w:eastAsia="Calibri" w:hAnsi="Times New Roman" w:cs="Times New Roman"/>
          <w:sz w:val="24"/>
          <w:szCs w:val="24"/>
        </w:rPr>
        <w:t xml:space="preserve">Determination of total protein concentration was determined in the plasma, </w:t>
      </w:r>
      <w:r w:rsidRPr="00D91F09">
        <w:rPr>
          <w:rFonts w:ascii="Times New Roman" w:hAnsi="Times New Roman" w:cs="Times New Roman"/>
          <w:sz w:val="24"/>
          <w:szCs w:val="24"/>
        </w:rPr>
        <w:t xml:space="preserve">pancreas, intestine, liver, and kidney </w:t>
      </w:r>
      <w:r w:rsidRPr="00D91F09">
        <w:rPr>
          <w:rFonts w:ascii="Times New Roman" w:eastAsia="Calibri" w:hAnsi="Times New Roman" w:cs="Times New Roman"/>
          <w:sz w:val="24"/>
          <w:szCs w:val="24"/>
        </w:rPr>
        <w:t>using Randox assay kits (Randox Laboratories Ltd., UK) following t</w:t>
      </w:r>
      <w:r w:rsidR="007A4CF1">
        <w:rPr>
          <w:rFonts w:ascii="Times New Roman" w:eastAsia="Calibri" w:hAnsi="Times New Roman" w:cs="Times New Roman"/>
          <w:sz w:val="24"/>
          <w:szCs w:val="24"/>
        </w:rPr>
        <w:t>he manufacturer’s instructions.</w:t>
      </w:r>
    </w:p>
    <w:p w14:paraId="1E365493" w14:textId="7EF94F25" w:rsidR="00D91F09" w:rsidRPr="007A4CF1" w:rsidRDefault="00D91F09" w:rsidP="00D91F09">
      <w:pPr>
        <w:spacing w:after="0" w:line="480" w:lineRule="auto"/>
        <w:jc w:val="both"/>
        <w:rPr>
          <w:rFonts w:ascii="Times New Roman" w:hAnsi="Times New Roman" w:cs="Times New Roman"/>
          <w:b/>
          <w:sz w:val="24"/>
          <w:szCs w:val="24"/>
        </w:rPr>
      </w:pPr>
      <w:r w:rsidRPr="007A4CF1">
        <w:rPr>
          <w:rFonts w:ascii="Times New Roman" w:hAnsi="Times New Roman" w:cs="Times New Roman"/>
          <w:b/>
          <w:sz w:val="24"/>
          <w:szCs w:val="24"/>
        </w:rPr>
        <w:lastRenderedPageBreak/>
        <w:t>Histopathological Evaluation</w:t>
      </w:r>
    </w:p>
    <w:p w14:paraId="23415F4E" w14:textId="10586900" w:rsidR="00D91F09" w:rsidRDefault="00D91F09" w:rsidP="007A4CF1">
      <w:pPr>
        <w:spacing w:after="0" w:line="480" w:lineRule="auto"/>
        <w:jc w:val="both"/>
        <w:rPr>
          <w:rFonts w:ascii="Times New Roman" w:hAnsi="Times New Roman" w:cs="Times New Roman"/>
          <w:b/>
          <w:sz w:val="24"/>
          <w:szCs w:val="24"/>
        </w:rPr>
      </w:pPr>
      <w:r w:rsidRPr="00D91F09">
        <w:rPr>
          <w:rFonts w:ascii="Times New Roman" w:hAnsi="Times New Roman" w:cs="Times New Roman"/>
          <w:sz w:val="24"/>
          <w:szCs w:val="24"/>
        </w:rPr>
        <w:t xml:space="preserve">Histopathological assessment was carried out according to </w:t>
      </w:r>
      <w:r w:rsidR="00AB048A">
        <w:rPr>
          <w:rFonts w:ascii="Times New Roman" w:hAnsi="Times New Roman" w:cs="Times New Roman"/>
          <w:sz w:val="24"/>
          <w:szCs w:val="24"/>
        </w:rPr>
        <w:t xml:space="preserve">the </w:t>
      </w:r>
      <w:r w:rsidRPr="00D91F09">
        <w:rPr>
          <w:rFonts w:ascii="Times New Roman" w:hAnsi="Times New Roman" w:cs="Times New Roman"/>
          <w:sz w:val="24"/>
          <w:szCs w:val="24"/>
        </w:rPr>
        <w:t xml:space="preserve">method described by Frank et al. </w:t>
      </w:r>
      <w:r w:rsidR="00481303">
        <w:rPr>
          <w:rFonts w:ascii="Times New Roman" w:hAnsi="Times New Roman" w:cs="Times New Roman"/>
          <w:sz w:val="24"/>
          <w:szCs w:val="24"/>
        </w:rPr>
        <w:fldChar w:fldCharType="begin"/>
      </w:r>
      <w:r w:rsidR="00481303">
        <w:rPr>
          <w:rFonts w:ascii="Times New Roman" w:hAnsi="Times New Roman" w:cs="Times New Roman"/>
          <w:sz w:val="24"/>
          <w:szCs w:val="24"/>
        </w:rPr>
        <w:instrText xml:space="preserve"> ADDIN ZOTERO_ITEM CSL_CITATION {"citationID":"i5eNhHeZ","properties":{"formattedCitation":"[15]","plainCitation":"[15]","noteIndex":0},"citationItems":[{"id":120,"uris":["http://zotero.org/users/5341874/items/AA598QTX"],"itemData":{"id":120,"type":"article-journal","abstract":"A study of cognition emerging from a neurobiological perspective, as opposed to one emerging from a purely computational or psychological perspective, begins with observations of the human brain in normal and pathological states and is furthered by the investigation of hypotheses which are articulated using neuroanatomical nomenclature. Brainvox is an interactive three-dimensional brain imaging software package designed to permit such research through the support of the description and quantification of brain pathology in magnetic resonance images and of the experimental investigation of human cognition in lesion and functional imaging studies. Important general features of Brainvox, for these purposes, are: (1) adaptation of volume rendering for brain lesions and for corendered datasets; (2) shared memory architecture, which enables the user to identify and label anatomical structures, while inspecting the brain in multiple views simultaneously; (3) modular program design, including interlocking command-line utilities, which make Brainvox extensible and empower users without programming expertise to implement new analysis techniques through Unix shell scripting; and (4) full integration of three-dimensional tools for visualization with tools for analysis. Specific features include a new object templating technique (MAP-3) for studies of groups of brain-lesioned subjects, a complete and extensible suite of command-line processing utilities, a three-dimensional optimal graph-searching tool, and a method for planning PET slices and matching MR and PET slices (MP_FIT).","container-title":"NeuroImage","DOI":"10.1006/nimg.1996.0250","ISSN":"1053-8119","issue":"1","journalAbbreviation":"NeuroImage","page":"13-30","source":"ScienceDirect","title":"Brainvox: An Interactive, Multimodal Visualization and Analysis System for Neuroanatomical Imaging","title-short":"Brainvox","volume":"5","author":[{"family":"Frank","given":"R. J."},{"family":"Damasio","given":"H."},{"family":"Grabowski","given":"T. J."}],"issued":{"date-parts":[["1997",1,1]]}}}],"schema":"https://github.com/citation-style-language/schema/raw/master/csl-citation.json"} </w:instrText>
      </w:r>
      <w:r w:rsidR="00481303">
        <w:rPr>
          <w:rFonts w:ascii="Times New Roman" w:hAnsi="Times New Roman" w:cs="Times New Roman"/>
          <w:sz w:val="24"/>
          <w:szCs w:val="24"/>
        </w:rPr>
        <w:fldChar w:fldCharType="separate"/>
      </w:r>
      <w:r w:rsidR="00481303" w:rsidRPr="00481303">
        <w:rPr>
          <w:rFonts w:ascii="Times New Roman" w:hAnsi="Times New Roman" w:cs="Times New Roman"/>
          <w:sz w:val="24"/>
        </w:rPr>
        <w:t>[15]</w:t>
      </w:r>
      <w:r w:rsidR="00481303">
        <w:rPr>
          <w:rFonts w:ascii="Times New Roman" w:hAnsi="Times New Roman" w:cs="Times New Roman"/>
          <w:sz w:val="24"/>
          <w:szCs w:val="24"/>
        </w:rPr>
        <w:fldChar w:fldCharType="end"/>
      </w:r>
      <w:r w:rsidRPr="00D91F09">
        <w:rPr>
          <w:rFonts w:ascii="Times New Roman" w:hAnsi="Times New Roman" w:cs="Times New Roman"/>
          <w:sz w:val="24"/>
          <w:szCs w:val="24"/>
        </w:rPr>
        <w:t>. Histopathological assessment was carried out by fixing the tissues</w:t>
      </w:r>
      <w:r w:rsidRPr="00D91F09">
        <w:rPr>
          <w:rFonts w:ascii="Times New Roman" w:hAnsi="Times New Roman" w:cs="Times New Roman"/>
          <w:bCs/>
          <w:sz w:val="24"/>
          <w:szCs w:val="24"/>
        </w:rPr>
        <w:t xml:space="preserve"> in </w:t>
      </w:r>
      <w:r w:rsidRPr="00D91F09">
        <w:rPr>
          <w:rFonts w:ascii="Times New Roman" w:eastAsia="Times New Roman" w:hAnsi="Times New Roman" w:cs="Times New Roman"/>
          <w:sz w:val="24"/>
          <w:szCs w:val="24"/>
        </w:rPr>
        <w:t>formalin and embedding them in paraffin wax. The wax block was cut on a microtome to yield a thin slice of paraffin containing the tissue. The specimen slice was placed on a microscope slide, air</w:t>
      </w:r>
      <w:r w:rsidR="00AB048A">
        <w:rPr>
          <w:rFonts w:ascii="Times New Roman" w:eastAsia="Times New Roman" w:hAnsi="Times New Roman" w:cs="Times New Roman"/>
          <w:sz w:val="24"/>
          <w:szCs w:val="24"/>
        </w:rPr>
        <w:t>-</w:t>
      </w:r>
      <w:r w:rsidRPr="00D91F09">
        <w:rPr>
          <w:rFonts w:ascii="Times New Roman" w:eastAsia="Times New Roman" w:hAnsi="Times New Roman" w:cs="Times New Roman"/>
          <w:sz w:val="24"/>
          <w:szCs w:val="24"/>
        </w:rPr>
        <w:t>dried, and heated. Residual paraffin was dissolved by rinsing with an acid-alcohol followed by rinsing with water to remove the acid-alcohol. Slides were stained with hematoxylin and the excess hematoxylin (bluing solution) was removed by rinsing with water. Other cytoplasmic elements were stained with an alcoholic solution of eosin Y, a red stain, and light green or fast green. Excess stain and water were removed by a series of sequential washes in a dehydrating reagent and slides were rinsed with a chemical-clearing agent (toluene, xylene, or t-butanol) to remove residual dehydrating reagent remaining from the washing step; cover-slips mountants were applied after removing slides from the chemical-clearing agent. The clearing agent evaporate</w:t>
      </w:r>
      <w:r w:rsidR="00AB048A">
        <w:rPr>
          <w:rFonts w:ascii="Times New Roman" w:eastAsia="Times New Roman" w:hAnsi="Times New Roman" w:cs="Times New Roman"/>
          <w:sz w:val="24"/>
          <w:szCs w:val="24"/>
        </w:rPr>
        <w:t>s</w:t>
      </w:r>
      <w:r w:rsidRPr="00D91F09">
        <w:rPr>
          <w:rFonts w:ascii="Times New Roman" w:eastAsia="Times New Roman" w:hAnsi="Times New Roman" w:cs="Times New Roman"/>
          <w:sz w:val="24"/>
          <w:szCs w:val="24"/>
        </w:rPr>
        <w:t xml:space="preserve"> and the mountant hardens leaving stained and mounted slides. Histopathological assessment and photomicrography of the prepared slides were done using an Acuscope® (China) microscope with TSView® Software (China) for imaging at 100× magnification. The morphometry (in µm) was performed, using Motic 2000® (China) software</w:t>
      </w:r>
      <w:r w:rsidRPr="00D91F09">
        <w:rPr>
          <w:rFonts w:ascii="Times New Roman" w:hAnsi="Times New Roman" w:cs="Times New Roman"/>
          <w:b/>
          <w:sz w:val="24"/>
          <w:szCs w:val="24"/>
        </w:rPr>
        <w:t>.</w:t>
      </w:r>
    </w:p>
    <w:p w14:paraId="6CD3E01D" w14:textId="03712ED9" w:rsidR="007A4CF1" w:rsidRPr="00D91F09" w:rsidRDefault="007A4CF1" w:rsidP="0087139D">
      <w:pPr>
        <w:spacing w:after="0" w:line="240" w:lineRule="auto"/>
        <w:jc w:val="both"/>
        <w:rPr>
          <w:rFonts w:ascii="Times New Roman" w:hAnsi="Times New Roman" w:cs="Times New Roman"/>
          <w:b/>
          <w:sz w:val="24"/>
          <w:szCs w:val="24"/>
        </w:rPr>
      </w:pPr>
    </w:p>
    <w:p w14:paraId="1DF1E7DD" w14:textId="7250825D" w:rsidR="00D91F09" w:rsidRPr="00D91F09" w:rsidRDefault="00D91F09" w:rsidP="00D91F09">
      <w:pPr>
        <w:spacing w:after="0" w:line="480" w:lineRule="auto"/>
        <w:jc w:val="both"/>
        <w:rPr>
          <w:rFonts w:ascii="Times New Roman" w:eastAsia="Calibri" w:hAnsi="Times New Roman" w:cs="Times New Roman"/>
          <w:sz w:val="24"/>
          <w:szCs w:val="24"/>
        </w:rPr>
      </w:pPr>
      <w:r w:rsidRPr="00D91F09">
        <w:rPr>
          <w:rFonts w:ascii="Times New Roman" w:hAnsi="Times New Roman" w:cs="Times New Roman"/>
          <w:b/>
          <w:sz w:val="24"/>
          <w:szCs w:val="24"/>
        </w:rPr>
        <w:t>Statistical Analysis</w:t>
      </w:r>
    </w:p>
    <w:p w14:paraId="6458C96C" w14:textId="45D83742" w:rsidR="00D91F09" w:rsidRPr="00D91F09" w:rsidRDefault="00D91F09" w:rsidP="00646333">
      <w:pPr>
        <w:spacing w:after="0" w:line="480" w:lineRule="auto"/>
        <w:jc w:val="both"/>
        <w:rPr>
          <w:rFonts w:ascii="Times New Roman" w:hAnsi="Times New Roman" w:cs="Times New Roman"/>
          <w:sz w:val="24"/>
          <w:szCs w:val="24"/>
        </w:rPr>
      </w:pPr>
      <w:r w:rsidRPr="00D91F09">
        <w:rPr>
          <w:rFonts w:ascii="Times New Roman" w:hAnsi="Times New Roman" w:cs="Times New Roman"/>
          <w:bCs/>
          <w:sz w:val="24"/>
          <w:szCs w:val="24"/>
        </w:rPr>
        <w:t xml:space="preserve">All determined data were done in six repetitions for the </w:t>
      </w:r>
      <w:r w:rsidRPr="00D91F09">
        <w:rPr>
          <w:rFonts w:ascii="Times New Roman" w:hAnsi="Times New Roman" w:cs="Times New Roman"/>
          <w:bCs/>
          <w:i/>
          <w:iCs/>
          <w:sz w:val="24"/>
          <w:szCs w:val="24"/>
        </w:rPr>
        <w:t>in vivo</w:t>
      </w:r>
      <w:r w:rsidRPr="00D91F09">
        <w:rPr>
          <w:rFonts w:ascii="Times New Roman" w:hAnsi="Times New Roman" w:cs="Times New Roman"/>
          <w:bCs/>
          <w:iCs/>
          <w:sz w:val="24"/>
          <w:szCs w:val="24"/>
        </w:rPr>
        <w:t xml:space="preserve"> assays</w:t>
      </w:r>
      <w:r w:rsidRPr="00D91F09">
        <w:rPr>
          <w:rFonts w:ascii="Times New Roman" w:hAnsi="Times New Roman" w:cs="Times New Roman"/>
          <w:bCs/>
          <w:i/>
          <w:iCs/>
          <w:sz w:val="24"/>
          <w:szCs w:val="24"/>
        </w:rPr>
        <w:t>.</w:t>
      </w:r>
      <w:r w:rsidRPr="00D91F09">
        <w:rPr>
          <w:rFonts w:ascii="Times New Roman" w:hAnsi="Times New Roman" w:cs="Times New Roman"/>
          <w:bCs/>
          <w:sz w:val="24"/>
          <w:szCs w:val="24"/>
        </w:rPr>
        <w:t xml:space="preserve"> Errors were recorded as standard deviation from the mean and results were expressed as Mean ± SD. Data were then subjected to analysis of variance (ANOVA) using SPSS (IBM version 21.0, USA) and GraphPad Prism 6.01 (GraphPad Software Inc., CA, USA), while </w:t>
      </w:r>
      <w:r w:rsidR="00AB048A">
        <w:rPr>
          <w:rFonts w:ascii="Times New Roman" w:hAnsi="Times New Roman" w:cs="Times New Roman"/>
          <w:bCs/>
          <w:sz w:val="24"/>
          <w:szCs w:val="24"/>
        </w:rPr>
        <w:t xml:space="preserve">the </w:t>
      </w:r>
      <w:r w:rsidRPr="00D91F09">
        <w:rPr>
          <w:rFonts w:ascii="Times New Roman" w:hAnsi="Times New Roman" w:cs="Times New Roman"/>
          <w:bCs/>
          <w:sz w:val="24"/>
          <w:szCs w:val="24"/>
        </w:rPr>
        <w:t>comparison of mean values w</w:t>
      </w:r>
      <w:r w:rsidR="00AB048A">
        <w:rPr>
          <w:rFonts w:ascii="Times New Roman" w:hAnsi="Times New Roman" w:cs="Times New Roman"/>
          <w:bCs/>
          <w:sz w:val="24"/>
          <w:szCs w:val="24"/>
        </w:rPr>
        <w:t>as</w:t>
      </w:r>
      <w:r w:rsidRPr="00D91F09">
        <w:rPr>
          <w:rFonts w:ascii="Times New Roman" w:hAnsi="Times New Roman" w:cs="Times New Roman"/>
          <w:bCs/>
          <w:sz w:val="24"/>
          <w:szCs w:val="24"/>
        </w:rPr>
        <w:t xml:space="preserve"> further done using </w:t>
      </w:r>
      <w:r w:rsidR="00AB048A">
        <w:rPr>
          <w:rFonts w:ascii="Times New Roman" w:hAnsi="Times New Roman" w:cs="Times New Roman"/>
          <w:bCs/>
          <w:sz w:val="24"/>
          <w:szCs w:val="24"/>
        </w:rPr>
        <w:t xml:space="preserve">the </w:t>
      </w:r>
      <w:r w:rsidRPr="00D91F09">
        <w:rPr>
          <w:rFonts w:ascii="Times New Roman" w:hAnsi="Times New Roman" w:cs="Times New Roman"/>
          <w:bCs/>
          <w:sz w:val="24"/>
          <w:szCs w:val="24"/>
        </w:rPr>
        <w:t>New Duncan Multiple Range Test (NDMRT) and values of p&lt;0.05 were considered to be significantly different</w:t>
      </w:r>
      <w:r w:rsidR="0087139D">
        <w:rPr>
          <w:rFonts w:ascii="Times New Roman" w:hAnsi="Times New Roman" w:cs="Times New Roman"/>
          <w:bCs/>
          <w:sz w:val="24"/>
          <w:szCs w:val="24"/>
        </w:rPr>
        <w:t>.</w:t>
      </w:r>
    </w:p>
    <w:p w14:paraId="64CF000B" w14:textId="45D43C43" w:rsidR="00D91F09" w:rsidRDefault="00D91F09" w:rsidP="00D91F09">
      <w:pPr>
        <w:spacing w:line="480" w:lineRule="auto"/>
        <w:jc w:val="both"/>
        <w:rPr>
          <w:rFonts w:ascii="Times New Roman" w:hAnsi="Times New Roman" w:cs="Times New Roman"/>
          <w:b/>
          <w:sz w:val="24"/>
          <w:szCs w:val="24"/>
        </w:rPr>
      </w:pPr>
    </w:p>
    <w:p w14:paraId="7A189E31" w14:textId="637996F2" w:rsidR="0087139D" w:rsidRDefault="0087139D"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49FFE4EF" w14:textId="77777777" w:rsidR="0087139D" w:rsidRPr="0087139D" w:rsidRDefault="0087139D" w:rsidP="0087139D">
      <w:pPr>
        <w:pStyle w:val="Bibliography"/>
        <w:jc w:val="both"/>
        <w:rPr>
          <w:rFonts w:ascii="Times New Roman" w:hAnsi="Times New Roman" w:cs="Times New Roman"/>
          <w:sz w:val="24"/>
        </w:rPr>
      </w:pPr>
      <w:r>
        <w:rPr>
          <w:b/>
        </w:rPr>
        <w:fldChar w:fldCharType="begin"/>
      </w:r>
      <w:r>
        <w:rPr>
          <w:b/>
        </w:rPr>
        <w:instrText xml:space="preserve"> ADDIN ZOTERO_BIBL {"uncited":[],"omitted":[],"custom":[]} CSL_BIBLIOGRAPHY </w:instrText>
      </w:r>
      <w:r>
        <w:rPr>
          <w:b/>
        </w:rPr>
        <w:fldChar w:fldCharType="separate"/>
      </w:r>
      <w:r w:rsidRPr="0087139D">
        <w:rPr>
          <w:rFonts w:ascii="Times New Roman" w:hAnsi="Times New Roman" w:cs="Times New Roman"/>
          <w:sz w:val="24"/>
        </w:rPr>
        <w:t xml:space="preserve">1. </w:t>
      </w:r>
      <w:r w:rsidRPr="0087139D">
        <w:rPr>
          <w:rFonts w:ascii="Times New Roman" w:hAnsi="Times New Roman" w:cs="Times New Roman"/>
          <w:sz w:val="24"/>
        </w:rPr>
        <w:tab/>
        <w:t>Adeyemo AE, Omoba OS, Olagunju AI, Josiah SS (2022) Chemical composition, in vitro antioxidant properties, and phenolic profile of shallot (Allium ascalonicum L.)-enriched plantain biscuit. Bulletin of the National Research Centre 46:85. https://doi.org/10.1186/s42269-022-00769-1</w:t>
      </w:r>
    </w:p>
    <w:p w14:paraId="78FE8986"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2. </w:t>
      </w:r>
      <w:r w:rsidRPr="0087139D">
        <w:rPr>
          <w:rFonts w:ascii="Times New Roman" w:hAnsi="Times New Roman" w:cs="Times New Roman"/>
          <w:sz w:val="24"/>
        </w:rPr>
        <w:tab/>
        <w:t>Ringer T, Damerow L, Blanke MM (2018) Non-invasive determination of surface features of banana during ripening. J Food Sci Technol 55:4197–4203. https://doi.org/10.1007/s13197-018-3352-2</w:t>
      </w:r>
    </w:p>
    <w:p w14:paraId="57EEDEAD"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3. </w:t>
      </w:r>
      <w:r w:rsidRPr="0087139D">
        <w:rPr>
          <w:rFonts w:ascii="Times New Roman" w:hAnsi="Times New Roman" w:cs="Times New Roman"/>
          <w:sz w:val="24"/>
        </w:rPr>
        <w:tab/>
        <w:t>Ajatta MA, Oladipupo OR, Josiah SS, et al (2021) Cognitive impairment by non‐insulin‐dependent diabetes mellitus was attenuated by dietary supplements of marble vine (Dioclea reflexa) and plantain (Musa paradisiaca) dough meals in albino rats. Journal of Food Biochemistry 45:e13473</w:t>
      </w:r>
    </w:p>
    <w:p w14:paraId="01E17C93"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4. </w:t>
      </w:r>
      <w:r w:rsidRPr="0087139D">
        <w:rPr>
          <w:rFonts w:ascii="Times New Roman" w:hAnsi="Times New Roman" w:cs="Times New Roman"/>
          <w:sz w:val="24"/>
        </w:rPr>
        <w:tab/>
        <w:t>Friedewald WT, Levy RI, Fredrickson DS (1972) Estimation of the Concentration of Low-Density Lipoprotein Cholesterol in Plasma, Without Use of the Preparative Ultracentrifuge. Clinical Chemistry 18:499–502</w:t>
      </w:r>
    </w:p>
    <w:p w14:paraId="4274D231"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5. </w:t>
      </w:r>
      <w:r w:rsidRPr="0087139D">
        <w:rPr>
          <w:rFonts w:ascii="Times New Roman" w:hAnsi="Times New Roman" w:cs="Times New Roman"/>
          <w:sz w:val="24"/>
        </w:rPr>
        <w:tab/>
        <w:t>Wilson TA, Meservey CM, Nicolosi RJ (1998) Soy lecithin reduces plasma lipoprotein cholesterol and early atherogenesis in hypercholesterolemic monkeys and hamsters: beyond linoleate. Atherosclerosis 140:147–153. https://doi.org/10.1016/S0021-9150(98)00132-4</w:t>
      </w:r>
    </w:p>
    <w:p w14:paraId="16B083E3"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6. </w:t>
      </w:r>
      <w:r w:rsidRPr="0087139D">
        <w:rPr>
          <w:rFonts w:ascii="Times New Roman" w:hAnsi="Times New Roman" w:cs="Times New Roman"/>
          <w:sz w:val="24"/>
        </w:rPr>
        <w:tab/>
        <w:t>Doumas BT, Ard Watson W, Biggs HG (1971) Albumin standards and the measurement of serum albumin with bromcresol green. Clinica Chimica Acta 31:87–96. https://doi.org/10.1016/0009-8981(71)90365-2</w:t>
      </w:r>
    </w:p>
    <w:p w14:paraId="0CC05D08"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7. </w:t>
      </w:r>
      <w:r w:rsidRPr="0087139D">
        <w:rPr>
          <w:rFonts w:ascii="Times New Roman" w:hAnsi="Times New Roman" w:cs="Times New Roman"/>
          <w:sz w:val="24"/>
        </w:rPr>
        <w:tab/>
        <w:t>Worthington Biochemical Corporation (1993) Amylase, Alpha - Worthington Enzyme Manual. https://www.worthington-biochem.com/products/amylase-alpha/manual. Accessed 15 Feb 2024</w:t>
      </w:r>
    </w:p>
    <w:p w14:paraId="4ABDACE9"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8. </w:t>
      </w:r>
      <w:r w:rsidRPr="0087139D">
        <w:rPr>
          <w:rFonts w:ascii="Times New Roman" w:hAnsi="Times New Roman" w:cs="Times New Roman"/>
          <w:sz w:val="24"/>
        </w:rPr>
        <w:tab/>
        <w:t>Apostolidis E, Kwon Y-I, Shetty K (2007) Inhibitory potential of herb, fruit, and fungal-enriched cheese against key enzymes linked to type 2 diabetes and hypertension. Innovative Food Science &amp; Emerging Technologies 8:46–54. https://doi.org/10.1016/j.ifset.2006.06.001</w:t>
      </w:r>
    </w:p>
    <w:p w14:paraId="699F388A"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9. </w:t>
      </w:r>
      <w:r w:rsidRPr="0087139D">
        <w:rPr>
          <w:rFonts w:ascii="Times New Roman" w:hAnsi="Times New Roman" w:cs="Times New Roman"/>
          <w:sz w:val="24"/>
        </w:rPr>
        <w:tab/>
        <w:t>Cushman DW, Cheung HS (1971) Spectrophotometric assay and properties of the angiotensin-converting enzyme of rabbit lung. Biochemical Pharmacology 20:1637–1648. https://doi.org/10.1016/0006-2952(71)90292-9</w:t>
      </w:r>
    </w:p>
    <w:p w14:paraId="1C48F46E"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10. </w:t>
      </w:r>
      <w:r w:rsidRPr="0087139D">
        <w:rPr>
          <w:rFonts w:ascii="Times New Roman" w:hAnsi="Times New Roman" w:cs="Times New Roman"/>
          <w:sz w:val="24"/>
        </w:rPr>
        <w:tab/>
        <w:t>Haque R, Bin-Hafeez B, Parvez S, et al (2003) Aqueous extract of walnut (Juglans regia L.) protects mice against cyclophosphamide-induced biochemical toxicity. Hum Exp Toxicol 22:473–480. https://doi.org/10.1191/0960327103ht388oa</w:t>
      </w:r>
    </w:p>
    <w:p w14:paraId="35D5E1D3"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11. </w:t>
      </w:r>
      <w:r w:rsidRPr="0087139D">
        <w:rPr>
          <w:rFonts w:ascii="Times New Roman" w:hAnsi="Times New Roman" w:cs="Times New Roman"/>
          <w:sz w:val="24"/>
        </w:rPr>
        <w:tab/>
        <w:t>Habig WH, Pabst MJ, Jakoby WB (1974) Glutathione S-transferases. The first enzymatic step in mercapturic acid formation. J Biol Chem 249:7130–7139</w:t>
      </w:r>
    </w:p>
    <w:p w14:paraId="69452887"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12. </w:t>
      </w:r>
      <w:r w:rsidRPr="0087139D">
        <w:rPr>
          <w:rFonts w:ascii="Times New Roman" w:hAnsi="Times New Roman" w:cs="Times New Roman"/>
          <w:sz w:val="24"/>
        </w:rPr>
        <w:tab/>
        <w:t>Kakkar P, Das B, Viswanathan PN (1984) A Modified Spectrophotometric Assay of Superoxide Dismutase. IJBB 21:130–132</w:t>
      </w:r>
    </w:p>
    <w:p w14:paraId="1D30AAD2"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13. </w:t>
      </w:r>
      <w:r w:rsidRPr="0087139D">
        <w:rPr>
          <w:rFonts w:ascii="Times New Roman" w:hAnsi="Times New Roman" w:cs="Times New Roman"/>
          <w:sz w:val="24"/>
        </w:rPr>
        <w:tab/>
        <w:t>Clairborne A (1985) Catalase Activity. In: Greenwald RA (ed) CRC Handbook of Methods for Oxygen Radical Research, 1st ed. CRC Press, Boca Raton, Florida, USA, pp 283–284</w:t>
      </w:r>
    </w:p>
    <w:p w14:paraId="6F1603B7"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lastRenderedPageBreak/>
        <w:t xml:space="preserve">14. </w:t>
      </w:r>
      <w:r w:rsidRPr="0087139D">
        <w:rPr>
          <w:rFonts w:ascii="Times New Roman" w:hAnsi="Times New Roman" w:cs="Times New Roman"/>
          <w:sz w:val="24"/>
        </w:rPr>
        <w:tab/>
        <w:t>Varshney R, Kale RK (1990) Effects of Calmodulin Antagonists on Radiation-induced Lipid Peroxidation in Microsomes. International Journal of Radiation Biology 58:733–743. https://doi.org/10.1080/09553009014552121</w:t>
      </w:r>
    </w:p>
    <w:p w14:paraId="3A9983FC" w14:textId="77777777" w:rsidR="0087139D" w:rsidRPr="0087139D" w:rsidRDefault="0087139D" w:rsidP="0087139D">
      <w:pPr>
        <w:pStyle w:val="Bibliography"/>
        <w:jc w:val="both"/>
        <w:rPr>
          <w:rFonts w:ascii="Times New Roman" w:hAnsi="Times New Roman" w:cs="Times New Roman"/>
          <w:sz w:val="24"/>
        </w:rPr>
      </w:pPr>
      <w:r w:rsidRPr="0087139D">
        <w:rPr>
          <w:rFonts w:ascii="Times New Roman" w:hAnsi="Times New Roman" w:cs="Times New Roman"/>
          <w:sz w:val="24"/>
        </w:rPr>
        <w:t xml:space="preserve">15. </w:t>
      </w:r>
      <w:r w:rsidRPr="0087139D">
        <w:rPr>
          <w:rFonts w:ascii="Times New Roman" w:hAnsi="Times New Roman" w:cs="Times New Roman"/>
          <w:sz w:val="24"/>
        </w:rPr>
        <w:tab/>
        <w:t>Frank RJ, Damasio H, Grabowski TJ (1997) Brainvox: An Interactive, Multimodal Visualization and Analysis System for Neuroanatomical Imaging. NeuroImage 5:13–30. https://doi.org/10.1006/nimg.1996.0250</w:t>
      </w:r>
    </w:p>
    <w:p w14:paraId="3BA5394D" w14:textId="75124156" w:rsidR="0087139D" w:rsidRPr="00D91F09" w:rsidRDefault="0087139D"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4567B779" w14:textId="77777777" w:rsidR="00D91F09" w:rsidRPr="00D91F09" w:rsidRDefault="00D91F09" w:rsidP="00D91F09">
      <w:pPr>
        <w:spacing w:line="480" w:lineRule="auto"/>
        <w:jc w:val="both"/>
        <w:rPr>
          <w:rFonts w:ascii="Times New Roman" w:hAnsi="Times New Roman" w:cs="Times New Roman"/>
          <w:b/>
          <w:sz w:val="24"/>
          <w:szCs w:val="24"/>
        </w:rPr>
      </w:pPr>
    </w:p>
    <w:p w14:paraId="3A41BC27" w14:textId="30623F38" w:rsidR="00FD4478" w:rsidRPr="00D91F09" w:rsidRDefault="00FD4478" w:rsidP="00D91F09">
      <w:pPr>
        <w:spacing w:after="0" w:line="480" w:lineRule="auto"/>
        <w:jc w:val="both"/>
        <w:rPr>
          <w:rFonts w:ascii="Times New Roman" w:hAnsi="Times New Roman" w:cs="Times New Roman"/>
          <w:sz w:val="24"/>
          <w:szCs w:val="24"/>
        </w:rPr>
      </w:pPr>
    </w:p>
    <w:sectPr w:rsidR="00FD4478" w:rsidRPr="00D91F09" w:rsidSect="007A4CF1">
      <w:footerReference w:type="default" r:id="rId16"/>
      <w:pgSz w:w="11906" w:h="16838" w:code="9"/>
      <w:pgMar w:top="1440" w:right="991"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0C358" w14:textId="77777777" w:rsidR="00D43975" w:rsidRDefault="00D43975" w:rsidP="00582489">
      <w:pPr>
        <w:spacing w:after="0" w:line="240" w:lineRule="auto"/>
      </w:pPr>
      <w:r>
        <w:separator/>
      </w:r>
    </w:p>
  </w:endnote>
  <w:endnote w:type="continuationSeparator" w:id="0">
    <w:p w14:paraId="097DFFED" w14:textId="77777777" w:rsidR="00D43975" w:rsidRDefault="00D43975" w:rsidP="0058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788190"/>
      <w:docPartObj>
        <w:docPartGallery w:val="Page Numbers (Bottom of Page)"/>
        <w:docPartUnique/>
      </w:docPartObj>
    </w:sdtPr>
    <w:sdtEndPr>
      <w:rPr>
        <w:noProof/>
      </w:rPr>
    </w:sdtEndPr>
    <w:sdtContent>
      <w:p w14:paraId="0C071815" w14:textId="5E327AAE" w:rsidR="00D43975" w:rsidRDefault="00D43975">
        <w:pPr>
          <w:pStyle w:val="Footer"/>
          <w:jc w:val="center"/>
        </w:pPr>
        <w:r>
          <w:fldChar w:fldCharType="begin"/>
        </w:r>
        <w:r>
          <w:instrText xml:space="preserve"> PAGE   \* MERGEFORMAT </w:instrText>
        </w:r>
        <w:r>
          <w:fldChar w:fldCharType="separate"/>
        </w:r>
        <w:r w:rsidR="00E30BFC">
          <w:rPr>
            <w:noProof/>
          </w:rPr>
          <w:t>1</w:t>
        </w:r>
        <w:r>
          <w:rPr>
            <w:noProof/>
          </w:rPr>
          <w:fldChar w:fldCharType="end"/>
        </w:r>
      </w:p>
    </w:sdtContent>
  </w:sdt>
  <w:p w14:paraId="07338F9C" w14:textId="77777777" w:rsidR="00D43975" w:rsidRDefault="00D43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F63CA" w14:textId="77777777" w:rsidR="00D43975" w:rsidRDefault="00D43975" w:rsidP="00582489">
      <w:pPr>
        <w:spacing w:after="0" w:line="240" w:lineRule="auto"/>
      </w:pPr>
      <w:r>
        <w:separator/>
      </w:r>
    </w:p>
  </w:footnote>
  <w:footnote w:type="continuationSeparator" w:id="0">
    <w:p w14:paraId="21B6C984" w14:textId="77777777" w:rsidR="00D43975" w:rsidRDefault="00D43975" w:rsidP="00582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A2C020C"/>
    <w:lvl w:ilvl="0" w:tplc="3F58727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5AF602E"/>
    <w:multiLevelType w:val="multilevel"/>
    <w:tmpl w:val="1550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C4CAC"/>
    <w:multiLevelType w:val="hybridMultilevel"/>
    <w:tmpl w:val="5480297C"/>
    <w:lvl w:ilvl="0" w:tplc="D9FE8730">
      <w:start w:val="1"/>
      <w:numFmt w:val="lowerRoman"/>
      <w:lvlText w:val="(%1)"/>
      <w:lvlJc w:val="left"/>
      <w:pPr>
        <w:tabs>
          <w:tab w:val="left" w:pos="720"/>
        </w:tabs>
        <w:ind w:left="720" w:hanging="360"/>
      </w:pPr>
      <w:rPr>
        <w:rFonts w:ascii="Times New Roman" w:eastAsia="Calibri" w:hAnsi="Times New Roman" w:cs="Times New Roman"/>
      </w:rPr>
    </w:lvl>
    <w:lvl w:ilvl="1" w:tplc="393881CC">
      <w:start w:val="1"/>
      <w:numFmt w:val="bullet"/>
      <w:lvlText w:val=""/>
      <w:lvlJc w:val="left"/>
      <w:pPr>
        <w:tabs>
          <w:tab w:val="left" w:pos="1440"/>
        </w:tabs>
        <w:ind w:left="1440" w:hanging="360"/>
      </w:pPr>
      <w:rPr>
        <w:rFonts w:ascii="Wingdings 2" w:hAnsi="Wingdings 2" w:hint="default"/>
      </w:rPr>
    </w:lvl>
    <w:lvl w:ilvl="2" w:tplc="F2AAFFEE">
      <w:start w:val="1"/>
      <w:numFmt w:val="bullet"/>
      <w:lvlText w:val=""/>
      <w:lvlJc w:val="left"/>
      <w:pPr>
        <w:tabs>
          <w:tab w:val="left" w:pos="2160"/>
        </w:tabs>
        <w:ind w:left="2160" w:hanging="360"/>
      </w:pPr>
      <w:rPr>
        <w:rFonts w:ascii="Wingdings 2" w:hAnsi="Wingdings 2" w:hint="default"/>
      </w:rPr>
    </w:lvl>
    <w:lvl w:ilvl="3" w:tplc="172C48D4">
      <w:start w:val="1"/>
      <w:numFmt w:val="bullet"/>
      <w:lvlText w:val=""/>
      <w:lvlJc w:val="left"/>
      <w:pPr>
        <w:tabs>
          <w:tab w:val="left" w:pos="2880"/>
        </w:tabs>
        <w:ind w:left="2880" w:hanging="360"/>
      </w:pPr>
      <w:rPr>
        <w:rFonts w:ascii="Wingdings 2" w:hAnsi="Wingdings 2" w:hint="default"/>
      </w:rPr>
    </w:lvl>
    <w:lvl w:ilvl="4" w:tplc="5852C08A">
      <w:start w:val="1"/>
      <w:numFmt w:val="bullet"/>
      <w:lvlText w:val=""/>
      <w:lvlJc w:val="left"/>
      <w:pPr>
        <w:tabs>
          <w:tab w:val="left" w:pos="3600"/>
        </w:tabs>
        <w:ind w:left="3600" w:hanging="360"/>
      </w:pPr>
      <w:rPr>
        <w:rFonts w:ascii="Wingdings 2" w:hAnsi="Wingdings 2" w:hint="default"/>
      </w:rPr>
    </w:lvl>
    <w:lvl w:ilvl="5" w:tplc="E38E4D84">
      <w:start w:val="1"/>
      <w:numFmt w:val="bullet"/>
      <w:lvlText w:val=""/>
      <w:lvlJc w:val="left"/>
      <w:pPr>
        <w:tabs>
          <w:tab w:val="left" w:pos="4320"/>
        </w:tabs>
        <w:ind w:left="4320" w:hanging="360"/>
      </w:pPr>
      <w:rPr>
        <w:rFonts w:ascii="Wingdings 2" w:hAnsi="Wingdings 2" w:hint="default"/>
      </w:rPr>
    </w:lvl>
    <w:lvl w:ilvl="6" w:tplc="476A2F74">
      <w:start w:val="1"/>
      <w:numFmt w:val="bullet"/>
      <w:lvlText w:val=""/>
      <w:lvlJc w:val="left"/>
      <w:pPr>
        <w:tabs>
          <w:tab w:val="left" w:pos="5040"/>
        </w:tabs>
        <w:ind w:left="5040" w:hanging="360"/>
      </w:pPr>
      <w:rPr>
        <w:rFonts w:ascii="Wingdings 2" w:hAnsi="Wingdings 2" w:hint="default"/>
      </w:rPr>
    </w:lvl>
    <w:lvl w:ilvl="7" w:tplc="D6E0FBE6">
      <w:start w:val="1"/>
      <w:numFmt w:val="bullet"/>
      <w:lvlText w:val=""/>
      <w:lvlJc w:val="left"/>
      <w:pPr>
        <w:tabs>
          <w:tab w:val="left" w:pos="5760"/>
        </w:tabs>
        <w:ind w:left="5760" w:hanging="360"/>
      </w:pPr>
      <w:rPr>
        <w:rFonts w:ascii="Wingdings 2" w:hAnsi="Wingdings 2" w:hint="default"/>
      </w:rPr>
    </w:lvl>
    <w:lvl w:ilvl="8" w:tplc="3DB47894">
      <w:start w:val="1"/>
      <w:numFmt w:val="bullet"/>
      <w:lvlText w:val=""/>
      <w:lvlJc w:val="left"/>
      <w:pPr>
        <w:tabs>
          <w:tab w:val="left" w:pos="6480"/>
        </w:tabs>
        <w:ind w:left="6480" w:hanging="360"/>
      </w:pPr>
      <w:rPr>
        <w:rFonts w:ascii="Wingdings 2" w:hAnsi="Wingdings 2"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yMDQ0NzY2NbUwsTAxNDRR0lEKTi0uzszPAykwNKwFAOHYytYtAAAA"/>
  </w:docVars>
  <w:rsids>
    <w:rsidRoot w:val="00121831"/>
    <w:rsid w:val="000000D5"/>
    <w:rsid w:val="00001912"/>
    <w:rsid w:val="00001F8E"/>
    <w:rsid w:val="00006FE1"/>
    <w:rsid w:val="00007DC7"/>
    <w:rsid w:val="00011933"/>
    <w:rsid w:val="00015019"/>
    <w:rsid w:val="000153E2"/>
    <w:rsid w:val="0001677B"/>
    <w:rsid w:val="0001730D"/>
    <w:rsid w:val="00021BFF"/>
    <w:rsid w:val="00025E31"/>
    <w:rsid w:val="0002763A"/>
    <w:rsid w:val="00033DCB"/>
    <w:rsid w:val="0004138D"/>
    <w:rsid w:val="000413AB"/>
    <w:rsid w:val="00042E35"/>
    <w:rsid w:val="0004516F"/>
    <w:rsid w:val="000460B2"/>
    <w:rsid w:val="000464A8"/>
    <w:rsid w:val="000521A4"/>
    <w:rsid w:val="000521F9"/>
    <w:rsid w:val="0005330C"/>
    <w:rsid w:val="00053CC2"/>
    <w:rsid w:val="000601C8"/>
    <w:rsid w:val="00062C1A"/>
    <w:rsid w:val="0006513F"/>
    <w:rsid w:val="0007347A"/>
    <w:rsid w:val="00082206"/>
    <w:rsid w:val="0008282E"/>
    <w:rsid w:val="00083CD7"/>
    <w:rsid w:val="00087154"/>
    <w:rsid w:val="00087401"/>
    <w:rsid w:val="00090BFE"/>
    <w:rsid w:val="00094D5D"/>
    <w:rsid w:val="000A275A"/>
    <w:rsid w:val="000A3F30"/>
    <w:rsid w:val="000A6787"/>
    <w:rsid w:val="000B1417"/>
    <w:rsid w:val="000B6B98"/>
    <w:rsid w:val="000C54C3"/>
    <w:rsid w:val="000C58B5"/>
    <w:rsid w:val="000E6C92"/>
    <w:rsid w:val="000F017B"/>
    <w:rsid w:val="00102801"/>
    <w:rsid w:val="00104FCD"/>
    <w:rsid w:val="0010505F"/>
    <w:rsid w:val="00105B59"/>
    <w:rsid w:val="001071EE"/>
    <w:rsid w:val="00112DE5"/>
    <w:rsid w:val="00121831"/>
    <w:rsid w:val="0012434C"/>
    <w:rsid w:val="00142293"/>
    <w:rsid w:val="00142BA2"/>
    <w:rsid w:val="001458CB"/>
    <w:rsid w:val="00153F08"/>
    <w:rsid w:val="001575CC"/>
    <w:rsid w:val="00166238"/>
    <w:rsid w:val="001A1642"/>
    <w:rsid w:val="001A17A4"/>
    <w:rsid w:val="001A4BC1"/>
    <w:rsid w:val="001B116C"/>
    <w:rsid w:val="001B490B"/>
    <w:rsid w:val="001C2311"/>
    <w:rsid w:val="001C4371"/>
    <w:rsid w:val="001C51DF"/>
    <w:rsid w:val="001C6260"/>
    <w:rsid w:val="001C7986"/>
    <w:rsid w:val="001E7471"/>
    <w:rsid w:val="001F0EE9"/>
    <w:rsid w:val="00206E60"/>
    <w:rsid w:val="002169B9"/>
    <w:rsid w:val="00216A54"/>
    <w:rsid w:val="00234819"/>
    <w:rsid w:val="002348B9"/>
    <w:rsid w:val="002366CC"/>
    <w:rsid w:val="00237C14"/>
    <w:rsid w:val="0024186A"/>
    <w:rsid w:val="002428BC"/>
    <w:rsid w:val="00246FAD"/>
    <w:rsid w:val="00250D61"/>
    <w:rsid w:val="00254A8E"/>
    <w:rsid w:val="0026151D"/>
    <w:rsid w:val="00270ADC"/>
    <w:rsid w:val="0027471F"/>
    <w:rsid w:val="002755D1"/>
    <w:rsid w:val="00282008"/>
    <w:rsid w:val="00283528"/>
    <w:rsid w:val="002A72BF"/>
    <w:rsid w:val="002B1467"/>
    <w:rsid w:val="002B1D70"/>
    <w:rsid w:val="002C1089"/>
    <w:rsid w:val="002C661C"/>
    <w:rsid w:val="002D0BB0"/>
    <w:rsid w:val="002D6E1C"/>
    <w:rsid w:val="002E1141"/>
    <w:rsid w:val="002E189D"/>
    <w:rsid w:val="002E2B6D"/>
    <w:rsid w:val="002E65E8"/>
    <w:rsid w:val="002E7375"/>
    <w:rsid w:val="002E7565"/>
    <w:rsid w:val="002F213B"/>
    <w:rsid w:val="002F5541"/>
    <w:rsid w:val="002F7CAA"/>
    <w:rsid w:val="003046CE"/>
    <w:rsid w:val="003163A8"/>
    <w:rsid w:val="00321BE8"/>
    <w:rsid w:val="00323A21"/>
    <w:rsid w:val="00325A9F"/>
    <w:rsid w:val="00330F11"/>
    <w:rsid w:val="0033271C"/>
    <w:rsid w:val="00335357"/>
    <w:rsid w:val="00337BCF"/>
    <w:rsid w:val="003406DD"/>
    <w:rsid w:val="003444DB"/>
    <w:rsid w:val="00346AC8"/>
    <w:rsid w:val="00351C9C"/>
    <w:rsid w:val="00362F0A"/>
    <w:rsid w:val="00366867"/>
    <w:rsid w:val="00372BA9"/>
    <w:rsid w:val="00375595"/>
    <w:rsid w:val="00376730"/>
    <w:rsid w:val="00380789"/>
    <w:rsid w:val="00380EC7"/>
    <w:rsid w:val="0038159A"/>
    <w:rsid w:val="00387BD3"/>
    <w:rsid w:val="00390E54"/>
    <w:rsid w:val="00393246"/>
    <w:rsid w:val="003A3E8F"/>
    <w:rsid w:val="003A6205"/>
    <w:rsid w:val="003A73C2"/>
    <w:rsid w:val="003B3201"/>
    <w:rsid w:val="003C2423"/>
    <w:rsid w:val="003C29A2"/>
    <w:rsid w:val="003C4392"/>
    <w:rsid w:val="003D7B5C"/>
    <w:rsid w:val="003E0417"/>
    <w:rsid w:val="003E6EE1"/>
    <w:rsid w:val="003F63E8"/>
    <w:rsid w:val="00400745"/>
    <w:rsid w:val="004054B4"/>
    <w:rsid w:val="00406916"/>
    <w:rsid w:val="00414820"/>
    <w:rsid w:val="0042389E"/>
    <w:rsid w:val="00427DED"/>
    <w:rsid w:val="0043370C"/>
    <w:rsid w:val="004351C4"/>
    <w:rsid w:val="00435751"/>
    <w:rsid w:val="00436F60"/>
    <w:rsid w:val="004407FF"/>
    <w:rsid w:val="00440F86"/>
    <w:rsid w:val="004414D3"/>
    <w:rsid w:val="00441A37"/>
    <w:rsid w:val="0044694D"/>
    <w:rsid w:val="004476A9"/>
    <w:rsid w:val="00447C42"/>
    <w:rsid w:val="00451FCD"/>
    <w:rsid w:val="00453D98"/>
    <w:rsid w:val="00454DD3"/>
    <w:rsid w:val="00474CAC"/>
    <w:rsid w:val="00481303"/>
    <w:rsid w:val="004815F0"/>
    <w:rsid w:val="00487726"/>
    <w:rsid w:val="004A75FA"/>
    <w:rsid w:val="004B1F57"/>
    <w:rsid w:val="004B2C35"/>
    <w:rsid w:val="004B3A0F"/>
    <w:rsid w:val="004C0FFC"/>
    <w:rsid w:val="004C1373"/>
    <w:rsid w:val="004C2319"/>
    <w:rsid w:val="004C38B8"/>
    <w:rsid w:val="004D27CD"/>
    <w:rsid w:val="004D7E3A"/>
    <w:rsid w:val="004F2243"/>
    <w:rsid w:val="004F30A5"/>
    <w:rsid w:val="004F42DF"/>
    <w:rsid w:val="004F644A"/>
    <w:rsid w:val="004F7645"/>
    <w:rsid w:val="00512D20"/>
    <w:rsid w:val="00520A14"/>
    <w:rsid w:val="00525880"/>
    <w:rsid w:val="00526342"/>
    <w:rsid w:val="00527C51"/>
    <w:rsid w:val="005325C3"/>
    <w:rsid w:val="00533BE8"/>
    <w:rsid w:val="00534A97"/>
    <w:rsid w:val="005375B7"/>
    <w:rsid w:val="005421B2"/>
    <w:rsid w:val="00550438"/>
    <w:rsid w:val="00551AB5"/>
    <w:rsid w:val="00552E6D"/>
    <w:rsid w:val="005539F6"/>
    <w:rsid w:val="00561498"/>
    <w:rsid w:val="00566475"/>
    <w:rsid w:val="00566D99"/>
    <w:rsid w:val="005730EB"/>
    <w:rsid w:val="00573F8E"/>
    <w:rsid w:val="005809B1"/>
    <w:rsid w:val="00582489"/>
    <w:rsid w:val="00590FE3"/>
    <w:rsid w:val="00591E67"/>
    <w:rsid w:val="005929E3"/>
    <w:rsid w:val="00594D86"/>
    <w:rsid w:val="005972EC"/>
    <w:rsid w:val="005A0A22"/>
    <w:rsid w:val="005A250E"/>
    <w:rsid w:val="005A6F1E"/>
    <w:rsid w:val="005A7704"/>
    <w:rsid w:val="005B0203"/>
    <w:rsid w:val="005B41C6"/>
    <w:rsid w:val="005C59DF"/>
    <w:rsid w:val="005D3B56"/>
    <w:rsid w:val="005D3FD0"/>
    <w:rsid w:val="005D5C0B"/>
    <w:rsid w:val="005E06A4"/>
    <w:rsid w:val="005E3B84"/>
    <w:rsid w:val="005E45FB"/>
    <w:rsid w:val="005E6F07"/>
    <w:rsid w:val="005F23FA"/>
    <w:rsid w:val="00600681"/>
    <w:rsid w:val="00604974"/>
    <w:rsid w:val="00607691"/>
    <w:rsid w:val="006118E3"/>
    <w:rsid w:val="00614375"/>
    <w:rsid w:val="0062703D"/>
    <w:rsid w:val="00630E6A"/>
    <w:rsid w:val="00630FF4"/>
    <w:rsid w:val="006355AC"/>
    <w:rsid w:val="00635918"/>
    <w:rsid w:val="0064024D"/>
    <w:rsid w:val="00640D95"/>
    <w:rsid w:val="0064104C"/>
    <w:rsid w:val="00641942"/>
    <w:rsid w:val="00646333"/>
    <w:rsid w:val="00647544"/>
    <w:rsid w:val="006477F6"/>
    <w:rsid w:val="00652CC3"/>
    <w:rsid w:val="00653051"/>
    <w:rsid w:val="00653E53"/>
    <w:rsid w:val="00654197"/>
    <w:rsid w:val="00655239"/>
    <w:rsid w:val="00655F64"/>
    <w:rsid w:val="006630BE"/>
    <w:rsid w:val="006659A7"/>
    <w:rsid w:val="00665A5C"/>
    <w:rsid w:val="0067538D"/>
    <w:rsid w:val="00682993"/>
    <w:rsid w:val="006872F5"/>
    <w:rsid w:val="00693484"/>
    <w:rsid w:val="006937E2"/>
    <w:rsid w:val="00693A01"/>
    <w:rsid w:val="006A470F"/>
    <w:rsid w:val="006B784F"/>
    <w:rsid w:val="006F0269"/>
    <w:rsid w:val="006F649C"/>
    <w:rsid w:val="00700B19"/>
    <w:rsid w:val="007030D4"/>
    <w:rsid w:val="00706B1D"/>
    <w:rsid w:val="00712BC4"/>
    <w:rsid w:val="00715866"/>
    <w:rsid w:val="00717416"/>
    <w:rsid w:val="007221D4"/>
    <w:rsid w:val="00723B12"/>
    <w:rsid w:val="0072617F"/>
    <w:rsid w:val="00726524"/>
    <w:rsid w:val="0073076E"/>
    <w:rsid w:val="00731600"/>
    <w:rsid w:val="00735B87"/>
    <w:rsid w:val="007369F4"/>
    <w:rsid w:val="00742ACE"/>
    <w:rsid w:val="00751C3D"/>
    <w:rsid w:val="0075241B"/>
    <w:rsid w:val="00755975"/>
    <w:rsid w:val="0076003F"/>
    <w:rsid w:val="00764234"/>
    <w:rsid w:val="00767A18"/>
    <w:rsid w:val="00780CDE"/>
    <w:rsid w:val="00782229"/>
    <w:rsid w:val="00785FD3"/>
    <w:rsid w:val="00791EB3"/>
    <w:rsid w:val="00793ABF"/>
    <w:rsid w:val="00793B56"/>
    <w:rsid w:val="007A349B"/>
    <w:rsid w:val="007A3BC7"/>
    <w:rsid w:val="007A4CF1"/>
    <w:rsid w:val="007A576E"/>
    <w:rsid w:val="007A7D29"/>
    <w:rsid w:val="007B08DE"/>
    <w:rsid w:val="007C025A"/>
    <w:rsid w:val="007C16BA"/>
    <w:rsid w:val="007C32DB"/>
    <w:rsid w:val="007C6613"/>
    <w:rsid w:val="007D2DA3"/>
    <w:rsid w:val="007D594E"/>
    <w:rsid w:val="007D7B8B"/>
    <w:rsid w:val="007E7D69"/>
    <w:rsid w:val="007F0CFB"/>
    <w:rsid w:val="007F28A3"/>
    <w:rsid w:val="007F6C35"/>
    <w:rsid w:val="00802312"/>
    <w:rsid w:val="008040D9"/>
    <w:rsid w:val="00816193"/>
    <w:rsid w:val="0081755E"/>
    <w:rsid w:val="00817AED"/>
    <w:rsid w:val="00822658"/>
    <w:rsid w:val="00823493"/>
    <w:rsid w:val="00836504"/>
    <w:rsid w:val="0084218B"/>
    <w:rsid w:val="0084386A"/>
    <w:rsid w:val="00844840"/>
    <w:rsid w:val="00844F6C"/>
    <w:rsid w:val="0084751C"/>
    <w:rsid w:val="0085650F"/>
    <w:rsid w:val="00866A5A"/>
    <w:rsid w:val="00867AEF"/>
    <w:rsid w:val="00870E16"/>
    <w:rsid w:val="0087102A"/>
    <w:rsid w:val="0087139D"/>
    <w:rsid w:val="0087671C"/>
    <w:rsid w:val="008768D0"/>
    <w:rsid w:val="00882F80"/>
    <w:rsid w:val="00883440"/>
    <w:rsid w:val="00883DC0"/>
    <w:rsid w:val="00893762"/>
    <w:rsid w:val="00897E8E"/>
    <w:rsid w:val="008A03B8"/>
    <w:rsid w:val="008A12A6"/>
    <w:rsid w:val="008A4B15"/>
    <w:rsid w:val="008B0F13"/>
    <w:rsid w:val="008C2097"/>
    <w:rsid w:val="008C5C87"/>
    <w:rsid w:val="008C7A0A"/>
    <w:rsid w:val="008D1C71"/>
    <w:rsid w:val="008D76F4"/>
    <w:rsid w:val="008E4869"/>
    <w:rsid w:val="008E7FFA"/>
    <w:rsid w:val="00907BB6"/>
    <w:rsid w:val="00912A50"/>
    <w:rsid w:val="009132BA"/>
    <w:rsid w:val="009144B2"/>
    <w:rsid w:val="00930F1C"/>
    <w:rsid w:val="00932C46"/>
    <w:rsid w:val="00937019"/>
    <w:rsid w:val="00937359"/>
    <w:rsid w:val="00943E0C"/>
    <w:rsid w:val="0095200B"/>
    <w:rsid w:val="00953835"/>
    <w:rsid w:val="00954FD4"/>
    <w:rsid w:val="0095770E"/>
    <w:rsid w:val="00960A8C"/>
    <w:rsid w:val="00962C98"/>
    <w:rsid w:val="00963A32"/>
    <w:rsid w:val="009649FB"/>
    <w:rsid w:val="00964E14"/>
    <w:rsid w:val="00974570"/>
    <w:rsid w:val="00974DF4"/>
    <w:rsid w:val="009759A0"/>
    <w:rsid w:val="00976908"/>
    <w:rsid w:val="00983737"/>
    <w:rsid w:val="00984E75"/>
    <w:rsid w:val="009853E5"/>
    <w:rsid w:val="0098587F"/>
    <w:rsid w:val="00985D1A"/>
    <w:rsid w:val="00985D56"/>
    <w:rsid w:val="00987BCF"/>
    <w:rsid w:val="00994966"/>
    <w:rsid w:val="00994B85"/>
    <w:rsid w:val="00995512"/>
    <w:rsid w:val="009A19C1"/>
    <w:rsid w:val="009A32AC"/>
    <w:rsid w:val="009A7C96"/>
    <w:rsid w:val="009B23ED"/>
    <w:rsid w:val="009B44CF"/>
    <w:rsid w:val="009B635D"/>
    <w:rsid w:val="009C5EA0"/>
    <w:rsid w:val="009D065D"/>
    <w:rsid w:val="009D57B7"/>
    <w:rsid w:val="009D674B"/>
    <w:rsid w:val="009E0F6B"/>
    <w:rsid w:val="009E2A0D"/>
    <w:rsid w:val="009E3D05"/>
    <w:rsid w:val="009E6888"/>
    <w:rsid w:val="009E703B"/>
    <w:rsid w:val="009F1C51"/>
    <w:rsid w:val="009F6BD6"/>
    <w:rsid w:val="009F78AF"/>
    <w:rsid w:val="00A00DA3"/>
    <w:rsid w:val="00A04A82"/>
    <w:rsid w:val="00A1633C"/>
    <w:rsid w:val="00A27227"/>
    <w:rsid w:val="00A301FF"/>
    <w:rsid w:val="00A304BA"/>
    <w:rsid w:val="00A30611"/>
    <w:rsid w:val="00A326DE"/>
    <w:rsid w:val="00A35C95"/>
    <w:rsid w:val="00A36398"/>
    <w:rsid w:val="00A37D46"/>
    <w:rsid w:val="00A41791"/>
    <w:rsid w:val="00A435D8"/>
    <w:rsid w:val="00A450F4"/>
    <w:rsid w:val="00A45FC2"/>
    <w:rsid w:val="00A50B84"/>
    <w:rsid w:val="00A512DF"/>
    <w:rsid w:val="00A62A2F"/>
    <w:rsid w:val="00A64938"/>
    <w:rsid w:val="00A676E4"/>
    <w:rsid w:val="00A67ACD"/>
    <w:rsid w:val="00A703BF"/>
    <w:rsid w:val="00A70637"/>
    <w:rsid w:val="00A72578"/>
    <w:rsid w:val="00A8057C"/>
    <w:rsid w:val="00A84AC2"/>
    <w:rsid w:val="00A84F5D"/>
    <w:rsid w:val="00A8661F"/>
    <w:rsid w:val="00A86C8F"/>
    <w:rsid w:val="00A905B2"/>
    <w:rsid w:val="00AA337B"/>
    <w:rsid w:val="00AA484F"/>
    <w:rsid w:val="00AA6CF6"/>
    <w:rsid w:val="00AB048A"/>
    <w:rsid w:val="00AB1863"/>
    <w:rsid w:val="00AB2CF3"/>
    <w:rsid w:val="00AC15AE"/>
    <w:rsid w:val="00AC7940"/>
    <w:rsid w:val="00AD3131"/>
    <w:rsid w:val="00AD4D43"/>
    <w:rsid w:val="00AD53E1"/>
    <w:rsid w:val="00AD60C0"/>
    <w:rsid w:val="00AE2B98"/>
    <w:rsid w:val="00AF25FD"/>
    <w:rsid w:val="00AF4170"/>
    <w:rsid w:val="00AF7D5D"/>
    <w:rsid w:val="00B04D64"/>
    <w:rsid w:val="00B16B1E"/>
    <w:rsid w:val="00B20BBD"/>
    <w:rsid w:val="00B2151B"/>
    <w:rsid w:val="00B22115"/>
    <w:rsid w:val="00B30A06"/>
    <w:rsid w:val="00B32C8C"/>
    <w:rsid w:val="00B40501"/>
    <w:rsid w:val="00B4215C"/>
    <w:rsid w:val="00B5259A"/>
    <w:rsid w:val="00B545AF"/>
    <w:rsid w:val="00B61482"/>
    <w:rsid w:val="00B663B8"/>
    <w:rsid w:val="00B6733C"/>
    <w:rsid w:val="00B724FA"/>
    <w:rsid w:val="00B72A9B"/>
    <w:rsid w:val="00B7559C"/>
    <w:rsid w:val="00B82340"/>
    <w:rsid w:val="00B85000"/>
    <w:rsid w:val="00B85538"/>
    <w:rsid w:val="00B924F3"/>
    <w:rsid w:val="00B9489C"/>
    <w:rsid w:val="00B94E4C"/>
    <w:rsid w:val="00B96931"/>
    <w:rsid w:val="00BB0AD9"/>
    <w:rsid w:val="00BB6152"/>
    <w:rsid w:val="00BB6743"/>
    <w:rsid w:val="00BB7BF5"/>
    <w:rsid w:val="00BC3813"/>
    <w:rsid w:val="00BC5248"/>
    <w:rsid w:val="00BD04F5"/>
    <w:rsid w:val="00BD3979"/>
    <w:rsid w:val="00BE0650"/>
    <w:rsid w:val="00BE2953"/>
    <w:rsid w:val="00C00500"/>
    <w:rsid w:val="00C00E96"/>
    <w:rsid w:val="00C051F4"/>
    <w:rsid w:val="00C0523C"/>
    <w:rsid w:val="00C21566"/>
    <w:rsid w:val="00C30EB9"/>
    <w:rsid w:val="00C3368A"/>
    <w:rsid w:val="00C37E09"/>
    <w:rsid w:val="00C41B46"/>
    <w:rsid w:val="00C426DB"/>
    <w:rsid w:val="00C450A8"/>
    <w:rsid w:val="00C513B2"/>
    <w:rsid w:val="00C53104"/>
    <w:rsid w:val="00C561AC"/>
    <w:rsid w:val="00C60168"/>
    <w:rsid w:val="00C627A3"/>
    <w:rsid w:val="00C62A0C"/>
    <w:rsid w:val="00C648AE"/>
    <w:rsid w:val="00C715D0"/>
    <w:rsid w:val="00C732E9"/>
    <w:rsid w:val="00C75C75"/>
    <w:rsid w:val="00C849E3"/>
    <w:rsid w:val="00C8526C"/>
    <w:rsid w:val="00C87F0B"/>
    <w:rsid w:val="00C95D6D"/>
    <w:rsid w:val="00CA14C6"/>
    <w:rsid w:val="00CA2912"/>
    <w:rsid w:val="00CA2AFF"/>
    <w:rsid w:val="00CA409C"/>
    <w:rsid w:val="00CB0B8B"/>
    <w:rsid w:val="00CB1FEB"/>
    <w:rsid w:val="00CB36F8"/>
    <w:rsid w:val="00CC675F"/>
    <w:rsid w:val="00CE26BB"/>
    <w:rsid w:val="00CF1A6C"/>
    <w:rsid w:val="00CF223D"/>
    <w:rsid w:val="00CF2610"/>
    <w:rsid w:val="00CF5D1D"/>
    <w:rsid w:val="00CF796D"/>
    <w:rsid w:val="00D0381F"/>
    <w:rsid w:val="00D05B2C"/>
    <w:rsid w:val="00D06C0A"/>
    <w:rsid w:val="00D13D6D"/>
    <w:rsid w:val="00D161A5"/>
    <w:rsid w:val="00D21BD2"/>
    <w:rsid w:val="00D23BFB"/>
    <w:rsid w:val="00D240D2"/>
    <w:rsid w:val="00D24A44"/>
    <w:rsid w:val="00D25C2A"/>
    <w:rsid w:val="00D32386"/>
    <w:rsid w:val="00D32566"/>
    <w:rsid w:val="00D3271A"/>
    <w:rsid w:val="00D4038E"/>
    <w:rsid w:val="00D43975"/>
    <w:rsid w:val="00D53448"/>
    <w:rsid w:val="00D626CE"/>
    <w:rsid w:val="00D638F3"/>
    <w:rsid w:val="00D656AF"/>
    <w:rsid w:val="00D71F7E"/>
    <w:rsid w:val="00D75C47"/>
    <w:rsid w:val="00D837FF"/>
    <w:rsid w:val="00D8424E"/>
    <w:rsid w:val="00D87832"/>
    <w:rsid w:val="00D91F09"/>
    <w:rsid w:val="00D91FAF"/>
    <w:rsid w:val="00D923D9"/>
    <w:rsid w:val="00D966B5"/>
    <w:rsid w:val="00DA3CCD"/>
    <w:rsid w:val="00DA3DE7"/>
    <w:rsid w:val="00DA3FE5"/>
    <w:rsid w:val="00DA70EA"/>
    <w:rsid w:val="00DB0926"/>
    <w:rsid w:val="00DB5880"/>
    <w:rsid w:val="00DB688C"/>
    <w:rsid w:val="00DC1E68"/>
    <w:rsid w:val="00DC4682"/>
    <w:rsid w:val="00DD054A"/>
    <w:rsid w:val="00DD4F01"/>
    <w:rsid w:val="00DD51AA"/>
    <w:rsid w:val="00DD5EBC"/>
    <w:rsid w:val="00DE3746"/>
    <w:rsid w:val="00DF00AD"/>
    <w:rsid w:val="00DF031A"/>
    <w:rsid w:val="00DF2D5A"/>
    <w:rsid w:val="00DF7223"/>
    <w:rsid w:val="00DF7345"/>
    <w:rsid w:val="00DF7EE3"/>
    <w:rsid w:val="00E01954"/>
    <w:rsid w:val="00E01B7C"/>
    <w:rsid w:val="00E02A0C"/>
    <w:rsid w:val="00E106EE"/>
    <w:rsid w:val="00E15B2F"/>
    <w:rsid w:val="00E23350"/>
    <w:rsid w:val="00E30BFC"/>
    <w:rsid w:val="00E36993"/>
    <w:rsid w:val="00E46CE7"/>
    <w:rsid w:val="00E47922"/>
    <w:rsid w:val="00E522F3"/>
    <w:rsid w:val="00E55E14"/>
    <w:rsid w:val="00E60849"/>
    <w:rsid w:val="00E6238E"/>
    <w:rsid w:val="00E64917"/>
    <w:rsid w:val="00E661BF"/>
    <w:rsid w:val="00E67C24"/>
    <w:rsid w:val="00E7510E"/>
    <w:rsid w:val="00E828C0"/>
    <w:rsid w:val="00E84786"/>
    <w:rsid w:val="00E86C71"/>
    <w:rsid w:val="00E913EF"/>
    <w:rsid w:val="00E95499"/>
    <w:rsid w:val="00E96F8B"/>
    <w:rsid w:val="00EA0886"/>
    <w:rsid w:val="00EB2A3B"/>
    <w:rsid w:val="00EB491F"/>
    <w:rsid w:val="00EB4ED5"/>
    <w:rsid w:val="00EB7DBA"/>
    <w:rsid w:val="00EC35C6"/>
    <w:rsid w:val="00EC58EF"/>
    <w:rsid w:val="00EC764C"/>
    <w:rsid w:val="00ED4BF5"/>
    <w:rsid w:val="00ED5999"/>
    <w:rsid w:val="00ED63D9"/>
    <w:rsid w:val="00ED77DF"/>
    <w:rsid w:val="00EE3A3C"/>
    <w:rsid w:val="00EE5036"/>
    <w:rsid w:val="00EE54D0"/>
    <w:rsid w:val="00EE72DF"/>
    <w:rsid w:val="00EF03C6"/>
    <w:rsid w:val="00F02590"/>
    <w:rsid w:val="00F05C2C"/>
    <w:rsid w:val="00F06C46"/>
    <w:rsid w:val="00F07DC4"/>
    <w:rsid w:val="00F13531"/>
    <w:rsid w:val="00F14B56"/>
    <w:rsid w:val="00F25264"/>
    <w:rsid w:val="00F25546"/>
    <w:rsid w:val="00F308E7"/>
    <w:rsid w:val="00F35920"/>
    <w:rsid w:val="00F427C8"/>
    <w:rsid w:val="00F42F64"/>
    <w:rsid w:val="00F433C4"/>
    <w:rsid w:val="00F4652E"/>
    <w:rsid w:val="00F46E46"/>
    <w:rsid w:val="00F53DF9"/>
    <w:rsid w:val="00F5605A"/>
    <w:rsid w:val="00F62CB1"/>
    <w:rsid w:val="00F640BB"/>
    <w:rsid w:val="00F7373A"/>
    <w:rsid w:val="00F753D0"/>
    <w:rsid w:val="00F76141"/>
    <w:rsid w:val="00F821B0"/>
    <w:rsid w:val="00F827AB"/>
    <w:rsid w:val="00F85709"/>
    <w:rsid w:val="00F91CA5"/>
    <w:rsid w:val="00F92FD1"/>
    <w:rsid w:val="00F93D85"/>
    <w:rsid w:val="00F943FC"/>
    <w:rsid w:val="00FA35BB"/>
    <w:rsid w:val="00FA75CA"/>
    <w:rsid w:val="00FB1DC2"/>
    <w:rsid w:val="00FB2DF7"/>
    <w:rsid w:val="00FB5CD1"/>
    <w:rsid w:val="00FC4D67"/>
    <w:rsid w:val="00FD4478"/>
    <w:rsid w:val="00FD5299"/>
    <w:rsid w:val="00FD614B"/>
    <w:rsid w:val="00FE2834"/>
    <w:rsid w:val="00FE2E67"/>
    <w:rsid w:val="00FE6CF6"/>
    <w:rsid w:val="00FF7D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CF5C"/>
  <w15:docId w15:val="{CD217271-A736-4C0E-AF9C-9A11ABD2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E0C"/>
    <w:pPr>
      <w:spacing w:after="160"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2CB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41A37"/>
    <w:rPr>
      <w:color w:val="0000FF" w:themeColor="hyperlink"/>
      <w:u w:val="single"/>
    </w:rPr>
  </w:style>
  <w:style w:type="paragraph" w:styleId="ListParagraph">
    <w:name w:val="List Paragraph"/>
    <w:basedOn w:val="Normal"/>
    <w:uiPriority w:val="34"/>
    <w:qFormat/>
    <w:rsid w:val="00435751"/>
    <w:pPr>
      <w:ind w:left="720"/>
      <w:contextualSpacing/>
    </w:pPr>
  </w:style>
  <w:style w:type="character" w:customStyle="1" w:styleId="title-text">
    <w:name w:val="title-text"/>
    <w:rsid w:val="00C732E9"/>
  </w:style>
  <w:style w:type="table" w:styleId="TableGrid">
    <w:name w:val="Table Grid"/>
    <w:basedOn w:val="TableNormal"/>
    <w:uiPriority w:val="59"/>
    <w:rsid w:val="009F1C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DefaultParagraphFont"/>
    <w:rsid w:val="00EB4ED5"/>
  </w:style>
  <w:style w:type="character" w:customStyle="1" w:styleId="nlmgiven-names">
    <w:name w:val="nlm_given-names"/>
    <w:basedOn w:val="DefaultParagraphFont"/>
    <w:rsid w:val="00EB4ED5"/>
  </w:style>
  <w:style w:type="paragraph" w:styleId="Bibliography">
    <w:name w:val="Bibliography"/>
    <w:basedOn w:val="Normal"/>
    <w:next w:val="Normal"/>
    <w:uiPriority w:val="37"/>
    <w:unhideWhenUsed/>
    <w:rsid w:val="0076003F"/>
  </w:style>
  <w:style w:type="character" w:customStyle="1" w:styleId="nlmarticle-title">
    <w:name w:val="nlm_article-title"/>
    <w:basedOn w:val="DefaultParagraphFont"/>
    <w:rsid w:val="0076003F"/>
  </w:style>
  <w:style w:type="character" w:customStyle="1" w:styleId="nlmyear">
    <w:name w:val="nlm_year"/>
    <w:basedOn w:val="DefaultParagraphFont"/>
    <w:rsid w:val="0076003F"/>
  </w:style>
  <w:style w:type="character" w:customStyle="1" w:styleId="nlmfpage">
    <w:name w:val="nlm_fpage"/>
    <w:basedOn w:val="DefaultParagraphFont"/>
    <w:rsid w:val="0076003F"/>
  </w:style>
  <w:style w:type="character" w:customStyle="1" w:styleId="nlmlpage">
    <w:name w:val="nlm_lpage"/>
    <w:basedOn w:val="DefaultParagraphFont"/>
    <w:rsid w:val="0076003F"/>
  </w:style>
  <w:style w:type="character" w:customStyle="1" w:styleId="nlmpub-id">
    <w:name w:val="nlm_pub-id"/>
    <w:basedOn w:val="DefaultParagraphFont"/>
    <w:rsid w:val="0076003F"/>
  </w:style>
  <w:style w:type="paragraph" w:styleId="Header">
    <w:name w:val="header"/>
    <w:basedOn w:val="Normal"/>
    <w:link w:val="HeaderChar"/>
    <w:uiPriority w:val="99"/>
    <w:unhideWhenUsed/>
    <w:rsid w:val="005824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489"/>
    <w:rPr>
      <w:lang w:val="en-GB"/>
    </w:rPr>
  </w:style>
  <w:style w:type="paragraph" w:styleId="Footer">
    <w:name w:val="footer"/>
    <w:basedOn w:val="Normal"/>
    <w:link w:val="FooterChar"/>
    <w:uiPriority w:val="99"/>
    <w:unhideWhenUsed/>
    <w:rsid w:val="00582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489"/>
    <w:rPr>
      <w:lang w:val="en-GB"/>
    </w:rPr>
  </w:style>
  <w:style w:type="character" w:customStyle="1" w:styleId="sc-cooixk">
    <w:name w:val="sc-cooixk"/>
    <w:basedOn w:val="DefaultParagraphFont"/>
    <w:rsid w:val="00D05B2C"/>
  </w:style>
  <w:style w:type="character" w:styleId="Emphasis">
    <w:name w:val="Emphasis"/>
    <w:basedOn w:val="DefaultParagraphFont"/>
    <w:uiPriority w:val="20"/>
    <w:qFormat/>
    <w:rsid w:val="00937359"/>
    <w:rPr>
      <w:i/>
      <w:iCs/>
    </w:rPr>
  </w:style>
  <w:style w:type="character" w:customStyle="1" w:styleId="NoSpacingChar">
    <w:name w:val="No Spacing Char"/>
    <w:link w:val="NoSpacing"/>
    <w:uiPriority w:val="1"/>
    <w:locked/>
    <w:rsid w:val="00867AEF"/>
    <w:rPr>
      <w:rFonts w:ascii="Times New Roman" w:eastAsiaTheme="minorEastAsia" w:hAnsi="Times New Roman" w:cs="Times New Roman"/>
    </w:rPr>
  </w:style>
  <w:style w:type="paragraph" w:styleId="NoSpacing">
    <w:name w:val="No Spacing"/>
    <w:link w:val="NoSpacingChar"/>
    <w:uiPriority w:val="1"/>
    <w:qFormat/>
    <w:rsid w:val="00867AEF"/>
    <w:pPr>
      <w:spacing w:after="0" w:line="240" w:lineRule="auto"/>
    </w:pPr>
    <w:rPr>
      <w:rFonts w:ascii="Times New Roman" w:eastAsiaTheme="minorEastAsia" w:hAnsi="Times New Roman" w:cs="Times New Roman"/>
    </w:rPr>
  </w:style>
  <w:style w:type="paragraph" w:styleId="NormalWeb">
    <w:name w:val="Normal (Web)"/>
    <w:basedOn w:val="Normal"/>
    <w:uiPriority w:val="99"/>
    <w:semiHidden/>
    <w:unhideWhenUsed/>
    <w:rsid w:val="00B421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C41B46"/>
  </w:style>
  <w:style w:type="paragraph" w:customStyle="1" w:styleId="Timesnewroman">
    <w:name w:val="Times new roman"/>
    <w:basedOn w:val="Normal"/>
    <w:rsid w:val="00D91F09"/>
    <w:pPr>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318">
      <w:bodyDiv w:val="1"/>
      <w:marLeft w:val="0"/>
      <w:marRight w:val="0"/>
      <w:marTop w:val="0"/>
      <w:marBottom w:val="0"/>
      <w:divBdr>
        <w:top w:val="none" w:sz="0" w:space="0" w:color="auto"/>
        <w:left w:val="none" w:sz="0" w:space="0" w:color="auto"/>
        <w:bottom w:val="none" w:sz="0" w:space="0" w:color="auto"/>
        <w:right w:val="none" w:sz="0" w:space="0" w:color="auto"/>
      </w:divBdr>
    </w:div>
    <w:div w:id="26417574">
      <w:bodyDiv w:val="1"/>
      <w:marLeft w:val="0"/>
      <w:marRight w:val="0"/>
      <w:marTop w:val="0"/>
      <w:marBottom w:val="0"/>
      <w:divBdr>
        <w:top w:val="none" w:sz="0" w:space="0" w:color="auto"/>
        <w:left w:val="none" w:sz="0" w:space="0" w:color="auto"/>
        <w:bottom w:val="none" w:sz="0" w:space="0" w:color="auto"/>
        <w:right w:val="none" w:sz="0" w:space="0" w:color="auto"/>
      </w:divBdr>
    </w:div>
    <w:div w:id="33119066">
      <w:bodyDiv w:val="1"/>
      <w:marLeft w:val="0"/>
      <w:marRight w:val="0"/>
      <w:marTop w:val="0"/>
      <w:marBottom w:val="0"/>
      <w:divBdr>
        <w:top w:val="none" w:sz="0" w:space="0" w:color="auto"/>
        <w:left w:val="none" w:sz="0" w:space="0" w:color="auto"/>
        <w:bottom w:val="none" w:sz="0" w:space="0" w:color="auto"/>
        <w:right w:val="none" w:sz="0" w:space="0" w:color="auto"/>
      </w:divBdr>
    </w:div>
    <w:div w:id="38669148">
      <w:bodyDiv w:val="1"/>
      <w:marLeft w:val="0"/>
      <w:marRight w:val="0"/>
      <w:marTop w:val="0"/>
      <w:marBottom w:val="0"/>
      <w:divBdr>
        <w:top w:val="none" w:sz="0" w:space="0" w:color="auto"/>
        <w:left w:val="none" w:sz="0" w:space="0" w:color="auto"/>
        <w:bottom w:val="none" w:sz="0" w:space="0" w:color="auto"/>
        <w:right w:val="none" w:sz="0" w:space="0" w:color="auto"/>
      </w:divBdr>
    </w:div>
    <w:div w:id="87117468">
      <w:bodyDiv w:val="1"/>
      <w:marLeft w:val="0"/>
      <w:marRight w:val="0"/>
      <w:marTop w:val="0"/>
      <w:marBottom w:val="0"/>
      <w:divBdr>
        <w:top w:val="none" w:sz="0" w:space="0" w:color="auto"/>
        <w:left w:val="none" w:sz="0" w:space="0" w:color="auto"/>
        <w:bottom w:val="none" w:sz="0" w:space="0" w:color="auto"/>
        <w:right w:val="none" w:sz="0" w:space="0" w:color="auto"/>
      </w:divBdr>
    </w:div>
    <w:div w:id="242372734">
      <w:bodyDiv w:val="1"/>
      <w:marLeft w:val="0"/>
      <w:marRight w:val="0"/>
      <w:marTop w:val="0"/>
      <w:marBottom w:val="0"/>
      <w:divBdr>
        <w:top w:val="none" w:sz="0" w:space="0" w:color="auto"/>
        <w:left w:val="none" w:sz="0" w:space="0" w:color="auto"/>
        <w:bottom w:val="none" w:sz="0" w:space="0" w:color="auto"/>
        <w:right w:val="none" w:sz="0" w:space="0" w:color="auto"/>
      </w:divBdr>
    </w:div>
    <w:div w:id="326205120">
      <w:bodyDiv w:val="1"/>
      <w:marLeft w:val="0"/>
      <w:marRight w:val="0"/>
      <w:marTop w:val="0"/>
      <w:marBottom w:val="0"/>
      <w:divBdr>
        <w:top w:val="none" w:sz="0" w:space="0" w:color="auto"/>
        <w:left w:val="none" w:sz="0" w:space="0" w:color="auto"/>
        <w:bottom w:val="none" w:sz="0" w:space="0" w:color="auto"/>
        <w:right w:val="none" w:sz="0" w:space="0" w:color="auto"/>
      </w:divBdr>
    </w:div>
    <w:div w:id="342978237">
      <w:bodyDiv w:val="1"/>
      <w:marLeft w:val="0"/>
      <w:marRight w:val="0"/>
      <w:marTop w:val="0"/>
      <w:marBottom w:val="0"/>
      <w:divBdr>
        <w:top w:val="none" w:sz="0" w:space="0" w:color="auto"/>
        <w:left w:val="none" w:sz="0" w:space="0" w:color="auto"/>
        <w:bottom w:val="none" w:sz="0" w:space="0" w:color="auto"/>
        <w:right w:val="none" w:sz="0" w:space="0" w:color="auto"/>
      </w:divBdr>
    </w:div>
    <w:div w:id="376860243">
      <w:bodyDiv w:val="1"/>
      <w:marLeft w:val="0"/>
      <w:marRight w:val="0"/>
      <w:marTop w:val="0"/>
      <w:marBottom w:val="0"/>
      <w:divBdr>
        <w:top w:val="none" w:sz="0" w:space="0" w:color="auto"/>
        <w:left w:val="none" w:sz="0" w:space="0" w:color="auto"/>
        <w:bottom w:val="none" w:sz="0" w:space="0" w:color="auto"/>
        <w:right w:val="none" w:sz="0" w:space="0" w:color="auto"/>
      </w:divBdr>
    </w:div>
    <w:div w:id="404377085">
      <w:bodyDiv w:val="1"/>
      <w:marLeft w:val="0"/>
      <w:marRight w:val="0"/>
      <w:marTop w:val="0"/>
      <w:marBottom w:val="0"/>
      <w:divBdr>
        <w:top w:val="none" w:sz="0" w:space="0" w:color="auto"/>
        <w:left w:val="none" w:sz="0" w:space="0" w:color="auto"/>
        <w:bottom w:val="none" w:sz="0" w:space="0" w:color="auto"/>
        <w:right w:val="none" w:sz="0" w:space="0" w:color="auto"/>
      </w:divBdr>
    </w:div>
    <w:div w:id="417168760">
      <w:bodyDiv w:val="1"/>
      <w:marLeft w:val="0"/>
      <w:marRight w:val="0"/>
      <w:marTop w:val="0"/>
      <w:marBottom w:val="0"/>
      <w:divBdr>
        <w:top w:val="none" w:sz="0" w:space="0" w:color="auto"/>
        <w:left w:val="none" w:sz="0" w:space="0" w:color="auto"/>
        <w:bottom w:val="none" w:sz="0" w:space="0" w:color="auto"/>
        <w:right w:val="none" w:sz="0" w:space="0" w:color="auto"/>
      </w:divBdr>
    </w:div>
    <w:div w:id="454492704">
      <w:bodyDiv w:val="1"/>
      <w:marLeft w:val="0"/>
      <w:marRight w:val="0"/>
      <w:marTop w:val="0"/>
      <w:marBottom w:val="0"/>
      <w:divBdr>
        <w:top w:val="none" w:sz="0" w:space="0" w:color="auto"/>
        <w:left w:val="none" w:sz="0" w:space="0" w:color="auto"/>
        <w:bottom w:val="none" w:sz="0" w:space="0" w:color="auto"/>
        <w:right w:val="none" w:sz="0" w:space="0" w:color="auto"/>
      </w:divBdr>
    </w:div>
    <w:div w:id="550390069">
      <w:bodyDiv w:val="1"/>
      <w:marLeft w:val="0"/>
      <w:marRight w:val="0"/>
      <w:marTop w:val="0"/>
      <w:marBottom w:val="0"/>
      <w:divBdr>
        <w:top w:val="none" w:sz="0" w:space="0" w:color="auto"/>
        <w:left w:val="none" w:sz="0" w:space="0" w:color="auto"/>
        <w:bottom w:val="none" w:sz="0" w:space="0" w:color="auto"/>
        <w:right w:val="none" w:sz="0" w:space="0" w:color="auto"/>
      </w:divBdr>
    </w:div>
    <w:div w:id="571041941">
      <w:bodyDiv w:val="1"/>
      <w:marLeft w:val="0"/>
      <w:marRight w:val="0"/>
      <w:marTop w:val="0"/>
      <w:marBottom w:val="0"/>
      <w:divBdr>
        <w:top w:val="none" w:sz="0" w:space="0" w:color="auto"/>
        <w:left w:val="none" w:sz="0" w:space="0" w:color="auto"/>
        <w:bottom w:val="none" w:sz="0" w:space="0" w:color="auto"/>
        <w:right w:val="none" w:sz="0" w:space="0" w:color="auto"/>
      </w:divBdr>
    </w:div>
    <w:div w:id="709450502">
      <w:bodyDiv w:val="1"/>
      <w:marLeft w:val="0"/>
      <w:marRight w:val="0"/>
      <w:marTop w:val="0"/>
      <w:marBottom w:val="0"/>
      <w:divBdr>
        <w:top w:val="none" w:sz="0" w:space="0" w:color="auto"/>
        <w:left w:val="none" w:sz="0" w:space="0" w:color="auto"/>
        <w:bottom w:val="none" w:sz="0" w:space="0" w:color="auto"/>
        <w:right w:val="none" w:sz="0" w:space="0" w:color="auto"/>
      </w:divBdr>
    </w:div>
    <w:div w:id="831331165">
      <w:bodyDiv w:val="1"/>
      <w:marLeft w:val="0"/>
      <w:marRight w:val="0"/>
      <w:marTop w:val="0"/>
      <w:marBottom w:val="0"/>
      <w:divBdr>
        <w:top w:val="none" w:sz="0" w:space="0" w:color="auto"/>
        <w:left w:val="none" w:sz="0" w:space="0" w:color="auto"/>
        <w:bottom w:val="none" w:sz="0" w:space="0" w:color="auto"/>
        <w:right w:val="none" w:sz="0" w:space="0" w:color="auto"/>
      </w:divBdr>
    </w:div>
    <w:div w:id="934174217">
      <w:bodyDiv w:val="1"/>
      <w:marLeft w:val="0"/>
      <w:marRight w:val="0"/>
      <w:marTop w:val="0"/>
      <w:marBottom w:val="0"/>
      <w:divBdr>
        <w:top w:val="none" w:sz="0" w:space="0" w:color="auto"/>
        <w:left w:val="none" w:sz="0" w:space="0" w:color="auto"/>
        <w:bottom w:val="none" w:sz="0" w:space="0" w:color="auto"/>
        <w:right w:val="none" w:sz="0" w:space="0" w:color="auto"/>
      </w:divBdr>
    </w:div>
    <w:div w:id="938178191">
      <w:bodyDiv w:val="1"/>
      <w:marLeft w:val="0"/>
      <w:marRight w:val="0"/>
      <w:marTop w:val="0"/>
      <w:marBottom w:val="0"/>
      <w:divBdr>
        <w:top w:val="none" w:sz="0" w:space="0" w:color="auto"/>
        <w:left w:val="none" w:sz="0" w:space="0" w:color="auto"/>
        <w:bottom w:val="none" w:sz="0" w:space="0" w:color="auto"/>
        <w:right w:val="none" w:sz="0" w:space="0" w:color="auto"/>
      </w:divBdr>
    </w:div>
    <w:div w:id="938874514">
      <w:bodyDiv w:val="1"/>
      <w:marLeft w:val="0"/>
      <w:marRight w:val="0"/>
      <w:marTop w:val="0"/>
      <w:marBottom w:val="0"/>
      <w:divBdr>
        <w:top w:val="none" w:sz="0" w:space="0" w:color="auto"/>
        <w:left w:val="none" w:sz="0" w:space="0" w:color="auto"/>
        <w:bottom w:val="none" w:sz="0" w:space="0" w:color="auto"/>
        <w:right w:val="none" w:sz="0" w:space="0" w:color="auto"/>
      </w:divBdr>
    </w:div>
    <w:div w:id="968973107">
      <w:bodyDiv w:val="1"/>
      <w:marLeft w:val="0"/>
      <w:marRight w:val="0"/>
      <w:marTop w:val="0"/>
      <w:marBottom w:val="0"/>
      <w:divBdr>
        <w:top w:val="none" w:sz="0" w:space="0" w:color="auto"/>
        <w:left w:val="none" w:sz="0" w:space="0" w:color="auto"/>
        <w:bottom w:val="none" w:sz="0" w:space="0" w:color="auto"/>
        <w:right w:val="none" w:sz="0" w:space="0" w:color="auto"/>
      </w:divBdr>
    </w:div>
    <w:div w:id="989091537">
      <w:bodyDiv w:val="1"/>
      <w:marLeft w:val="0"/>
      <w:marRight w:val="0"/>
      <w:marTop w:val="0"/>
      <w:marBottom w:val="0"/>
      <w:divBdr>
        <w:top w:val="none" w:sz="0" w:space="0" w:color="auto"/>
        <w:left w:val="none" w:sz="0" w:space="0" w:color="auto"/>
        <w:bottom w:val="none" w:sz="0" w:space="0" w:color="auto"/>
        <w:right w:val="none" w:sz="0" w:space="0" w:color="auto"/>
      </w:divBdr>
    </w:div>
    <w:div w:id="994727555">
      <w:bodyDiv w:val="1"/>
      <w:marLeft w:val="0"/>
      <w:marRight w:val="0"/>
      <w:marTop w:val="0"/>
      <w:marBottom w:val="0"/>
      <w:divBdr>
        <w:top w:val="none" w:sz="0" w:space="0" w:color="auto"/>
        <w:left w:val="none" w:sz="0" w:space="0" w:color="auto"/>
        <w:bottom w:val="none" w:sz="0" w:space="0" w:color="auto"/>
        <w:right w:val="none" w:sz="0" w:space="0" w:color="auto"/>
      </w:divBdr>
    </w:div>
    <w:div w:id="1191384109">
      <w:bodyDiv w:val="1"/>
      <w:marLeft w:val="0"/>
      <w:marRight w:val="0"/>
      <w:marTop w:val="0"/>
      <w:marBottom w:val="0"/>
      <w:divBdr>
        <w:top w:val="none" w:sz="0" w:space="0" w:color="auto"/>
        <w:left w:val="none" w:sz="0" w:space="0" w:color="auto"/>
        <w:bottom w:val="none" w:sz="0" w:space="0" w:color="auto"/>
        <w:right w:val="none" w:sz="0" w:space="0" w:color="auto"/>
      </w:divBdr>
    </w:div>
    <w:div w:id="1236932872">
      <w:bodyDiv w:val="1"/>
      <w:marLeft w:val="0"/>
      <w:marRight w:val="0"/>
      <w:marTop w:val="0"/>
      <w:marBottom w:val="0"/>
      <w:divBdr>
        <w:top w:val="none" w:sz="0" w:space="0" w:color="auto"/>
        <w:left w:val="none" w:sz="0" w:space="0" w:color="auto"/>
        <w:bottom w:val="none" w:sz="0" w:space="0" w:color="auto"/>
        <w:right w:val="none" w:sz="0" w:space="0" w:color="auto"/>
      </w:divBdr>
    </w:div>
    <w:div w:id="1354067475">
      <w:bodyDiv w:val="1"/>
      <w:marLeft w:val="0"/>
      <w:marRight w:val="0"/>
      <w:marTop w:val="0"/>
      <w:marBottom w:val="0"/>
      <w:divBdr>
        <w:top w:val="none" w:sz="0" w:space="0" w:color="auto"/>
        <w:left w:val="none" w:sz="0" w:space="0" w:color="auto"/>
        <w:bottom w:val="none" w:sz="0" w:space="0" w:color="auto"/>
        <w:right w:val="none" w:sz="0" w:space="0" w:color="auto"/>
      </w:divBdr>
    </w:div>
    <w:div w:id="1356030536">
      <w:bodyDiv w:val="1"/>
      <w:marLeft w:val="0"/>
      <w:marRight w:val="0"/>
      <w:marTop w:val="0"/>
      <w:marBottom w:val="0"/>
      <w:divBdr>
        <w:top w:val="none" w:sz="0" w:space="0" w:color="auto"/>
        <w:left w:val="none" w:sz="0" w:space="0" w:color="auto"/>
        <w:bottom w:val="none" w:sz="0" w:space="0" w:color="auto"/>
        <w:right w:val="none" w:sz="0" w:space="0" w:color="auto"/>
      </w:divBdr>
    </w:div>
    <w:div w:id="1387801867">
      <w:bodyDiv w:val="1"/>
      <w:marLeft w:val="0"/>
      <w:marRight w:val="0"/>
      <w:marTop w:val="0"/>
      <w:marBottom w:val="0"/>
      <w:divBdr>
        <w:top w:val="none" w:sz="0" w:space="0" w:color="auto"/>
        <w:left w:val="none" w:sz="0" w:space="0" w:color="auto"/>
        <w:bottom w:val="none" w:sz="0" w:space="0" w:color="auto"/>
        <w:right w:val="none" w:sz="0" w:space="0" w:color="auto"/>
      </w:divBdr>
    </w:div>
    <w:div w:id="1404644703">
      <w:bodyDiv w:val="1"/>
      <w:marLeft w:val="0"/>
      <w:marRight w:val="0"/>
      <w:marTop w:val="0"/>
      <w:marBottom w:val="0"/>
      <w:divBdr>
        <w:top w:val="none" w:sz="0" w:space="0" w:color="auto"/>
        <w:left w:val="none" w:sz="0" w:space="0" w:color="auto"/>
        <w:bottom w:val="none" w:sz="0" w:space="0" w:color="auto"/>
        <w:right w:val="none" w:sz="0" w:space="0" w:color="auto"/>
      </w:divBdr>
    </w:div>
    <w:div w:id="1422992121">
      <w:bodyDiv w:val="1"/>
      <w:marLeft w:val="0"/>
      <w:marRight w:val="0"/>
      <w:marTop w:val="0"/>
      <w:marBottom w:val="0"/>
      <w:divBdr>
        <w:top w:val="none" w:sz="0" w:space="0" w:color="auto"/>
        <w:left w:val="none" w:sz="0" w:space="0" w:color="auto"/>
        <w:bottom w:val="none" w:sz="0" w:space="0" w:color="auto"/>
        <w:right w:val="none" w:sz="0" w:space="0" w:color="auto"/>
      </w:divBdr>
    </w:div>
    <w:div w:id="1471939339">
      <w:bodyDiv w:val="1"/>
      <w:marLeft w:val="0"/>
      <w:marRight w:val="0"/>
      <w:marTop w:val="0"/>
      <w:marBottom w:val="0"/>
      <w:divBdr>
        <w:top w:val="none" w:sz="0" w:space="0" w:color="auto"/>
        <w:left w:val="none" w:sz="0" w:space="0" w:color="auto"/>
        <w:bottom w:val="none" w:sz="0" w:space="0" w:color="auto"/>
        <w:right w:val="none" w:sz="0" w:space="0" w:color="auto"/>
      </w:divBdr>
    </w:div>
    <w:div w:id="1533760215">
      <w:bodyDiv w:val="1"/>
      <w:marLeft w:val="0"/>
      <w:marRight w:val="0"/>
      <w:marTop w:val="0"/>
      <w:marBottom w:val="0"/>
      <w:divBdr>
        <w:top w:val="none" w:sz="0" w:space="0" w:color="auto"/>
        <w:left w:val="none" w:sz="0" w:space="0" w:color="auto"/>
        <w:bottom w:val="none" w:sz="0" w:space="0" w:color="auto"/>
        <w:right w:val="none" w:sz="0" w:space="0" w:color="auto"/>
      </w:divBdr>
    </w:div>
    <w:div w:id="1616329556">
      <w:bodyDiv w:val="1"/>
      <w:marLeft w:val="0"/>
      <w:marRight w:val="0"/>
      <w:marTop w:val="0"/>
      <w:marBottom w:val="0"/>
      <w:divBdr>
        <w:top w:val="none" w:sz="0" w:space="0" w:color="auto"/>
        <w:left w:val="none" w:sz="0" w:space="0" w:color="auto"/>
        <w:bottom w:val="none" w:sz="0" w:space="0" w:color="auto"/>
        <w:right w:val="none" w:sz="0" w:space="0" w:color="auto"/>
      </w:divBdr>
    </w:div>
    <w:div w:id="1656689220">
      <w:bodyDiv w:val="1"/>
      <w:marLeft w:val="0"/>
      <w:marRight w:val="0"/>
      <w:marTop w:val="0"/>
      <w:marBottom w:val="0"/>
      <w:divBdr>
        <w:top w:val="none" w:sz="0" w:space="0" w:color="auto"/>
        <w:left w:val="none" w:sz="0" w:space="0" w:color="auto"/>
        <w:bottom w:val="none" w:sz="0" w:space="0" w:color="auto"/>
        <w:right w:val="none" w:sz="0" w:space="0" w:color="auto"/>
      </w:divBdr>
    </w:div>
    <w:div w:id="1764960410">
      <w:bodyDiv w:val="1"/>
      <w:marLeft w:val="0"/>
      <w:marRight w:val="0"/>
      <w:marTop w:val="0"/>
      <w:marBottom w:val="0"/>
      <w:divBdr>
        <w:top w:val="none" w:sz="0" w:space="0" w:color="auto"/>
        <w:left w:val="none" w:sz="0" w:space="0" w:color="auto"/>
        <w:bottom w:val="none" w:sz="0" w:space="0" w:color="auto"/>
        <w:right w:val="none" w:sz="0" w:space="0" w:color="auto"/>
      </w:divBdr>
    </w:div>
    <w:div w:id="1769889473">
      <w:bodyDiv w:val="1"/>
      <w:marLeft w:val="0"/>
      <w:marRight w:val="0"/>
      <w:marTop w:val="0"/>
      <w:marBottom w:val="0"/>
      <w:divBdr>
        <w:top w:val="none" w:sz="0" w:space="0" w:color="auto"/>
        <w:left w:val="none" w:sz="0" w:space="0" w:color="auto"/>
        <w:bottom w:val="none" w:sz="0" w:space="0" w:color="auto"/>
        <w:right w:val="none" w:sz="0" w:space="0" w:color="auto"/>
      </w:divBdr>
    </w:div>
    <w:div w:id="1770153007">
      <w:bodyDiv w:val="1"/>
      <w:marLeft w:val="0"/>
      <w:marRight w:val="0"/>
      <w:marTop w:val="0"/>
      <w:marBottom w:val="0"/>
      <w:divBdr>
        <w:top w:val="none" w:sz="0" w:space="0" w:color="auto"/>
        <w:left w:val="none" w:sz="0" w:space="0" w:color="auto"/>
        <w:bottom w:val="none" w:sz="0" w:space="0" w:color="auto"/>
        <w:right w:val="none" w:sz="0" w:space="0" w:color="auto"/>
      </w:divBdr>
    </w:div>
    <w:div w:id="1786071882">
      <w:bodyDiv w:val="1"/>
      <w:marLeft w:val="0"/>
      <w:marRight w:val="0"/>
      <w:marTop w:val="0"/>
      <w:marBottom w:val="0"/>
      <w:divBdr>
        <w:top w:val="none" w:sz="0" w:space="0" w:color="auto"/>
        <w:left w:val="none" w:sz="0" w:space="0" w:color="auto"/>
        <w:bottom w:val="none" w:sz="0" w:space="0" w:color="auto"/>
        <w:right w:val="none" w:sz="0" w:space="0" w:color="auto"/>
      </w:divBdr>
    </w:div>
    <w:div w:id="1791044542">
      <w:bodyDiv w:val="1"/>
      <w:marLeft w:val="0"/>
      <w:marRight w:val="0"/>
      <w:marTop w:val="0"/>
      <w:marBottom w:val="0"/>
      <w:divBdr>
        <w:top w:val="none" w:sz="0" w:space="0" w:color="auto"/>
        <w:left w:val="none" w:sz="0" w:space="0" w:color="auto"/>
        <w:bottom w:val="none" w:sz="0" w:space="0" w:color="auto"/>
        <w:right w:val="none" w:sz="0" w:space="0" w:color="auto"/>
      </w:divBdr>
    </w:div>
    <w:div w:id="1863351501">
      <w:bodyDiv w:val="1"/>
      <w:marLeft w:val="0"/>
      <w:marRight w:val="0"/>
      <w:marTop w:val="0"/>
      <w:marBottom w:val="0"/>
      <w:divBdr>
        <w:top w:val="none" w:sz="0" w:space="0" w:color="auto"/>
        <w:left w:val="none" w:sz="0" w:space="0" w:color="auto"/>
        <w:bottom w:val="none" w:sz="0" w:space="0" w:color="auto"/>
        <w:right w:val="none" w:sz="0" w:space="0" w:color="auto"/>
      </w:divBdr>
    </w:div>
    <w:div w:id="1872499878">
      <w:bodyDiv w:val="1"/>
      <w:marLeft w:val="0"/>
      <w:marRight w:val="0"/>
      <w:marTop w:val="0"/>
      <w:marBottom w:val="0"/>
      <w:divBdr>
        <w:top w:val="none" w:sz="0" w:space="0" w:color="auto"/>
        <w:left w:val="none" w:sz="0" w:space="0" w:color="auto"/>
        <w:bottom w:val="none" w:sz="0" w:space="0" w:color="auto"/>
        <w:right w:val="none" w:sz="0" w:space="0" w:color="auto"/>
      </w:divBdr>
    </w:div>
    <w:div w:id="1884097522">
      <w:bodyDiv w:val="1"/>
      <w:marLeft w:val="0"/>
      <w:marRight w:val="0"/>
      <w:marTop w:val="0"/>
      <w:marBottom w:val="0"/>
      <w:divBdr>
        <w:top w:val="none" w:sz="0" w:space="0" w:color="auto"/>
        <w:left w:val="none" w:sz="0" w:space="0" w:color="auto"/>
        <w:bottom w:val="none" w:sz="0" w:space="0" w:color="auto"/>
        <w:right w:val="none" w:sz="0" w:space="0" w:color="auto"/>
      </w:divBdr>
    </w:div>
    <w:div w:id="1919171024">
      <w:bodyDiv w:val="1"/>
      <w:marLeft w:val="0"/>
      <w:marRight w:val="0"/>
      <w:marTop w:val="0"/>
      <w:marBottom w:val="0"/>
      <w:divBdr>
        <w:top w:val="none" w:sz="0" w:space="0" w:color="auto"/>
        <w:left w:val="none" w:sz="0" w:space="0" w:color="auto"/>
        <w:bottom w:val="none" w:sz="0" w:space="0" w:color="auto"/>
        <w:right w:val="none" w:sz="0" w:space="0" w:color="auto"/>
      </w:divBdr>
    </w:div>
    <w:div w:id="1928880739">
      <w:bodyDiv w:val="1"/>
      <w:marLeft w:val="0"/>
      <w:marRight w:val="0"/>
      <w:marTop w:val="0"/>
      <w:marBottom w:val="0"/>
      <w:divBdr>
        <w:top w:val="none" w:sz="0" w:space="0" w:color="auto"/>
        <w:left w:val="none" w:sz="0" w:space="0" w:color="auto"/>
        <w:bottom w:val="none" w:sz="0" w:space="0" w:color="auto"/>
        <w:right w:val="none" w:sz="0" w:space="0" w:color="auto"/>
      </w:divBdr>
    </w:div>
    <w:div w:id="21088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yemoelizabeth90@gmail.com" TargetMode="External"/><Relationship Id="rId13" Type="http://schemas.openxmlformats.org/officeDocument/2006/relationships/hyperlink" Target="https://orcid.org/0000-0003-3447-804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olagunju@futa.edu.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447-8048" TargetMode="External"/><Relationship Id="rId5" Type="http://schemas.openxmlformats.org/officeDocument/2006/relationships/webSettings" Target="webSettings.xml"/><Relationship Id="rId15" Type="http://schemas.openxmlformats.org/officeDocument/2006/relationships/hyperlink" Target="https://orcid.org/0000-0003-3447-8048" TargetMode="External"/><Relationship Id="rId10" Type="http://schemas.openxmlformats.org/officeDocument/2006/relationships/hyperlink" Target="mailto:osomoba@futa.edu.ng" TargetMode="External"/><Relationship Id="rId4" Type="http://schemas.openxmlformats.org/officeDocument/2006/relationships/settings" Target="settings.xml"/><Relationship Id="rId9" Type="http://schemas.openxmlformats.org/officeDocument/2006/relationships/hyperlink" Target="https://orcid.org/0000-0003-3447-8048" TargetMode="External"/><Relationship Id="rId14" Type="http://schemas.openxmlformats.org/officeDocument/2006/relationships/hyperlink" Target="mailto:ssjosiah@futa.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77B03F3-C76B-4FE1-B41B-12F73D58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16950</TotalTime>
  <Pages>13</Pages>
  <Words>8634</Words>
  <Characters>49216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olayimika olaoye</dc:creator>
  <cp:lastModifiedBy>Josiah, Sunday Solomon</cp:lastModifiedBy>
  <cp:revision>445</cp:revision>
  <dcterms:created xsi:type="dcterms:W3CDTF">2021-02-17T16:34:00Z</dcterms:created>
  <dcterms:modified xsi:type="dcterms:W3CDTF">2024-02-22T17:53:00Z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id="7hRgUYiP"/&gt;&lt;style id="http://www.zotero.org/styles/plant-foods-for-human-nutrition" hasBibliography="1" bibliographyStyleHasBeenSet="1"/&gt;&lt;prefs&gt;&lt;pref name="fieldType" value="Field"/&gt;&lt;/prefs&gt;&lt;/dat</vt:lpwstr>
  </property>
  <property fmtid="{D5CDD505-2E9C-101B-9397-08002B2CF9AE}" pid="3" name="ZOTERO_PREF_2">
    <vt:lpwstr>a&gt;</vt:lpwstr>
  </property>
</Properties>
</file>