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634D" w:rsidRPr="00A761DF" w:rsidRDefault="00A25B90" w:rsidP="005D634D">
      <w:pPr>
        <w:rPr>
          <w:rFonts w:asciiTheme="minorHAnsi" w:hAnsiTheme="minorHAnsi" w:cstheme="minorHAnsi"/>
        </w:rPr>
      </w:pPr>
      <w:r w:rsidRPr="00A761DF">
        <w:rPr>
          <w:rFonts w:asciiTheme="minorHAnsi" w:hAnsiTheme="minorHAnsi" w:cstheme="minorHAnsi"/>
        </w:rPr>
        <w:t>Additional file 4</w:t>
      </w:r>
      <w:r w:rsidR="00A761DF" w:rsidRPr="00A761DF">
        <w:rPr>
          <w:rFonts w:asciiTheme="minorHAnsi" w:hAnsiTheme="minorHAnsi" w:cstheme="minorHAnsi"/>
        </w:rPr>
        <w:t xml:space="preserve"> (Table)</w:t>
      </w:r>
      <w:r w:rsidR="005D634D" w:rsidRPr="00A761DF">
        <w:rPr>
          <w:rFonts w:asciiTheme="minorHAnsi" w:hAnsiTheme="minorHAnsi" w:cstheme="minorHAnsi"/>
        </w:rPr>
        <w:t xml:space="preserve">: Analysis of models of </w:t>
      </w:r>
      <w:r w:rsidR="00C46B7E">
        <w:rPr>
          <w:rFonts w:asciiTheme="minorHAnsi" w:hAnsiTheme="minorHAnsi" w:cstheme="minorHAnsi"/>
        </w:rPr>
        <w:t xml:space="preserve">vaccine </w:t>
      </w:r>
      <w:bookmarkStart w:id="0" w:name="_GoBack"/>
      <w:bookmarkEnd w:id="0"/>
      <w:r w:rsidR="005D634D" w:rsidRPr="00A761DF">
        <w:rPr>
          <w:rFonts w:asciiTheme="minorHAnsi" w:hAnsiTheme="minorHAnsi" w:cstheme="minorHAnsi"/>
        </w:rPr>
        <w:t>delivery</w:t>
      </w:r>
      <w:r w:rsidR="00C46B7E">
        <w:rPr>
          <w:rFonts w:asciiTheme="minorHAnsi" w:hAnsiTheme="minorHAnsi" w:cstheme="minorHAnsi"/>
        </w:rPr>
        <w:t xml:space="preserve"> </w:t>
      </w:r>
      <w:r w:rsidR="005D634D" w:rsidRPr="00A761DF">
        <w:rPr>
          <w:rFonts w:asciiTheme="minorHAnsi" w:hAnsiTheme="minorHAnsi" w:cstheme="minorHAnsi"/>
        </w:rPr>
        <w:t xml:space="preserve">(n=33) according to the WHO (2022) priority action areas.   </w:t>
      </w:r>
    </w:p>
    <w:tbl>
      <w:tblPr>
        <w:tblW w:w="13260" w:type="dxa"/>
        <w:tblInd w:w="-107" w:type="dxa"/>
        <w:tblBorders>
          <w:top w:val="nil"/>
          <w:left w:val="nil"/>
          <w:bottom w:val="nil"/>
          <w:right w:val="nil"/>
          <w:insideH w:val="nil"/>
          <w:insideV w:val="nil"/>
        </w:tblBorders>
        <w:tblLayout w:type="fixed"/>
        <w:tblLook w:val="0600" w:firstRow="0" w:lastRow="0" w:firstColumn="0" w:lastColumn="0" w:noHBand="1" w:noVBand="1"/>
      </w:tblPr>
      <w:tblGrid>
        <w:gridCol w:w="759"/>
        <w:gridCol w:w="1500"/>
        <w:gridCol w:w="1530"/>
        <w:gridCol w:w="1530"/>
        <w:gridCol w:w="1530"/>
        <w:gridCol w:w="1530"/>
        <w:gridCol w:w="1620"/>
        <w:gridCol w:w="1710"/>
        <w:gridCol w:w="1551"/>
      </w:tblGrid>
      <w:tr w:rsidR="00A25B90" w:rsidRPr="00A761DF" w:rsidTr="005964B4">
        <w:trPr>
          <w:trHeight w:val="1200"/>
        </w:trPr>
        <w:tc>
          <w:tcPr>
            <w:tcW w:w="759" w:type="dxa"/>
            <w:tcBorders>
              <w:top w:val="single" w:sz="6" w:space="0" w:color="000000"/>
              <w:left w:val="single" w:sz="6" w:space="0" w:color="000000"/>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Author</w:t>
            </w:r>
          </w:p>
        </w:tc>
        <w:tc>
          <w:tcPr>
            <w:tcW w:w="150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Be driven by data</w:t>
            </w:r>
          </w:p>
        </w:tc>
        <w:tc>
          <w:tcPr>
            <w:tcW w:w="153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Coordinate, plan and implement</w:t>
            </w:r>
          </w:p>
        </w:tc>
        <w:tc>
          <w:tcPr>
            <w:tcW w:w="153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Address key barriers to health and vaccination systems</w:t>
            </w:r>
          </w:p>
        </w:tc>
        <w:tc>
          <w:tcPr>
            <w:tcW w:w="153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Ensure effective</w:t>
            </w:r>
          </w:p>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communication</w:t>
            </w:r>
          </w:p>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and build trust</w:t>
            </w:r>
          </w:p>
        </w:tc>
        <w:tc>
          <w:tcPr>
            <w:tcW w:w="153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Monitor and</w:t>
            </w:r>
          </w:p>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respond to social</w:t>
            </w:r>
          </w:p>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media</w:t>
            </w:r>
          </w:p>
        </w:tc>
        <w:tc>
          <w:tcPr>
            <w:tcW w:w="162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Ensure effective</w:t>
            </w:r>
          </w:p>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community</w:t>
            </w:r>
          </w:p>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engagement</w:t>
            </w:r>
          </w:p>
        </w:tc>
        <w:tc>
          <w:tcPr>
            <w:tcW w:w="1710"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Reinforce capacity</w:t>
            </w:r>
          </w:p>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and local solutions</w:t>
            </w:r>
          </w:p>
        </w:tc>
        <w:tc>
          <w:tcPr>
            <w:tcW w:w="1551" w:type="dxa"/>
            <w:tcBorders>
              <w:top w:val="single" w:sz="6" w:space="0" w:color="000000"/>
              <w:left w:val="single" w:sz="6" w:space="0" w:color="CCCCCC"/>
              <w:bottom w:val="single" w:sz="6" w:space="0" w:color="000000"/>
              <w:right w:val="single" w:sz="6" w:space="0" w:color="000000"/>
            </w:tcBorders>
            <w:shd w:val="clear" w:color="auto" w:fill="CCCCCC"/>
            <w:tcMar>
              <w:top w:w="40" w:type="dxa"/>
              <w:left w:w="40" w:type="dxa"/>
              <w:bottom w:w="40" w:type="dxa"/>
              <w:right w:w="40" w:type="dxa"/>
            </w:tcMar>
            <w:vAlign w:val="bottom"/>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Monitor, learn and</w:t>
            </w:r>
          </w:p>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b/>
                <w:sz w:val="16"/>
                <w:szCs w:val="16"/>
              </w:rPr>
              <w:t>evaluate</w:t>
            </w:r>
          </w:p>
        </w:tc>
      </w:tr>
      <w:tr w:rsidR="00A25B90" w:rsidRPr="00A761DF" w:rsidTr="005964B4">
        <w:trPr>
          <w:trHeight w:val="313"/>
        </w:trPr>
        <w:tc>
          <w:tcPr>
            <w:tcW w:w="13260" w:type="dxa"/>
            <w:gridSpan w:val="9"/>
            <w:tcBorders>
              <w:top w:val="single" w:sz="6" w:space="0" w:color="CCCCCC"/>
              <w:left w:val="single" w:sz="6" w:space="0" w:color="000000"/>
              <w:bottom w:val="single" w:sz="6" w:space="0" w:color="000000"/>
              <w:right w:val="single" w:sz="6" w:space="0" w:color="000000"/>
            </w:tcBorders>
            <w:shd w:val="clear" w:color="auto" w:fill="F3F3F3"/>
            <w:tcMar>
              <w:top w:w="40" w:type="dxa"/>
              <w:left w:w="40" w:type="dxa"/>
              <w:bottom w:w="40" w:type="dxa"/>
              <w:right w:w="40" w:type="dxa"/>
            </w:tcMar>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COVID-19 Vaccine</w:t>
            </w:r>
          </w:p>
        </w:tc>
      </w:tr>
      <w:tr w:rsidR="00A25B90" w:rsidRPr="00A761DF" w:rsidTr="005964B4">
        <w:trPr>
          <w:trHeight w:val="1997"/>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Alcendor</w:t>
            </w:r>
            <w:proofErr w:type="spellEnd"/>
            <w:r w:rsidRPr="00A761DF">
              <w:rPr>
                <w:rFonts w:asciiTheme="minorHAnsi" w:hAnsiTheme="minorHAnsi" w:cstheme="minorHAnsi"/>
                <w:sz w:val="14"/>
                <w:szCs w:val="14"/>
              </w:rPr>
              <w:t xml:space="preserve"> et al., 2022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{"citationID":"K6gMeAJc","properties":{"formattedCitation":"(25)","plainCitation":"(25)","noteIndex":0},"citationItems":[{"id":267,"uris":["http://zotero.org/groups/4911489/items/K2WUQ2DY"],"itemData":{"id":267,"type":"article-journal","abstract":"To end or curtail the COVID-19 pandemic, it is essential to incorporate mobile vaccination programs into the national vaccination strategy. Mobile COVID-19 vaccination programs play an important role in providing comprehensive vaccination from federally qualified institutions to underserved communities facing a higher risk for COVID-19 acquisition. The Meharry Medical College COVID-19 mobile vaccine program (MMC-MVP) has provided lifesaving COVID-19 vaccines, free of charge, to communities throughout Middle Tennessee. Mobile deployment is vital for those forced to travel long distances to get vaccinated and who have limited access to medical providers or vaccine clinics, lack access to public transportation, or may be homebound. The MMC-MVP, established on 13 April 2021, via funding from the Bloomberg Foundation, is sourced with infectious disease experts, nurse practitioners, and community engagement personnel to provide COVID-19 vaccinations and information in a culturally competent manner to diverse communities in Middle Tennessee. To provide broader access to COVID-19 vaccinations and vaccine-related information, the MMC-MVP partnered with the Tennessee Community Engagement Alliance, Vanderbilt University School of Nursing COVID-19 vaccine strike teams, non-academic, community-based organizations, and faith-based organizations. During the September 2021 COVID-19 surge in Tennessee, the MMC-MVP provided nearly 5000 free COVID-19 vaccinations to targeted, underserved communities. The MMC-MVP has provided vaccine equity in communities with the highest risk for acquiring COVID-19 and with greatest need in this pandemic.","container-title":"Vaccines","DOI":"10.3390/vaccines10020211","ISSN":"2076-393X","issue":"2","journalAbbreviation":"Vaccines (Basel)","language":"eng","note":"PMID: 35214670\nPMCID: PMC8878662","page":"211","source":"PubMed","title":"Meharry Medical College Mobile Vaccination Program: Implications for Increasing COVID-19 Vaccine Uptake among Minority Communities in Middle Tennessee","title-short":"Meharry Medical College Mobile Vaccination Program","volume":"10","author":[{"family":"Alcendor","given":"Donald J."},{"family":"Juarez","given":"Paul D."},{"family":"Matthews-Juarez","given":"Patricia"},{"family":"Simon","given":"Sheena"},{"family":"Nash","given":"Catherine"},{"family":"Lewis","given":"Kirollos"},{"family":"Smoot","given":"Duane"}],"issued":{"date-parts":[["2022",1,29]]}}}],"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(25)</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(targeting zip codes with low vaccination rates)</w:t>
            </w: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(partnered with community, university, vaccine strike teams, community-based organizations, faith organizations, disease/health experts, community engagement personnel)</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(mobile vaccine distribution to urban/rural underserved communities in nontraditional settings)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(on-site translators, bilingual medical staff, multilingual flyers, infographic, Facebook Live sessions; vaccine education)</w:t>
            </w:r>
          </w:p>
          <w:p w:rsidR="00A25B90" w:rsidRPr="00A761DF" w:rsidRDefault="00A25B90" w:rsidP="005964B4">
            <w:pPr>
              <w:widowControl w:val="0"/>
              <w:rPr>
                <w:rFonts w:asciiTheme="minorHAnsi" w:hAnsiTheme="minorHAnsi" w:cstheme="minorHAnsi"/>
                <w:sz w:val="14"/>
                <w:szCs w:val="14"/>
              </w:rPr>
            </w:pP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(Facebook Live sessions)</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(partnered with ethnic/immigrant community-based organizations, faith-based organizations, to support appropriate cultural context; support by community engagement personnel/community engagement alliance)</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(partnered with local school of nursing, COVID-19 vaccine strike teams; supported by disease experts)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(monitoring vaccination coverage and local trends)</w:t>
            </w:r>
          </w:p>
        </w:tc>
      </w:tr>
      <w:tr w:rsidR="00A25B90" w:rsidRPr="00A761DF" w:rsidTr="005964B4">
        <w:trPr>
          <w:trHeight w:val="1466"/>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Bentivegna</w:t>
            </w:r>
            <w:proofErr w:type="spellEnd"/>
            <w:r w:rsidRPr="00A761DF">
              <w:rPr>
                <w:rFonts w:asciiTheme="minorHAnsi" w:hAnsiTheme="minorHAnsi" w:cstheme="minorHAnsi"/>
                <w:sz w:val="14"/>
                <w:szCs w:val="14"/>
              </w:rPr>
              <w:t xml:space="preserve"> et al., 2022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{"citationID":"B9lfEVAd","properties":{"formattedCitation":"(33)","plainCitation":"(33)","noteIndex":0},"citationItems":[{"id":304,"uris":["http://zotero.org/groups/4911489/items/3LEIPA2S"],"itemData":{"id":304,"type":"article-journal","abstract":"With the advent of vaccines, the world has a chance to see a real end to the COVID-19 pandemic. To make this possible, however, it is necessary that all groups of people are considered. Contexts of informal settlements and populations such as the homeless and migrants are often forgotten by vaccination campaigns. In this study, carried out as a result of a collaboration with MEDU, a non-profit association aimed at bringing healthcare to vulnerable populations, we provide important data related to the vaccination campaign carried out in the informal settlements of Rome. The objectives of this work are to (1) evaluate vaccination coverage in these contexts, (2) assess the gap with the vaccination coverage of the Italian population and try to hypothesize the causes, and (3) provide recommendations for how humanitarian associations can respond to reduce this gap. We observed important differences in vaccination coverage depending on the type of settlement. The percentage of vaccinated people in these contexts at the beginning of October range between 14.4% and 55.5%, underlining an important gap with the vaccination rate of Italy's population, which is close to 80%. The data also show that particular attention must be paid to the transiting and irregular people as they are more at risk for a lack of access to vaccination. With this study, in which we provide recommendations that integrate MEDU's fieldwork experience with the advice of the Framework report, we hope we can help those who work in similar contexts, to carry out a fair and effective vaccination campaign.","container-title":"International Journal of Environmental Research and Public Health","DOI":"10.3390/ijerph19020719","ISSN":"1660-4601","issue":"2","journalAbbreviation":"Int J Environ Res Public Health","language":"eng","note":"PMID: 35055541\nPMCID: PMC8776102","page":"719","source":"PubMed","title":"Access to COVID-19 Vaccination during the Pandemic in the Informal Settlements of Rome","volume":"19","author":[{"family":"Bentivegna","given":"Enrico"},{"family":"Di Meo","given":"Silvia"},{"family":"Carriero","given":"Anita"},{"family":"Capriotti","given":"Nadia"},{"family":"Barbieri","given":"Alberto"},{"family":"Martelletti","given":"Paolo"}],"issued":{"date-parts":[["2022",1,10]]}}}],"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(33)</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(vaccination coverage assessed; gap/barriers in the vaccination coverage identified; use of Framework for Equitable Allocation of COVID-19 Vaccine, National Academies)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(local committee consulted; long-standing collaborations with healthcare/social support services)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(barriers to vaccination assessed; free weekly health visits to each informal settlement)</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(‘information days’; information leaflets in informal settlements designed in collaboration with other support organizations and translated into 10 languages)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(local committee with most authoritative ﬁgures in settlement; inhabitants)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with</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a non-profit association aimed at bringing healthcare to vulnerable populations; long-standing collaborations with healthcare/social support services)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(weekly meetings to review daily experiences and assessments to optimize the campaign; vaccination coverage assessed)</w:t>
            </w:r>
          </w:p>
        </w:tc>
      </w:tr>
      <w:tr w:rsidR="00A25B90" w:rsidRPr="00A761DF" w:rsidTr="005964B4">
        <w:trPr>
          <w:trHeight w:val="39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Berrou</w:t>
            </w:r>
            <w:proofErr w:type="spellEnd"/>
            <w:r w:rsidRPr="00A761DF">
              <w:rPr>
                <w:rFonts w:asciiTheme="minorHAnsi" w:hAnsiTheme="minorHAnsi" w:cstheme="minorHAnsi"/>
                <w:sz w:val="14"/>
                <w:szCs w:val="14"/>
              </w:rPr>
              <w:t xml:space="preserve"> et al., 2022</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{"citationID":"NVWHepuz","properties":{"formattedCitation":"(36)","plainCitation":"(36)","noteIndex":0},"citationItems":[{"id":315,"uris":["http://zotero.org/groups/4911489/items/LIDKN9XN"],"itemData":{"id":315,"type":"article-journal","abstract":"The devastating impact of COVID-19 on individuals and communities has accelerated the development of vaccines and the deployment of ambitious vaccination programmes to reduce the risks of infection, infection transmission and symptom severity. However, many people delay or refuse to get vaccinated against COVID-19, for many complex reasons. Vaccination programmes that are tailored to address individual and communities' COVID-19 concerns can improve vaccine uptake rates and help achieve the required herd-immunity threshold. The Maximising Uptake Programme has led to the vaccination of 7979 people from February-August 2021 in the South West of England, UK, who are at high risk of severe illness from COVID-19 and/or may not access the COVID-19 vaccines through mass vaccination centres and general practices. These include: people experiencing homelessness; non-English-speaking people; people from minority ethnic groups; refugees and asylum seekers; Gypsy, Roma, Travelers and boat people; and those who are less able to access vaccination centres, such as people with learning difficulties, serious mental illness, drug and alcohol dependence, people with physical and sensory impairment, and people with dementia. Outreach work coupled with a targeted communication and engagement campaign, co-designed with community leaders and influencers, have led to significant engagement and COVID-19 vaccine uptake among the target populations.","container-title":"Vaccines","DOI":"10.3390/vaccines10060840","ISSN":"2076-393X","issue":"6","journalAbbreviation":"Vaccines (Basel)","language":"eng","note":"PMID: 35746447\nPMCID: PMC9227842","page":"840","source":"PubMed","title":"Leaving No One Behind: Interventions and Outcomes of the COVID-19 Vaccine Maximising Uptake Programme","title-short":"Leaving No One Behind","volume":"10","author":[{"family":"Berrou","given":"Ilhem"},{"family":"Hamilton","given":"Kathryn"},{"family":"Cook","given":"Clare"},{"family":"Armour","given":"Clare"},{"family":"Hughes","given":"Sian"},{"family":"Hancock","given":"Jude"},{"family":"Quigg","given":"Sally"},{"family":"Hajinur","given":"Huda"},{"family":"Srivastava","given":"Seema"},{"family":"Kenward","given":"Charlie"},{"family":"Ali","given":"Amjid"},{"family":"Hobbs","given":"Laura"},{"family":"Milani","given":"Elena"},{"family":"Walsh","given":"Nicola"}],"issued":{"date-parts":[["2022",5,25]]}}}],"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(36)</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(vaccination uptake levels from insights from local vaccination networks/community teams; target population numbers and vaccination status; before and after outreach surveys; online public engagement surveys)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(established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dedicated group within regional vaccination </w:t>
            </w:r>
            <w:proofErr w:type="spellStart"/>
            <w:r w:rsidRPr="00A761DF">
              <w:rPr>
                <w:rFonts w:asciiTheme="minorHAnsi" w:hAnsiTheme="minorHAnsi" w:cstheme="minorHAnsi"/>
                <w:sz w:val="14"/>
                <w:szCs w:val="14"/>
              </w:rPr>
              <w:t>programme</w:t>
            </w:r>
            <w:proofErr w:type="spellEnd"/>
            <w:r w:rsidRPr="00A761DF">
              <w:rPr>
                <w:rFonts w:asciiTheme="minorHAnsi" w:hAnsiTheme="minorHAnsi" w:cstheme="minorHAnsi"/>
                <w:sz w:val="14"/>
                <w:szCs w:val="14"/>
              </w:rPr>
              <w:t xml:space="preserve"> to design/coordinate; commissioned by health services partnership; co-designed with community leaders and influencers)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(pop-up clinics in nontraditional target locations with other outreach; culturally-adapted practices; access for undocumented migrants; streamlining process for GP registration; support by multilingual ‘Link workers’)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(targeted communication and engagement campaign to address misinformation tailored to needs of specific groups; multilingual written materials/social media outputs delivered by local community influencers, community members, minority ethnic healthcare professionals; local ethnic media channels/ social media, community </w:t>
            </w:r>
            <w:r w:rsidRPr="00A761DF">
              <w:rPr>
                <w:rFonts w:asciiTheme="minorHAnsi" w:hAnsiTheme="minorHAnsi" w:cstheme="minorHAnsi"/>
                <w:sz w:val="14"/>
                <w:szCs w:val="14"/>
              </w:rPr>
              <w:lastRenderedPageBreak/>
              <w:t>venues, personal conversations; focus groups/informal conversations by trusted healthcare professionals; community champions co-designed information)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Somewhat (participants encouraged to “spread the word” amongst friends and family using personal social media channels; social media outputs by</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local community influencers)</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with community leaders and influencers (‘community champions’, faith leaders, and local influential business owners; significant contribution from the voluntary sector in supporting clinics)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(partnered with trusted healthcare professionals to promote vaccine; bookings and appointments arranged by local community groups; designed and coordinated by dedicated group within a wider health program; coordination with national health service health professionals and volunteers; collaboration with trusted health experts)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(routinely collected quantitative and qualitative data; Insights and Engagement team; outreach/engagement surveys; vaccination data from campaign; follow-up interviews; vaccine uptake data from national data system; semi-structured interviews with </w:t>
            </w:r>
            <w:proofErr w:type="spellStart"/>
            <w:r w:rsidRPr="00A761DF">
              <w:rPr>
                <w:rFonts w:asciiTheme="minorHAnsi" w:hAnsiTheme="minorHAnsi" w:cstheme="minorHAnsi"/>
                <w:sz w:val="14"/>
                <w:szCs w:val="14"/>
              </w:rPr>
              <w:t>programme</w:t>
            </w:r>
            <w:proofErr w:type="spellEnd"/>
            <w:r w:rsidRPr="00A761DF">
              <w:rPr>
                <w:rFonts w:asciiTheme="minorHAnsi" w:hAnsiTheme="minorHAnsi" w:cstheme="minorHAnsi"/>
                <w:sz w:val="14"/>
                <w:szCs w:val="14"/>
              </w:rPr>
              <w:t xml:space="preserve"> leaders, </w:t>
            </w:r>
            <w:proofErr w:type="spellStart"/>
            <w:r w:rsidRPr="00A761DF">
              <w:rPr>
                <w:rFonts w:asciiTheme="minorHAnsi" w:hAnsiTheme="minorHAnsi" w:cstheme="minorHAnsi"/>
                <w:sz w:val="14"/>
                <w:szCs w:val="14"/>
              </w:rPr>
              <w:t>programme</w:t>
            </w:r>
            <w:proofErr w:type="spellEnd"/>
            <w:r w:rsidRPr="00A761DF">
              <w:rPr>
                <w:rFonts w:asciiTheme="minorHAnsi" w:hAnsiTheme="minorHAnsi" w:cstheme="minorHAnsi"/>
                <w:sz w:val="14"/>
                <w:szCs w:val="14"/>
              </w:rPr>
              <w:t xml:space="preserve"> facilitators, and local communities’ representatives and </w:t>
            </w:r>
            <w:r w:rsidRPr="00A761DF">
              <w:rPr>
                <w:rFonts w:asciiTheme="minorHAnsi" w:hAnsiTheme="minorHAnsi" w:cstheme="minorHAnsi"/>
                <w:sz w:val="14"/>
                <w:szCs w:val="14"/>
              </w:rPr>
              <w:lastRenderedPageBreak/>
              <w:t>leaders)</w:t>
            </w:r>
          </w:p>
        </w:tc>
      </w:tr>
      <w:tr w:rsidR="00A25B90" w:rsidRPr="00A761DF" w:rsidTr="005964B4">
        <w:trPr>
          <w:trHeight w:val="4228"/>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lastRenderedPageBreak/>
              <w:t>Desens</w:t>
            </w:r>
            <w:proofErr w:type="spellEnd"/>
            <w:r w:rsidRPr="00A761DF">
              <w:rPr>
                <w:rFonts w:asciiTheme="minorHAnsi" w:hAnsiTheme="minorHAnsi" w:cstheme="minorHAnsi"/>
                <w:sz w:val="14"/>
                <w:szCs w:val="14"/>
              </w:rPr>
              <w:t xml:space="preserve"> et al.,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{"citationID":"XCQ8BfFS","properties":{"formattedCitation":"(26)","plainCitation":"(26)","noteIndex":0},"citationItems":[{"id":277,"uris":["http://zotero.org/groups/4911489/items/V2TKE6LU"],"itemData":{"id":277,"type":"article-journal","abstract":"This descriptive, observational paper utilizes the comparative case study approach to analyze the application of the HIPE™ Framework to two health campaigns addressing vaccine hesitancy in underserved communities. Exposure to inaccurate/misleading health information impacts vaccination adoption, especially for individuals with low health/digital literacy. Underserved groups—like minority, racial/ethnic, or rural populations—typically have lower literacy and higher rates of vaccine hesitancy. Grounded in persuasion and behavioral change theory, the Health Information Persuasion Exploration (HIPE™) Framework was applied to the Black/Haitian community in Miami-Dade, Florida and the Migrant Agricultural Worker Community in Central Valley, California. The campaigns addressed each community’s unique characteristics via Detect, Analyze, Design, and Evaluate phases of the HIPE framework. Both campaigns achieved their respective vaccine uptake goals. For Miami-Dade, over 850 vaccinations were administered (the goal was 800 vaccinations), and vaccination rates increased by 25.22%. In Central Valley, vaccination rates for 5–11-year-old children in Merced and Stanislaus counties increased about 20% and 14%, respectively, and overall vaccination rates increased compared to surrounding counties. Discussion of the results and recommendations for future research highlight the potential efficacy of applying the HIPE™ Framework for developing health campaigns and response strategies to improve health outcomes.","container-title":"Vaccines","DOI":"10.3390/vaccines11061107","ISSN":"2076-393X","issue":"6","language":"en","license":"http://creativecommons.org/licenses/by/3.0/","note":"number: 6\npublisher: Multidisciplinary Digital Publishing Institute","page":"1107","source":"www.mdpi.com","title":"A Comparative Case Study Analysis: Applying the HIPE Framework to Combat Harmful Health Information and Drive COVID-19 Vaccine Adoption in Underserved Communities","title-short":"A Comparative Case Study Analysis","volume":"11","author":[{"family":"Desens","given":"Linda"},{"family":"Walling","given":"Brandon"},{"family":"Fiedor","given":"Anna"},{"family":"Howard","given":"Vanessa"},{"family":"Lopez Diaz","given":"Zue"},{"family":"Kim","given":"Katherine"},{"family":"Scannell","given":"Denise"}],"issued":{"date-parts":[["2023",6]]}}}],"schema":"https://github.com/citation-style-language/schema/raw/master/csl-citation.json"}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(26)</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(targeting areas with low vaccine rates; vaccine coverage disaggregated by socioeconomic factors; public health data; analysis of online and on the ground discourse; community assessment; HIPE™ framework)</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(network of outreach workers; partnered with grassroots and community organizations, schools, collaboration to address digital health equity barriers in rural communities)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(mobile vaccine outreach; vaccine sites in local communities at nontraditional target locations; door-to-door information delivery; cultural needs addressed; addressing digital health equity barriers in rural communities)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(communication assets customized with messaging specific to each subpopulation; message testing sessions; communication for social media, WhatsApp, email, church bulletins, public announcements; local church pastors and healthcare providers acted as trusted messengers; regular education sessions via webinar and in-person at vaccine events; door-to-door information dissemination by outreach workers)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(social media listening tools to identify narratives of inaccurate/misleading health discourse including “on the ground” strategies for crowdsourcing community discourse; mobile app that enables crowd-sourced reporting by recruited individuals; analysis of online discourse; custom information developed)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(utilized network of outreach workers; partnered with local church pastors as trusted messengers for delivering the message; </w:t>
            </w:r>
            <w:proofErr w:type="spellStart"/>
            <w:r w:rsidRPr="00A761DF">
              <w:rPr>
                <w:rFonts w:asciiTheme="minorHAnsi" w:hAnsiTheme="minorHAnsi" w:cstheme="minorHAnsi"/>
                <w:sz w:val="14"/>
                <w:szCs w:val="14"/>
              </w:rPr>
              <w:t>Promotoras</w:t>
            </w:r>
            <w:proofErr w:type="spellEnd"/>
            <w:r w:rsidRPr="00A761DF">
              <w:rPr>
                <w:rFonts w:asciiTheme="minorHAnsi" w:hAnsiTheme="minorHAnsi" w:cstheme="minorHAnsi"/>
                <w:sz w:val="14"/>
                <w:szCs w:val="14"/>
              </w:rPr>
              <w:t xml:space="preserve"> (community volunteers) with special connection and understanding of community)</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(leveraged recognized local health providers; collaboration with collaboration to address digital health equity barriers in rural communities); partnered with community health resource specialists, volunteer community health workers/</w:t>
            </w:r>
            <w:proofErr w:type="spellStart"/>
            <w:r w:rsidRPr="00A761DF">
              <w:rPr>
                <w:rFonts w:asciiTheme="minorHAnsi" w:hAnsiTheme="minorHAnsi" w:cstheme="minorHAnsi"/>
                <w:sz w:val="14"/>
                <w:szCs w:val="14"/>
              </w:rPr>
              <w:t>Promotoras</w:t>
            </w:r>
            <w:proofErr w:type="spellEnd"/>
            <w:r w:rsidRPr="00A761DF">
              <w:rPr>
                <w:rFonts w:asciiTheme="minorHAnsi" w:hAnsiTheme="minorHAnsi" w:cstheme="minorHAnsi"/>
                <w:sz w:val="14"/>
                <w:szCs w:val="14"/>
              </w:rPr>
              <w:t>)</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pBdr>
                <w:top w:val="nil"/>
                <w:left w:val="nil"/>
                <w:bottom w:val="nil"/>
                <w:right w:val="nil"/>
                <w:between w:val="nil"/>
              </w:pBdr>
              <w:spacing w:after="160" w:line="259" w:lineRule="auto"/>
              <w:rPr>
                <w:rFonts w:asciiTheme="minorHAnsi" w:hAnsiTheme="minorHAnsi" w:cstheme="minorHAnsi"/>
                <w:sz w:val="14"/>
                <w:szCs w:val="14"/>
              </w:rPr>
            </w:pPr>
            <w:r w:rsidRPr="00A761DF">
              <w:rPr>
                <w:rFonts w:asciiTheme="minorHAnsi" w:hAnsiTheme="minorHAnsi" w:cstheme="minorHAnsi"/>
                <w:sz w:val="14"/>
                <w:szCs w:val="14"/>
              </w:rPr>
              <w:t>Yes (formative evaluation sessions with pastors and community health care workers; HIPE™ framework’s formative and impact evaluation; vaccination rates using publicly available data)</w:t>
            </w:r>
          </w:p>
        </w:tc>
      </w:tr>
      <w:tr w:rsidR="00A25B90" w:rsidRPr="00A761DF" w:rsidTr="005964B4">
        <w:trPr>
          <w:trHeight w:val="39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Elmore et al., 2022</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{"citationID":"sJSqA9OT","properties":{"formattedCitation":"(27)","plainCitation":"(27)","noteIndex":0},"citationItems":[{"id":278,"uris":["http://zotero.org/groups/4911489/items/YWEBGBX7"],"itemData":{"id":278,"type":"article-journal","abstract":"INTRODUCTION: Multi-sector outreach collaborations have the potential to improve COVID-19 vaccine access among underserved populations, including refugees.\nMETHODS: Using a four-pronged strategy, we offered the local refugee community COVID-19 vaccine appointments within the next week.\nRESULTS: Over a thousand (1,327) individuals from more than 20 countries were identified; mean age 36.5 (SD=16.4); 55% female. Initially, 613 (46%) reported being scheduled/vaccinated prior to outreach efforts; 312 (24%) appointments were scheduled that resulted from outreach efforts. By February 2022, 895 (67.4%) of the 1,327 patients had at least one dose; the majority of these were Pfizer (n=750, 84%). Of 895 with first dose, 843 completed two-dose series (94.2%). Overall completion rate of initial series was 63.5%. Reasons for declining (171, 13%) included wanting to speak with a physician or family member first; pregnancy hesitation; postponing until after Ramadan.\nDISCUSSION: Although lower than local and state rates, this refugee community's COVID-19 vaccine uptake is on par with the overall population in the United States (65.8%). Because of COVID-19's disproportionately negative impact on refugee and other underserved populations, we offer recommendations for future equity-informed efforts.","container-title":"Journal of Health Care for the Poor and Underserved","DOI":"10.1353/hpu.2022.0157","ISSN":"1548-6869","issue":"4S","journalAbbreviation":"J Health Care Poor Underserved","language":"eng","note":"PMID: 36533457\nPMCID: PMC9942266","page":"25-43","source":"PubMed","title":"Advancing COVID-19 Vaccination Equity Among the Refugee Community: An Innovative Multi-Sector Collaborative Outreach Program","title-short":"Advancing COVID-19 Vaccination Equity Among the Refugee Community","volume":"33","author":[{"family":"Elmore","given":"Catherine E."},{"family":"Blackstone","given":"Sarah R."},{"family":"Carpenter","given":"Elizabeth L."},{"family":"Cortez","given":"Putnam Ivey","non-dropping-particle":"de"},{"family":"O'Donnell","given":"Claire"},{"family":"Uhlmann","given":"Erica"},{"family":"Vesser","given":"Justin"},{"family":"Hauck","given":"Fern R."}],"issued":{"date-parts":[["2022"]]}}}],"schema":"https://github.com/citation-style-language/schema/raw/master/csl-citation.json"}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(27)</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(target population totals and using residential information client lists from partner organizations; phone calls to assess baseline vaccination need)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(multi-sector partnership; organizations collaborate closely; academic-health partnership, and engaging with local community and nonprofits; convening stakeholders in planning)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(door-to-door outreach in target </w:t>
            </w:r>
            <w:proofErr w:type="spellStart"/>
            <w:r w:rsidRPr="00A761DF">
              <w:rPr>
                <w:rFonts w:asciiTheme="minorHAnsi" w:hAnsiTheme="minorHAnsi" w:cstheme="minorHAnsi"/>
                <w:sz w:val="14"/>
                <w:szCs w:val="14"/>
              </w:rPr>
              <w:t>neighbourhoods</w:t>
            </w:r>
            <w:proofErr w:type="spellEnd"/>
            <w:r w:rsidRPr="00A761DF">
              <w:rPr>
                <w:rFonts w:asciiTheme="minorHAnsi" w:hAnsiTheme="minorHAnsi" w:cstheme="minorHAnsi"/>
                <w:sz w:val="14"/>
                <w:szCs w:val="14"/>
              </w:rPr>
              <w:t xml:space="preserve"> for registration; tailoring strategy to the specific needs; clinic extended hours; interpretation services; multilingual hotline and ‘language access blocks’; all individuals approached; no cost and documentation not required; scheduling rides to clinic; appointments within week)</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(multilingual flyers;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Information provision in outreach; multilingual text messages and emails sent to client lists; using partner organization as trusted messenger and source of support)</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(convening stakeholders including area nonprofits and community leaders to engage in planning and tailoring a vaccine access)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(partnering with local health system; use of existing contracts with partners; partner organization health equipment; health teams from partners including community health workers, language interpreters, vaccine call center staff; registered nurse-care coordinator provided individualized follow-up; use of state Immunization Information System (IIS)) </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uptake; qualitative data: Call Center staff and nurse coordinator recorded notes related to reasons for postponing or declining vaccine; brief team member survey; Squire 2.0 guidelines to report system-level work)</w:t>
            </w:r>
          </w:p>
        </w:tc>
      </w:tr>
      <w:tr w:rsidR="00A25B90" w:rsidRPr="00A761DF" w:rsidTr="005964B4">
        <w:trPr>
          <w:trHeight w:val="2492"/>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lastRenderedPageBreak/>
              <w:t>Holdbrook</w:t>
            </w:r>
            <w:proofErr w:type="spellEnd"/>
            <w:r w:rsidRPr="00A761DF">
              <w:rPr>
                <w:rFonts w:asciiTheme="minorHAnsi" w:hAnsiTheme="minorHAnsi" w:cstheme="minorHAnsi"/>
                <w:sz w:val="14"/>
                <w:szCs w:val="14"/>
              </w:rPr>
              <w:t xml:space="preserve"> et al.,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{"citationID":"tozKQgkd","properties":{"formattedCitation":"(37)","plainCitation":"(37)","noteIndex":0},"citationItems":[{"id":317,"uris":["http://zotero.org/groups/4911489/items/VSB3H8HS"],"itemData":{"id":317,"type":"article-journal","abstract":"BACKGROUND: Racialized, low-income, and migrant populations experience persistent barriers to vaccines against COVID-19. These communities in East and Northeast Calgary were disproportionately impacted by COVID-19, yet faced vaccine access barriers. Diverse multi-stakeholder coalitions and community partnerships can improve vaccine outreach strategies, but how stakeholders perceive these models is unknown.\nMETHODS: We conducted a formative evaluation of a low-barrier, community-engaged vaccine outreach clinic in Calgary, Alberta, Canada, on June 5-6, 2021. We delivered an online post-clinic survey to clinic stakeholders, to assess whether the clinic achieved its collectively derived pre-specified goals (effective, efficient, patient-centered, and safe), to asses whether the clinic model was scalable, and to solicit improvement recommendations. Survey responses were analyzed using descriptive statistics and thematic analysis.\nRESULTS: Overall, 166/195 (85%) stakeholders responded. The majority were from non-healthcare positions (59%), between 30 and 49 years of age (87/136; 64%), and self-identified as racialized individuals (96/136; 71%). Respondents felt the clinic was effective (99.2%), efficient (96.9%), patient-centered (92.3%), and safe (90.8%), and that the outreach model was scalable 94.6% (123/130). There were no differences across stakeholder categories. The open-ended survey responses supported the scale responses. Improvement suggestions describe increased time for clinic planning and promotion, more multilingual staff, and further efforts to reduce accessibility barriers, such as priority check-in for people with disabilities.\nCONCLUSION: Diverse stakeholders almost universally felt that this community-engaged COVID-19 vaccine outreach clinic achieved its goals and was scalable. These findings support the value of community-engaged outreach to improve vaccine equity among other marginalized newcomer communities.","container-title":"Journal of Migration and Health","DOI":"10.1016/j.jmh.2023.100188","ISSN":"2666-6235","journalAbbreviation":"J Migr Health","language":"eng","note":"PMID: 37007284\nPMCID: PMC10040088","page":"100188","source":"PubMed","title":"Vaccines for all: A formative evaluation of a multistakeholder community-engaged COVID-19 vaccine outreach clinic for migrant communities","title-short":"Vaccines for all","volume":"7","author":[{"family":"Holdbrook","given":"Linda E."},{"family":"Hassan","given":"Nour"},{"family":"Clarke","given":"Sarah K."},{"family":"Coakley","given":"Annalee"},{"family":"Norrie","given":"Eric"},{"family":"Yemane","given":"Mussie"},{"family":"Youssef","given":"Michael R."},{"family":"Sahilie","given":"Adanech"},{"family":"Antonio","given":"Minnella"},{"family":"Cerino","given":"Edna Ramirez"},{"family":"Pendharkar","given":"Sachin R."},{"family":"Lake","given":"Deidre"},{"family":"Spitzer","given":"Denise L."},{"family":"Pottie","given":"Kevin"},{"family":"Edwards","given":"Samuel T."},{"family":"Fabreau","given":"Gabriel E."}],"issued":{"date-parts":[["2023"]]}}}],"schema":"https://github.com/citation-style-language/schema/raw/master/csl-citation.json"}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(37)</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(generally targeting high risk region of city)</w:t>
            </w: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(collaboration of stakeholders involved and specified overarching goals and co-designed, including: healthcare/health system and public health employees, community </w:t>
            </w:r>
            <w:proofErr w:type="spellStart"/>
            <w:proofErr w:type="gramStart"/>
            <w:r w:rsidRPr="00A761DF">
              <w:rPr>
                <w:rFonts w:asciiTheme="minorHAnsi" w:hAnsiTheme="minorHAnsi" w:cstheme="minorHAnsi"/>
                <w:sz w:val="14"/>
                <w:szCs w:val="14"/>
              </w:rPr>
              <w:t>organizations,administrators</w:t>
            </w:r>
            <w:proofErr w:type="spellEnd"/>
            <w:proofErr w:type="gramEnd"/>
            <w:r w:rsidRPr="00A761DF">
              <w:rPr>
                <w:rFonts w:asciiTheme="minorHAnsi" w:hAnsiTheme="minorHAnsi" w:cstheme="minorHAnsi"/>
                <w:sz w:val="14"/>
                <w:szCs w:val="14"/>
              </w:rPr>
              <w:t>, government officials, university and research staff, resettlement organizations, and community volunteers)</w:t>
            </w: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(pop-up mobile clinic in target </w:t>
            </w:r>
            <w:proofErr w:type="spellStart"/>
            <w:r w:rsidRPr="00A761DF">
              <w:rPr>
                <w:rFonts w:asciiTheme="minorHAnsi" w:hAnsiTheme="minorHAnsi" w:cstheme="minorHAnsi"/>
                <w:sz w:val="14"/>
                <w:szCs w:val="14"/>
              </w:rPr>
              <w:t>neighbourhood</w:t>
            </w:r>
            <w:proofErr w:type="spellEnd"/>
            <w:r w:rsidRPr="00A761DF">
              <w:rPr>
                <w:rFonts w:asciiTheme="minorHAnsi" w:hAnsiTheme="minorHAnsi" w:cstheme="minorHAnsi"/>
                <w:sz w:val="14"/>
                <w:szCs w:val="14"/>
              </w:rPr>
              <w:t xml:space="preserve"> location; free walk-up model which did not require appointments and open regardless of immigration status/documentation or health care coverage; free public transit; services in 16 languages; extended hours of operation; food hampers and additional social support to clinic attendees; cultural brokers/international medical graduates for language/cultural support)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(communication provided directly by multilingual staff)</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(co-design and collaboration by community organizations, community volunteers, and cultural brokers; initiated by a local </w:t>
            </w:r>
            <w:proofErr w:type="gramStart"/>
            <w:r w:rsidRPr="00A761DF">
              <w:rPr>
                <w:rFonts w:asciiTheme="minorHAnsi" w:hAnsiTheme="minorHAnsi" w:cstheme="minorHAnsi"/>
                <w:sz w:val="14"/>
                <w:szCs w:val="14"/>
              </w:rPr>
              <w:t>newcomers</w:t>
            </w:r>
            <w:proofErr w:type="gramEnd"/>
            <w:r w:rsidRPr="00A761DF">
              <w:rPr>
                <w:rFonts w:asciiTheme="minorHAnsi" w:hAnsiTheme="minorHAnsi" w:cstheme="minorHAnsi"/>
                <w:sz w:val="14"/>
                <w:szCs w:val="14"/>
              </w:rPr>
              <w:t xml:space="preserve"> collaborative)</w:t>
            </w:r>
          </w:p>
          <w:p w:rsidR="00A25B90" w:rsidRPr="00A761DF" w:rsidRDefault="00A25B90" w:rsidP="005964B4">
            <w:pPr>
              <w:widowControl w:val="0"/>
              <w:rPr>
                <w:rFonts w:asciiTheme="minorHAnsi" w:hAnsiTheme="minorHAnsi" w:cstheme="minorHAnsi"/>
                <w:sz w:val="14"/>
                <w:szCs w:val="14"/>
              </w:rPr>
            </w:pP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(multi-stakeholder group, including health care workers, physicians, health system, international medical graduates, researchers)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(formative evaluation by stakeholders qualitatively assessing pre-specified goals of effectiveness, efficiency, patient centeredness, and safety, and scalability; post-clinic survey with stakeholders)</w:t>
            </w:r>
          </w:p>
        </w:tc>
      </w:tr>
      <w:tr w:rsidR="00A25B90" w:rsidRPr="00A761DF" w:rsidTr="005964B4">
        <w:trPr>
          <w:trHeight w:val="30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Lohr</w:t>
            </w:r>
            <w:proofErr w:type="spellEnd"/>
            <w:r w:rsidRPr="00A761DF">
              <w:rPr>
                <w:rFonts w:asciiTheme="minorHAnsi" w:hAnsiTheme="minorHAnsi" w:cstheme="minorHAnsi"/>
                <w:sz w:val="14"/>
                <w:szCs w:val="14"/>
              </w:rPr>
              <w:t xml:space="preserve"> et al,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{"citationID":"LKF4gqzz","properties":{"formattedCitation":"(28)","plainCitation":"(28)","noteIndex":0},"citationItems":[{"id":282,"uris":["http://zotero.org/groups/4911489/items/HX974G3U"],"itemData":{"id":282,"type":"article-journal","abstract":"BACKGROUND: Im/migrants (immigrants and migrants, including refugees, asylum seekers, and individuals without legal documentation) experience unique assets and needs in relation to coronavirus disease 2019 (COVID-19). Community-based participatory research (CBPR) is one way to engage im/migrant communities. Rochester Healthy Community Partnership (RHCP) is a CBPR partnership in Rochester, Minnesota. RHCP partners noted that credible COVID-19 information was not available to their communities. In response, RHCP formed a COVID-19 Task Force and adapted the Centers for Disease Control and Prevention's Crisis and Emergency Risk Communication (CERC) framework to create an intervention that prioritized im/migrant groups experiencing health disparities. In the CERC intervention, communication leaders delivered COVID-19 health messages to their social networks and documented related concerns. RHCP relayed these concerns to regional leaders to ensure that im/migrant experiences were included in decision making. Once vaccines were available, RHCP continued to deploy the CERC intervention to promote vaccination equity. The aims of this paper are to (1) describe the implementation of a bidirectional CERC intervention for vaccination equity, and (2) describe a community-engaged and community-based vaccine clinic intervention.\nMETHODS: First, we surveyed participants (n = 37) to assess COVID-19 experiences, acceptability of the CERC intervention, and motivation to receive a COVID-19 vaccination. Second, we collaborated with community partners to hold vaccine clinics. We report descriptive statistics from each intervention.\nRESULTS: When asked about the acceptability of the CERC intervention for vaccine equity, most participants either reported that they 'really liked it' or 'thought it was just ok'. Most participants stated that they would recommend the program to family or friends who have not yet received the COVID-19 vaccine. Almost all participants reported that they felt 'much more' or 'somewhat more' motivated to receive a COVID-19 vaccine after the intervention. We administered 1158 vaccines at the vaccination clinics.\nCONCLUSIONS: We found that participants viewed the CERC intervention for vaccination equity as an acceptable way to disseminate COVID-19-related information. Nearly all participants reported that the intervention convinced them to receive a COVID-19 vaccine. In our experience, community-engaged and community-based clinics are a successful way to administer vaccines to im/migrant communities during a pandemic.","container-title":"BMC public health","DOI":"10.1186/s12889-023-16410-3","ISSN":"1471-2458","issue":"1","journalAbbreviation":"BMC Public Health","language":"eng","note":"PMID: 37558981\nPMCID: PMC10413496","page":"1517","source":"PubMed","title":"Addressing COVID-19 inequities using bidirectional crisis and emergency risk communication and vaccine clinic interventions: a descriptive study","title-short":"Addressing COVID-19 inequities using bidirectional crisis and emergency risk communication and vaccine clinic interventions","volume":"23","author":[{"family":"Lohr","given":"Abby M."},{"family":"Neumbo","given":"Kelao Charmaine"},{"family":"Njeru","given":"Jane W."},{"family":"Molina","given":"Luz"},{"family":"Hasley","given":"Rachel"},{"family":"Ahmed","given":"Yahye"},{"family":"Quirindongo-Cedeno","given":"Onelis"},{"family":"Torres-Herbeck","given":"Gloria A."},{"family":"Goodson","given":"Miriam L."},{"family":"Osman","given":"Ahmed"},{"family":"Weis","given":"Jenny A."},{"family":"Wieland","given":"Mark L."},{"family":"Sia","given":"Irene G."}],"issued":{"date-parts":[["2023",8,10]]}}}],"schema":"https://github.com/citation-style-language/schema/raw/master/csl-citation.json"}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(28)</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(data on burden of disease of target population; adopted CDC’s Crisis and Emergency Risk Communication (CERC) framework; Rothman’s community intervention approaches; cross-sectional survey to assess knowledge and attitudes of vaccine)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(community-based COVID-19 Task Force and adopted communication framework; bidirectional communication between community and academic partners)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(addressing language and scheduling barriers; flexibility in time, ease of registration, location, and language translation; walk-ins and pre-registration; clinics at multiple target community locations; sent reminders, followed-up with information on location and time of second dose; bilingual staff and language interpretation infrastructure)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(developed and disseminated information in multiple languages and formats; formed a communication working group which used a seven-step process to adapt and distribute messaging (i.e., message maps; background research; adaptation of messages for cultural and language appropriateness; incorporating feedback; expert review; ‘communication leader’ feedback and delivery via social media)</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(systematically tracked vaccine concerns and adapted messaging for social media; seven-step process to adapt and distribute messaging; ‘communication leaders’ used social media platform most accessible to their network and responded to questions)</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(community-engaged and community-based intervention; community vaccine task force </w:t>
            </w:r>
            <w:proofErr w:type="gramStart"/>
            <w:r w:rsidRPr="00A761DF">
              <w:rPr>
                <w:rFonts w:asciiTheme="minorHAnsi" w:hAnsiTheme="minorHAnsi" w:cstheme="minorHAnsi"/>
                <w:sz w:val="14"/>
                <w:szCs w:val="14"/>
              </w:rPr>
              <w:t>formed;  Rothman’s</w:t>
            </w:r>
            <w:proofErr w:type="gramEnd"/>
            <w:r w:rsidRPr="00A761DF">
              <w:rPr>
                <w:rFonts w:asciiTheme="minorHAnsi" w:hAnsiTheme="minorHAnsi" w:cstheme="minorHAnsi"/>
                <w:sz w:val="14"/>
                <w:szCs w:val="14"/>
              </w:rPr>
              <w:t xml:space="preserve"> community intervention approaches:  community organization model; community capacity development; community partners recruited ‘communication leaders’ based on trustworthiness; bidirectional communication between community and academic partners; feedback from community members; volunteers)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(local healthcare institution collaboration with vaccine task force and clinical leaders; vaccine allocation and distribution workgroup from Mayo Clinic; resource, infrastructure, and vaccination provision and administration assistance through health services partnerships; partners including public health department staff attended weekly meetings; infectious disease experts and social/economic resource experts clarified questions)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(numbers of vaccinations administered; template for intervention description and replication (</w:t>
            </w:r>
            <w:proofErr w:type="spellStart"/>
            <w:r w:rsidRPr="00A761DF">
              <w:rPr>
                <w:rFonts w:asciiTheme="minorHAnsi" w:hAnsiTheme="minorHAnsi" w:cstheme="minorHAnsi"/>
                <w:sz w:val="14"/>
                <w:szCs w:val="14"/>
              </w:rPr>
              <w:t>TIDieR</w:t>
            </w:r>
            <w:proofErr w:type="spellEnd"/>
            <w:r w:rsidRPr="00A761DF">
              <w:rPr>
                <w:rFonts w:asciiTheme="minorHAnsi" w:hAnsiTheme="minorHAnsi" w:cstheme="minorHAnsi"/>
                <w:sz w:val="14"/>
                <w:szCs w:val="14"/>
              </w:rPr>
              <w:t>) checklist to guide reporting; feedback from communication leaders; evaluation of the bidirectional CERC intervention with communication leaders/social networks)</w:t>
            </w:r>
          </w:p>
        </w:tc>
      </w:tr>
      <w:tr w:rsidR="00A25B90" w:rsidRPr="00A761DF" w:rsidTr="005964B4">
        <w:trPr>
          <w:trHeight w:val="237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Malone et al., 2022</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{"citationID":"QezR0qTL","properties":{"formattedCitation":"(29)","plainCitation":"(29)","noteIndex":0},"citationItems":[{"id":284,"uris":["http://zotero.org/groups/4911489/items/7IKSGV8R"],"itemData":{"id":284,"type":"article-journal","abstract":"Refugee and immigrant populations are extremely vulnerable to the consequences of the COVID-19 pandemic. COVID-19 vaccination is a critical tool in mitigating these consequences, but these same communities often lack access to COVID-19 vaccines. We describe the efforts of a community-based primary care clinic in Clarkston, Georgia to provide access to COVID-19 vaccines in a culturally sensitive manner to address this health disparity and vaccine hesitancy.","container-title":"American Journal of Public Health","DOI":"10.2105/AJPH.2021.306608","ISSN":"1541-0048","issue":"3","journalAbbreviation":"Am J Public Health","language":"eng","note":"PMID: 35196045\nPMCID: PMC8887164","page":"393-396","source":"PubMed","title":"COVID-19 Vaccine Distribution in a Community With Large Numbers of Immigrants and Refugees","volume":"112","author":[{"family":"Malone","given":"Brett"},{"family":"Kim","given":"Esther"},{"family":"Jennings","given":"Rachel"},{"family":"Pacheco","given":"Rainer A."},{"family":"Kieu","given":"Alex"}],"issued":{"date-parts":[["2022",3]]}}}],"schema":"https://github.com/citation-style-language/schema/raw/master/csl-citation.json"}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(29)</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(targeting region generally known for high migrant numbers)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(engaged with community partners; community engagement coordinator)</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(individualized registration procedures with community engagement coordinator; transportation to vaccine appointments; community-based clinic in target location; telephone translation service and variety of racial/ethnic backgrounds and languages spoken)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(multilingual information materials)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partners with trusted relationships and culturally sensitive approaches; community engagement coordinator; volunteers from variety of racial/ethnic backgrounds)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(hiring additional staff including vaccine coordinator, nurse, registration coordinator, and community engagement coordinator; using a community-based primary care clinic)</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coverage)</w:t>
            </w:r>
          </w:p>
        </w:tc>
      </w:tr>
      <w:tr w:rsidR="00A25B90" w:rsidRPr="00A761DF" w:rsidTr="005964B4">
        <w:trPr>
          <w:trHeight w:val="390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Marquez et al., 2021</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{"citationID":"9R6teju1","properties":{"formattedCitation":"(30)","plainCitation":"(30)","noteIndex":0},"citationItems":[{"id":286,"uris":["http://zotero.org/groups/4911489/items/ZKA3A6XB"],"itemData":{"id":286,"type":"article-journal","abstract":"BACKGROUND: COVID-19 vaccine coverage in the Latinx community depends on delivery systems that overcome barriers such as institutional distrust, misinformation, and access to care. We hypothesized that a community-centered vaccination strategy that included mobilization, vaccination, and \"activation\" components could successfully reach an underserved Latinx population, utilizing its social networks to boost vaccination coverage.\nMETHODS: Our community-academic-public health partnership, \"Unidos en Salud,\" utilized a theory-informed approach to design our \"Motivate, Vaccinate, and Activate\" COVID-19 vaccination strategy. Our strategy's design was guided by the PRECEDE Model and sought to address and overcome predisposing, enabling, and reinforcing barriers to COVID-19 vaccination faced by Latinx individuals in San Francisco. We evaluated our prototype outdoor, \"neighborhood\" vaccination program located in a central commercial and transport hub in the Mission District in San Francisco, using the Reach, Effectiveness, Adoption, Implementation and Maintenance (RE-AIM) framework during a 16-week period from February 1, 2021 to May 19, 2021. Programmatic data, city-wide COVID-19 surveillance data, and a survey conducted between May 2, 2021 and May 19, 2021 among 997 vaccinated clients ≥16 years old were used in the evaluation.\nRESULTS: There were 20,792 COVID-19 vaccinations administered at the neighborhood site during the 16-week evaluation period. Vaccine recipients had a median age of 43 (IQR 32-56) years, 53.9% were male and 70.5% were Latinx, 14.1% white, 7.7% Asian, 2.4% Black, and 5.3% other. Latinx vaccinated clients were substantially more likely than non-Latinx clients to have an annual household income of less than $50,000 a year (76.1% vs. 33.5%), be a first-generation immigrant (60.2% vs. 30.1%), not have health insurance (47.3% vs. 16.0%), and not have access to primary care provider (62.4% vs. 36.2%). The most frequently reported reasons for choosing vaccination at the site were its neighborhood location (28.6%), easy and convenient scheduling (26.9%) and recommendation by someone they trusted (18.1%); approximately 99% reported having an overall positive experience, regardless of ethnicity. Notably, 58.3% of clients reported that they were able to get vaccinated earlier because of the neighborhood vaccination site, 98.4% of clients completed both vaccine doses, and 90.7% said that they were more likely to recommend COVID-19 vaccination to family and friends after their experience; these findings did not substantially differ according to ethnicity. There were 40.3% of vaccinated clients who said they still knew at least one unvaccinated person (64.6% knew ≥3). Among clients who received both vaccine doses (n = 729), 91.0% said that after their vaccination experience, they had personally reached out to at least one unvaccinated person they knew (61.6% reached out to ≥3) to recommend getting vaccinated; 83.0% of clients reported that one or more friends, and/or family members got vaccinated as a result of their outreach, including 18.9% who reported 6 or more persons got vaccinated as a result of their influence.\nCONCLUSIONS: A multi-component, \"Motivate, Vaccinate, and Activate\" community-based strategy addressing barriers to COVID-19 vaccination for the Latinx population reached the intended population, and vaccinated individuals served as ambassadors to recruit other friends and family members to get vaccinated.","container-title":"PloS One","DOI":"10.1371/journal.pone.0257111","ISSN":"1932-6203","issue":"9","journalAbbreviation":"PLoS One","language":"eng","note":"PMID: 34543291\nPMCID: PMC8452046","page":"e0257111","source":"PubMed","title":"A multi-component, community-based strategy to facilitate COVID-19 vaccine uptake among Latinx populations: From theory to practice","title-short":"A multi-component, community-based strategy to facilitate COVID-19 vaccine uptake among Latinx populations","volume":"16","author":[{"family":"Marquez","given":"Carina"},{"family":"Kerkhoff","given":"Andrew D."},{"family":"Naso","given":"Jamie"},{"family":"Contreras","given":"Maria G."},{"family":"Castellanos Diaz","given":"Edgar"},{"family":"Rojas","given":"Susana"},{"family":"Peng","given":"James"},{"family":"Rubio","given":"Luis"},{"family":"Jones","given":"Diane"},{"family":"Jacobo","given":"Jon"},{"family":"Rojas","given":"Susy"},{"family":"Gonzalez","given":"Rafael"},{"family":"Fuchs","given":"Jonathan D."},{"family":"Black","given":"Douglas"},{"family":"Ribeiro","given":"Salustiano"},{"family":"Nossokoff","given":"Jen"},{"family":"Tulier-Laiwa","given":"Valerie"},{"family":"Martinez","given":"Jacqueline"},{"family":"Chamie","given":"Gabriel"},{"family":"Pilarowski","given":"Genay"},{"family":"DeRisi","given":"Joseph"},{"family":"Petersen","given":"Maya"},{"family":"Havlir","given":"Diane V."}],"issued":{"date-parts":[["2021"]]}}}],"schema":"https://github.com/citation-style-language/schema/raw/master/csl-citation.json"}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(30)</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(data on population size, ethnicity, income, COVID-19 rates, predisposing and enabling factors; door-to-door outreach survey to gather attitudes; theory informed approach using PRECEDE Model)</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academic, public health partnership model and co-design)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(door-to-door outreach; client-centered neighborhood vaccination site in convenient location; low-barrier registration; strategy to address predisposing, enabling and reinforcing factors; no requirement to show ID, prove residency/health insurance status; utilizing trusted bilingual or monolingual community members; culturally-tailored)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(information via direct outreach by multilingual community health care workers; interviews on ethnic language radio shows, vaccine townhalls, posters, social media, community websites, newspapers; information events; text messages with health information sent)</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(community leaders vaccinated at the site posted photos on social media encouraging others to get vaccinated; dissemination of information via social media)</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(community-centered and neighborhood vaccination strategy; Community-academic-public health partnership model; use of trusted messengers and social networks; use of peer vaccine ambassadors)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(site staff provided vaccine-related education and regular refresher trainings; leveraging peer vaccine ambassadors; collaboration with local health services, Latino Task Force-Response to COVID-19, universities, local phlebotomy and lab services, primary health, department of public health, primary health informatics support; experienced staff who worked for prior mass community-based COVID-19 testing events)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coverage, reasons for choosing vaccination; RE-AIM framework to evaluate both</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individual client-level outcomes (reach and effectiveness) and community-level outcomes (effectiveness, implementation, and maintenance); programmatic vaccination data; surveillance data; census data; structured survey; strategy adapted in response to rapid evolving eligibility criteria and site capacity)</w:t>
            </w:r>
          </w:p>
        </w:tc>
      </w:tr>
      <w:tr w:rsidR="00A25B90" w:rsidRPr="00A761DF" w:rsidTr="005964B4">
        <w:trPr>
          <w:trHeight w:val="1320"/>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Morisod</w:t>
            </w:r>
            <w:proofErr w:type="spellEnd"/>
            <w:r w:rsidRPr="00A761DF">
              <w:rPr>
                <w:rFonts w:asciiTheme="minorHAnsi" w:hAnsiTheme="minorHAnsi" w:cstheme="minorHAnsi"/>
                <w:sz w:val="14"/>
                <w:szCs w:val="14"/>
              </w:rPr>
              <w:t xml:space="preserve"> et al.,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{"citationID":"isO0Zrrg","properties":{"formattedCitation":"(38)","plainCitation":"(38)","noteIndex":0},"citationItems":[{"id":325,"uris":["http://zotero.org/groups/4911489/items/SWP7N54S"],"itemData":{"id":325,"type":"article-journal","abstract":"The COVID-19 pandemic highlighted health inequities for vulnerable populations and the need for more equitable care and access to vaccination. This article described the implementation of a COVID-19 vaccination program for undocumented migrants in a regional academic center of general medicine and public health (Unisanté). The vaccination program's specific components included: triple coordination between the health authorities, the regional center and community partners, a walk-in and free service, no health insurance required, qualified nursing and administrative staff with previous experience with vulnerable populations, translated information materials and interpreters, a guarantee of confidentiality and a widespread communication campaign within the communities. In total, 2'351 undocumented migrants from 97 nationalities received at least one dose of mRNA COVID-19 vaccine (Spikevax) and 2242 were considered fully vaccinated. Although it was hard to assess its global effectiveness, the program vaccinated a significant number of undocumented adult migrants in the Canton of Vaud. The difficulties linked to the pandemic context, the heavy workload for healthcare staff and the limited resources were overcome by strong collaborations between the different actors involved throughout the program. Targeted public health policies, such as vaccination programs for undocumented migrants, are essential to guarantee equitable care, especially in pandemic times.","container-title":"Journal of Immigrant and Minority Health","DOI":"10.1007/s10903-023-01479-0","ISSN":"1557-1920","issue":"4","journalAbbreviation":"J Immigr Minor Health","language":"eng","note":"PMID: 37079242\nPMCID: PMC10116085","page":"953-957","source":"PubMed","title":"COVID-19 Vaccination Program for Undocumented Migrants: Notes from the Field of a Regional Center of General Medicine and Public Health, Canton of Vaud, Switzerland","title-short":"COVID-19 Vaccination Program for Undocumented Migrants","volume":"25","author":[{"family":"Morisod","given":"Kevin"},{"family":"Nikles","given":"Justin"},{"family":"Miauton","given":"Alix"},{"family":"Maussang","given":"Laurence Bouche"},{"family":"Vermeulen","given":"Brigitte Pahud"},{"family":"Bodenmann","given":"Patrick"}],"issued":{"date-parts":[["2023",8]]}}}],"schema":"https://github.com/citation-style-language/schema/raw/master/csl-citation.json"}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(38)</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(general background information on lower rates of vaccination among undocumented migrants)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(multidisciplinary working group formed with administrative, healthcare professionals, with expertise in vaccination and migrant population; system in place adapted; working group met weekly; large number of community partners involved)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(linguistically and culturally appropriate care; no health insurance required; no appointment needed; free vaccine; anonymous vaccination possible; extension of opening hours; interpreters if needed)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(multilingual information materials and other documents; communication campaign explicitly delivered in the communities; community partners promoted campaign by sharing communication campaign messages through online social </w:t>
            </w:r>
            <w:r w:rsidRPr="00A761DF">
              <w:rPr>
                <w:rFonts w:asciiTheme="minorHAnsi" w:hAnsiTheme="minorHAnsi" w:cstheme="minorHAnsi"/>
                <w:sz w:val="14"/>
                <w:szCs w:val="14"/>
              </w:rPr>
              <w:lastRenderedPageBreak/>
              <w:t>network groups including by influential messengers; community-associated media; distributed documents inside communities)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Somewhat (community partners shared communication campaign via online social network groups; physician who was part of community sent message to community’s chat group with thousands of target community members)</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(contacted at least 50 community partners including migrant associations, churches, NGOs and community partners had active role in promoting campaign)</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(member of community physician promoting vaccine via social media;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multidisciplinary working group composed healthcare providers/manager with expertise in vaccination and migrant population formed; system already in place was adapted to address the barriers to healthcare that; qualified nursing and </w:t>
            </w:r>
            <w:r w:rsidRPr="00A761DF">
              <w:rPr>
                <w:rFonts w:asciiTheme="minorHAnsi" w:hAnsiTheme="minorHAnsi" w:cstheme="minorHAnsi"/>
                <w:sz w:val="14"/>
                <w:szCs w:val="14"/>
              </w:rPr>
              <w:lastRenderedPageBreak/>
              <w:t>administrative staff with previous experience with populations)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Yes (vaccination uptake; working group met weekly to monitor the project and make necessary modifications)</w:t>
            </w:r>
          </w:p>
        </w:tc>
      </w:tr>
      <w:tr w:rsidR="00A25B90" w:rsidRPr="00A761DF" w:rsidTr="005964B4">
        <w:trPr>
          <w:trHeight w:val="111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Nair et al., 2022</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{"citationID":"U48FdLRQ","properties":{"formattedCitation":"(39)","plainCitation":"(39)","noteIndex":0},"citationItems":[{"id":327,"uris":["http://zotero.org/groups/4911489/items/PFRCHIQJ"],"itemData":{"id":327,"type":"article-journal","abstract":"BACKGROUND: Vaccine hesitancy presents a major challenge during the COVID-19 pandemic. It is crucial to address the factors contributing to vaccine hesitancy necessary to control the associated morbidity and mortality. This study aimed to investigate the impact of professional medical guidance on the likelihood of receiving the COVID-19 vaccine in immigrants of USA and Canada.\nMATERIALS AND METHODS: A total of 92 immigrants in the USA and Canada who predominantly spoke Malayalam were recruited using social media platforms. An online survey was administered investigating participants' confidence in receiving the COVID-19 vaccine. Following, a short webinar was conducted by a medical professional explaining the efficacy and safety of the vaccine. A postwebinar survey was immediately given assessing the confidence and likelihood of receiving the vaccine. SPSS was used to generate descriptive statistics and Pearson Chi-square analysis where appropriate.\nRESULTS: Results revealed that participants who attended the webinar reported greater confidence in receiving the COVID-19 vaccine. There was a statistically significant difference between pre- and postwebinar confidence scores for the COVID-19 vaccine, χ2 (12, n = 80) = 43.34, P &lt; 0.01.\nCONCLUSION: Results from the current study demonstrate the successful delivery of professional medical guidance to the general public through online small-group sessions to help address the misconceptions surrounding the COVID-19 vaccine and combat vaccine hesitancy among vulnerable populations. Future studies should focus on interventions addressing vaccine hesitancy in larger and diverse populations and analyze other barriers to vaccination.","container-title":"Journal of Education and Health Promotion","DOI":"10.4103/jehp.jehp_792_21","ISSN":"2277-9531","journalAbbreviation":"J Educ Health Promot","language":"eng","note":"PMID: 35677278\nPMCID: PMC9170208","page":"112","source":"PubMed","title":"COVID-19 vaccine hesitancy and influence of professional medical guidance","volume":"11","author":[{"family":"Nair","given":"Govind"},{"family":"Venkatesan","given":"Kirthika"},{"family":"Nair","given":"Arjun"},{"family":"Firoz","given":"Irene N."},{"family":"Haroon","given":"Nisha Nigil"}],"issued":{"date-parts":[["2022"]]}}}],"schema":"https://github.com/citation-style-language/schema/raw/master/csl-citation.json"}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(39)</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(conducted by an expert medical professional from target </w:t>
            </w:r>
            <w:proofErr w:type="spellStart"/>
            <w:proofErr w:type="gramStart"/>
            <w:r w:rsidRPr="00A761DF">
              <w:rPr>
                <w:rFonts w:asciiTheme="minorHAnsi" w:hAnsiTheme="minorHAnsi" w:cstheme="minorHAnsi"/>
                <w:sz w:val="14"/>
                <w:szCs w:val="14"/>
              </w:rPr>
              <w:t>community;recruitment</w:t>
            </w:r>
            <w:proofErr w:type="spellEnd"/>
            <w:proofErr w:type="gramEnd"/>
            <w:r w:rsidRPr="00A761DF">
              <w:rPr>
                <w:rFonts w:asciiTheme="minorHAnsi" w:hAnsiTheme="minorHAnsi" w:cstheme="minorHAnsi"/>
                <w:sz w:val="14"/>
                <w:szCs w:val="14"/>
              </w:rPr>
              <w:t xml:space="preserve"> via social media and using virtual platform to deliver educational session)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(using virtual platform to deliver educational session)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(intervention was education webinar)</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(social media to recruit participants; use of virtual platform to deliver intervention and interact with participants: interact directly with a health</w:t>
            </w:r>
            <w:r w:rsidRPr="00A761DF">
              <w:rPr>
                <w:rFonts w:ascii="Cambria Math" w:hAnsi="Cambria Math" w:cs="Cambria Math"/>
                <w:sz w:val="14"/>
                <w:szCs w:val="14"/>
              </w:rPr>
              <w:t>‑</w:t>
            </w:r>
            <w:r w:rsidRPr="00A761DF">
              <w:rPr>
                <w:rFonts w:asciiTheme="minorHAnsi" w:hAnsiTheme="minorHAnsi" w:cstheme="minorHAnsi"/>
                <w:sz w:val="14"/>
                <w:szCs w:val="14"/>
              </w:rPr>
              <w:t xml:space="preserve">care professional and clarify any doubts they had surrounding the vaccine) </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(intervention delivered by an expert medical professional from target community)</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(pre/post survey regarding confidence in receiving vaccine)</w:t>
            </w:r>
          </w:p>
        </w:tc>
      </w:tr>
      <w:tr w:rsidR="00A25B90" w:rsidRPr="00A761DF" w:rsidTr="005964B4">
        <w:trPr>
          <w:trHeight w:val="2222"/>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Noack, </w:t>
            </w:r>
            <w:proofErr w:type="spellStart"/>
            <w:r w:rsidRPr="00A761DF">
              <w:rPr>
                <w:rFonts w:asciiTheme="minorHAnsi" w:hAnsiTheme="minorHAnsi" w:cstheme="minorHAnsi"/>
                <w:sz w:val="14"/>
                <w:szCs w:val="14"/>
              </w:rPr>
              <w:t>Schaning</w:t>
            </w:r>
            <w:proofErr w:type="spellEnd"/>
            <w:r w:rsidRPr="00A761DF">
              <w:rPr>
                <w:rFonts w:asciiTheme="minorHAnsi" w:hAnsiTheme="minorHAnsi" w:cstheme="minorHAnsi"/>
                <w:sz w:val="14"/>
                <w:szCs w:val="14"/>
              </w:rPr>
              <w:t>, &amp; Muller, 2022</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{"citationID":"sWHEj8mi","properties":{"formattedCitation":"(34)","plainCitation":"(34)","noteIndex":0},"citationItems":[{"id":312,"uris":["http://zotero.org/groups/4911489/items/HDCJWFPC"],"itemData":{"id":312,"type":"article-journal","abstract":"Language barriers are obstacles in receiving vaccinations against COVID-19. They jeopardize informed consent, vaccination safety, and a positive immunization experience. We have developed a multilingual app to overcome language barriers when dealing with vaccination candidates with a limited proficiency in the locally spoken language. We applied the Spiral Technology Action Research (STAR) model to create the app within a discursive process involving healthcare professionals (HCPs) from vaccination sites, literature searches and guidelines, and field trials at vaccination centers. In a real-world pilot test, we assessed the usability and feedback for further improvement. Our efforts resulted in an app that facilitates communication with vaccination candidates in 40 languages, each with over 500 phrases that can be played back or displayed as text. In the pilot test, the app demonstrated its usability, and was well accepted by the vaccination candidates (n = 20). The app was mainly used to inform about the risks and benefits of the SARS-CoV-2 vaccination. Some HCPs struggled to navigate the comprehensive content and the pilot test exposed the need for additional phrases. The STAR model proved to be flexible in adapting to dynamic pandemic conditions and changing recommendations. This multilingual app overcomes language barriers in healthcare settings, promoting vaccines to migrants with limited language proficiency.","container-title":"Vaccines","DOI":"10.3390/vaccines10030360","ISSN":"2076-393X","issue":"3","journalAbbreviation":"Vaccines (Basel)","note":"PMID: 35334992\nPMCID: PMC8955787","page":"360","source":"PubMed Central","title":"A Multilingual App for Providing Information to SARS-CoV-2 Vaccination Candidates with Limited Language Proficiency: Development and Pilot","title-short":"A Multilingual App for Providing Information to SARS-CoV-2 Vaccination Candidates with Limited Language Proficiency","volume":"10","author":[{"family":"Noack","given":"Eva Maria"},{"family":"Schäning","given":"Jennifer"},{"family":"Müller","given":"Frank"}],"issued":{"date-parts":[["2022",2,25]]}}}],"schema":"https://github.com/citation-style-language/schema/raw/master/csl-citation.json"}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(34)</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(listening to target population to determine needs; interviewed staff at vaccination centers; Spiral Technology Action Research (STAR) model to create the app; literature/guidelines, field trials)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(app creation involving various processes and input from healthcare</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professionals (HCPs), approval by the Robert Koch Institute (German National Institute for Public Health), and German Federal Ministry of Health)</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(pilot of app with mobile vaccination outreach teams across multiple outreach deployments; providing linguistic assistance during vaccine delivery in 39 languages)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(multilingual app providing information in 30 languages to target population needs)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(target community involved; interviewed medical, organizational, and administrative staff at vaccination centers who provided the necessary information to combine theory and practice; listened to the community)</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(app used to improve vaccine administration by healthcare providers; created with support of healthcare professionals and approval by public health and ministry of health institutes)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(monitored progress post-release; real life pilot tested)</w:t>
            </w:r>
          </w:p>
        </w:tc>
      </w:tr>
      <w:tr w:rsidR="00A25B90" w:rsidRPr="00A761DF" w:rsidTr="005964B4">
        <w:trPr>
          <w:trHeight w:val="574"/>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Rosales et al.,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{"citationID":"eSuGM8kr","properties":{"formattedCitation":"(31)","plainCitation":"(31)","noteIndex":0},"citationItems":[{"id":296,"uris":["http://zotero.org/groups/4911489/items/TXWLRLUL"],"itemData":{"id":296,"type":"article-journal","abstract":"Hardly reached communities in the United States greatly benefit from collective efforts and partnerships from Community Based Organizations, Health Institutions and Government Agencies, yet the effort to engage in this collaborative effort is minimal and funding to support these projects is lacking. The COVID-19 Pandemic exacerbated on a national scale what many vulnerable communities experience regularly; difficult access to basic medical care, information and support. In an effort to directly engage with community organizations and curb the infection rate of the COVID-19 virus within vulnerable communities, the US Centers for Disease Control and Prevention (CDC) launched its first targeted effort to partner directly with community based organizations. This article will highlight the first pilot year of activities and key results of COVID-19 education and vaccination efforts by the Mobile Health and Wellness project. This is a fleet of 11 Mobile Health Vehicles managed by the Mexico Section US-Mexico Border Health Commission in partnership with Alianza Americas, Latino Commission on AIDS, and the CDC, targeting Latino, Immigrant and rural communities across the US.","container-title":"Frontiers in Public Health","DOI":"10.3389/fpubh.2022.1022772","ISSN":"2296-2565","journalAbbreviation":"Front Public Health","note":"PMID: 36699931\nPMCID: PMC9868737","page":"1022772","source":"PubMed Central","title":"Mobile Health and Wellness Project: A binational collaboration of frontline health services to the Latino population in the United States in times of COVID-19","title-short":"Mobile Health and Wellness Project","volume":"10","author":[{"family":"Rosales","given":"Cecilia B."},{"family":"Dávila Chávez","given":"Hilda"},{"family":"Flynn","given":"Michael A."},{"family":"Lara","given":"Juanita"},{"family":"Lira Chávez","given":"Isaura Angélica"},{"family":"Olivares Marín","given":"Leonardo"},{"family":"Romero Rangel","given":"Alejandra"},{"family":"Hirata Okamoto","given":"Ricardo"},{"family":"Rangel Gómez","given":"Maria Gudelia"}],"issued":{"date-parts":[["2023",1,9]]}}}],"schema":"https://github.com/citation-style-language/schema/raw/master/csl-citation.json"}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(31)</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 data on burden of disease among target population; adopting vaccination readiness plans, clinical guidelines, best practices)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(managed by border health commission and partnerships; three strategic initiatives and their corresponding activities: disseminate and adopt, inform and adapt, and target and train; collaboration at governmental, academic, community-organization, and community level; partnerships with Consulates)</w:t>
            </w: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(mobile health units with targeted outreach; culturally and linguistically adapted, free, and accessible regardless of insurance/immigration status)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(digital dissemination of existing and developed cultural and linguistically adapted materials via social media; original infographics, video, and audio resources in alignment with CDC guidelines; testimonials, and public radio and television spots; feedback sessions on best practices and addressing misinformation; </w:t>
            </w:r>
            <w:r w:rsidRPr="00A761DF">
              <w:rPr>
                <w:rFonts w:asciiTheme="minorHAnsi" w:hAnsiTheme="minorHAnsi" w:cstheme="minorHAnsi"/>
                <w:sz w:val="14"/>
                <w:szCs w:val="14"/>
              </w:rPr>
              <w:lastRenderedPageBreak/>
              <w:t>education shared at community events; dissemination of photos of people being vaccinated)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Somewhat (dissemination of information on social networks; Facebook live, open virtual forums; documented key myths and misleading</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information that users shared and efforts made to address information; medical professionals and pharmacists available during</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vaccination events to address concerns)</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(partnerships with community-based organizations; participation and organization of local community; planned with the assistance of local governments, as well as other community organizations; 301 local alliances made with local health, religious and educational centers, and community organizations; essential workers, their families, and communities)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(managed by border health commission in partnership with health services organizations; created alliances with local city and state health departments and with non-governmental organizations; training in CDC best practices; recruitment and training of community health workers, volunteers, interns, and students; medical professionals and pharmacists available during </w:t>
            </w:r>
            <w:r w:rsidRPr="00A761DF">
              <w:rPr>
                <w:rFonts w:asciiTheme="minorHAnsi" w:hAnsiTheme="minorHAnsi" w:cstheme="minorHAnsi"/>
                <w:sz w:val="14"/>
                <w:szCs w:val="14"/>
              </w:rPr>
              <w:lastRenderedPageBreak/>
              <w:t xml:space="preserve">vaccination events to address concerns; health promoters </w:t>
            </w:r>
            <w:proofErr w:type="spellStart"/>
            <w:r w:rsidRPr="00A761DF">
              <w:rPr>
                <w:rFonts w:asciiTheme="minorHAnsi" w:hAnsiTheme="minorHAnsi" w:cstheme="minorHAnsi"/>
                <w:sz w:val="14"/>
                <w:szCs w:val="14"/>
              </w:rPr>
              <w:t>Promotoras</w:t>
            </w:r>
            <w:proofErr w:type="spellEnd"/>
            <w:r w:rsidRPr="00A761DF">
              <w:rPr>
                <w:rFonts w:asciiTheme="minorHAnsi" w:hAnsiTheme="minorHAnsi" w:cstheme="minorHAnsi"/>
                <w:sz w:val="14"/>
                <w:szCs w:val="14"/>
              </w:rPr>
              <w:t xml:space="preserve">, received specialized training and support in self-care from faculty of psychology) </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Yes (vaccines provided; services delivered; various process measures)</w:t>
            </w:r>
          </w:p>
        </w:tc>
      </w:tr>
      <w:tr w:rsidR="00A25B90" w:rsidRPr="00A761DF" w:rsidTr="005964B4">
        <w:trPr>
          <w:trHeight w:val="3759"/>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Shah et al.,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{"citationID":"G3R3AEgJ","properties":{"formattedCitation":"(32)","plainCitation":"(32)","noteIndex":0},"citationItems":[{"id":298,"uris":["http://zotero.org/groups/4911489/items/BL9J9FCL"],"itemData":{"id":298,"type":"article-journal","abstract":"To address disparities in COVID-19 outcomes among Latinos with limited English proficiency in Maryland, our team developed a culturally congruent intervention that coupled a statewide social marketing campaign with community-based COVID-19 services. In the first year, we reached 305 122 people through social media advertisements and had 9607 visitors to the Web site. Social marketing campaigns represent an opportunity to promote COVID-19 testing and vaccine uptake among Latino populations, especially when they are paired with community services that simultaneously address structural barriers to care. (Am J Public Health. 2023;113(3):263-266. https://doi.org/10.2105/10.2105/AJPH.2022.307191).","container-title":"American Journal of Public Health","DOI":"10.2105/AJPH.2022.307191","ISSN":"1541-0048","issue":"3","journalAbbreviation":"Am J Public Health","language":"eng","note":"PMID: 36657094\nPMCID: PMC9932371","page":"263-266","source":"PubMed","title":"A Community-Engaged Social Marketing Campaign to Promote Equitable Access to COVID-19 Services Among Latino Immigrants","volume":"113","author":[{"family":"Shah","given":"Harita S."},{"family":"Miller","given":"Alejandra Flores"},{"family":"Yang","given":"Cui"},{"family":"Grieb","given":"Suzanne M."},{"family":"Lipke","given":"Mitchell"},{"family":"Bigelow","given":"Benjamin F."},{"family":"Phillips","given":"Katherine H."},{"family":"Palomino","given":"Pedro"},{"family":"Page","given":"Kathleen R."}],"issued":{"date-parts":[["2023",3]]}}}],"schema":"https://github.com/citation-style-language/schema/raw/master/csl-citation.json"}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(32)</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 general statistics related to target population)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(intervention designed via community-based participatory research; developed accessible testing and vaccination services in partnership with local community-based organizations; community advisory board involved at each stage; guided by input from Latino community members)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(social marketing to disseminate timely information; community health worker navigation and community-based services to address structural barriers to care; free community-based events; hotline for Latinos, staffed by a team of bilingual CHWs)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(culturally and linguistically appropriate communication for target population outside of traditional</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health care settings; project Web site which included COVID-19 information in English and Spanish; guided by input from community members and media designers; advertisements on social media and community-based organization groups; offline advertisements on radio, billboards)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(social marketing intervention; advertisements distributed through social media and community-based organization social media platform groups) </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(community-based participatory research; partnership with local</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community-based organizations; guided by input from Latino community members; community advisory board guiding at each stage; campaign name was developed through a crowdsourcing open contest to incorporate community input)</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(campaign coupled with community health worker navigation and community-based services)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(reach of campaign evaluated via online metrics and surveys at community-based venues)</w:t>
            </w:r>
          </w:p>
        </w:tc>
      </w:tr>
      <w:tr w:rsidR="00A25B90" w:rsidRPr="00A761DF" w:rsidTr="005964B4">
        <w:trPr>
          <w:trHeight w:val="1392"/>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Tjaden</w:t>
            </w:r>
            <w:proofErr w:type="spellEnd"/>
            <w:r w:rsidRPr="00A761DF">
              <w:rPr>
                <w:rFonts w:asciiTheme="minorHAnsi" w:hAnsiTheme="minorHAnsi" w:cstheme="minorHAnsi"/>
                <w:sz w:val="14"/>
                <w:szCs w:val="14"/>
              </w:rPr>
              <w:t xml:space="preserve">, </w:t>
            </w:r>
            <w:proofErr w:type="spellStart"/>
            <w:r w:rsidRPr="00A761DF">
              <w:rPr>
                <w:rFonts w:asciiTheme="minorHAnsi" w:hAnsiTheme="minorHAnsi" w:cstheme="minorHAnsi"/>
                <w:sz w:val="14"/>
                <w:szCs w:val="14"/>
              </w:rPr>
              <w:t>Haarmann</w:t>
            </w:r>
            <w:proofErr w:type="spellEnd"/>
            <w:r w:rsidRPr="00A761DF">
              <w:rPr>
                <w:rFonts w:asciiTheme="minorHAnsi" w:hAnsiTheme="minorHAnsi" w:cstheme="minorHAnsi"/>
                <w:sz w:val="14"/>
                <w:szCs w:val="14"/>
              </w:rPr>
              <w:t xml:space="preserve">, &amp; </w:t>
            </w:r>
            <w:proofErr w:type="spellStart"/>
            <w:r w:rsidRPr="00A761DF">
              <w:rPr>
                <w:rFonts w:asciiTheme="minorHAnsi" w:hAnsiTheme="minorHAnsi" w:cstheme="minorHAnsi"/>
                <w:sz w:val="14"/>
                <w:szCs w:val="14"/>
              </w:rPr>
              <w:t>Savaskan</w:t>
            </w:r>
            <w:proofErr w:type="spellEnd"/>
            <w:r w:rsidRPr="00A761DF">
              <w:rPr>
                <w:rFonts w:asciiTheme="minorHAnsi" w:hAnsiTheme="minorHAnsi" w:cstheme="minorHAnsi"/>
                <w:sz w:val="14"/>
                <w:szCs w:val="14"/>
              </w:rPr>
              <w:t>, 2023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{"citationID":"qDmiCycJ","properties":{"formattedCitation":"(35)","plainCitation":"(35)","noteIndex":0},"citationItems":[{"id":314,"uris":["http://zotero.org/groups/4911489/items/B9878TDR"],"itemData":{"id":314,"type":"article-journal","abstract":"Studies from several countries suggest that COVID-19 vaccination rates are lower among migrants compared to the general population. Urgent calls have been made to improve vaccine outreach to migrants, however, there is limited evidence on effective approaches, especially using social media. We assessed a targeted, low-cost, Facebook campaign disseminating COVID-19 vaccine information among Arabic, Turkish and Russian speakers in Germany (N = 888,994). As part of the campaign, we conducted two randomized, online experiments to assess the impact of the advertisement (1) language and (2) depicted messenger (government authority, religious leader, doctor or family). Key outcomes included reach, click-through rates, conversion rates and cost-effectiveness. Within 29 days, the campaign reached 890 thousand Facebook users. On average, 2.3 individuals accessed the advertised COVID-19 vaccination appointment tool for every euro spent on the campaign. Migrants were 2.4 (Arabic), 1.8 (Russian) and 1.2 (Turkish) times more likely to click on advertisements translated to their native language compared to German-language advertisements. Furthermore, findings showed that government representatives can be more successful in engaging migrants online compared to other messengers, despite common claims of lower trust in government institutions among migrants. This study highlights the potential of tailored, and translated, vaccination campaigns on social media for reaching migrants who may be left out by traditional media campaigns.","container-title":"Scientific Reports","DOI":"10.1038/s41598-022-20340-2","ISSN":"2045-2322","issue":"1","journalAbbreviation":"Sci Rep","language":"en","license":"2022 The Author(s)","note":"number: 1\npublisher: Nature Publishing Group","page":"16256","source":"www.nature.com","title":"Experimental evidence on improving COVID-19 vaccine outreach among migrant communities on social media","volume":"12","author":[{"family":"Tjaden","given":"Jasper"},{"family":"Haarmann","given":"Esther"},{"family":"Savaskan","given":"Nicolai"}],"issued":{"date-parts":[["2022",9,28]]}}}],"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(35)</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(general vaccination rates of migrant population; interviews with local stakeholders)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(design of interventions with local stakeholders working with migrant communities, including a local public health agency, affiliated social work providers and an agency for intercultural communication)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(delivered intervention virtually; advertisements were linguistically and culturally appropriate to each migrant group)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(social media advertisements; easy access to vaccination appointment booking tools; randomly assigned to advertisement in native language or local language and to different messengers; ads disseminated in native language of each migrant group and images adjusted for each language group; vaccination appointment booking tool/website with information in own language)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(social media advertisements adjusted to match user ethnic background) </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(interviews with local stakeholders working with migrant communities to help design intervention; collaboration with agency for intercultural communication) </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with a local public health agency, social work providers; campaign included link to book local vaccination appointment)</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(aggregate data on reach and click-through rate: number of unique users who click on the COVID-19 vaccination appointment link; automatic tracking by Facebook; cost-effectiveness)</w:t>
            </w:r>
          </w:p>
        </w:tc>
      </w:tr>
      <w:tr w:rsidR="00A25B90" w:rsidRPr="00A761DF" w:rsidTr="005964B4">
        <w:trPr>
          <w:trHeight w:val="174"/>
        </w:trPr>
        <w:tc>
          <w:tcPr>
            <w:tcW w:w="13260" w:type="dxa"/>
            <w:gridSpan w:val="9"/>
            <w:tcBorders>
              <w:top w:val="single" w:sz="6" w:space="0" w:color="CCCCCC"/>
              <w:left w:val="single" w:sz="6" w:space="0" w:color="000000"/>
              <w:bottom w:val="single" w:sz="6" w:space="0" w:color="000000"/>
              <w:right w:val="single" w:sz="6" w:space="0" w:color="000000"/>
            </w:tcBorders>
            <w:shd w:val="clear" w:color="auto" w:fill="EFEFEF"/>
            <w:tcMar>
              <w:top w:w="40" w:type="dxa"/>
              <w:left w:w="40" w:type="dxa"/>
              <w:bottom w:w="40" w:type="dxa"/>
              <w:right w:w="40" w:type="dxa"/>
            </w:tcMar>
          </w:tcPr>
          <w:p w:rsidR="00A25B90" w:rsidRPr="00A761DF" w:rsidRDefault="00A25B90" w:rsidP="005964B4">
            <w:pPr>
              <w:widowControl w:val="0"/>
              <w:rPr>
                <w:rFonts w:asciiTheme="minorHAnsi" w:hAnsiTheme="minorHAnsi" w:cstheme="minorHAnsi"/>
                <w:b/>
                <w:sz w:val="16"/>
                <w:szCs w:val="16"/>
              </w:rPr>
            </w:pPr>
            <w:r w:rsidRPr="00A761DF">
              <w:rPr>
                <w:rFonts w:asciiTheme="minorHAnsi" w:hAnsiTheme="minorHAnsi" w:cstheme="minorHAnsi"/>
                <w:b/>
                <w:sz w:val="16"/>
                <w:szCs w:val="16"/>
              </w:rPr>
              <w:t>Other Vaccines</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Amani et al., 2021</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{"citationID":"EKBt3mvM","properties":{"formattedCitation":"(40)","plainCitation":"(40)","noteIndex":0},"citationItems":[{"id":319,"uris":["http://zotero.org/groups/4911489/items/3C9EXI8E"],"itemData":{"id":319,"type":"article-journal","container-title":"International Journal of Tropical Medicine","language":"en","page":"41-46","source":"pesquisa.bvsalud.org","title":"Preventive mass vaccination campaign against meningococcal meningitis in refugee camps of cameroun during the covid-19 pandemic: Vaccination coverage, challenges, best practices and lessons learned","title-short":"Preventive mass vaccination campaign against meningococcal meningitis in refugee camps of cameroun during the covid-19 pandemic","author":[{"family":"Amani","given":"A."},{"family":"Bita","given":"A."},{"family":"Nkwele","given":"I. M."},{"family":"Dairou","given":"I. A."},{"family":"Nangmo","given":"A."},{"family":"Ndongo","given":"M. N."},{"family":"Mbonda","given":"A."},{"family":"Ousmanou","given":"H. I."},{"family":"Ndongo","given":"C. B."}],"issued":{"date-parts":[["2021"]]}}}],"schema":"https://github.com/citation-style-language/schema/raw/master/csl-citation.json"}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(40)</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(target population identified through refugee camp statistics)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(different levels of the ministry of health involved in campaign planning and coordination; technical and financial partners (ICG, WHO) were present at each level of coordination)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(campaign in</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refugee camps; installation of fixed and temporary posts; social mobilization)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(posters in both national languages; advocacy, communication; advocacy, communication and social mobilization with journalists/health animators involved in training of media professionals)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and communication with refugee camps leaders and partners; social mobilization strategies)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(regional and districts coordinating teams briefed; collaboration with vaccination staff,</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involvement of ministry of public health and technical and financial partners (e.g., WHO, UNHCR, UNICEF))</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(vaccine coverage data collected during the campaign from the campaign tally sheets; evaluation meetings)</w:t>
            </w:r>
          </w:p>
          <w:p w:rsidR="00A25B90" w:rsidRPr="00A761DF" w:rsidRDefault="00A25B90" w:rsidP="005964B4">
            <w:pPr>
              <w:widowControl w:val="0"/>
              <w:rPr>
                <w:rFonts w:asciiTheme="minorHAnsi" w:hAnsiTheme="minorHAnsi" w:cstheme="minorHAnsi"/>
                <w:sz w:val="14"/>
                <w:szCs w:val="14"/>
              </w:rPr>
            </w:pPr>
          </w:p>
          <w:p w:rsidR="00A25B90" w:rsidRPr="00A761DF" w:rsidRDefault="00A25B90" w:rsidP="005964B4">
            <w:pPr>
              <w:widowControl w:val="0"/>
              <w:rPr>
                <w:rFonts w:asciiTheme="minorHAnsi" w:hAnsiTheme="minorHAnsi" w:cstheme="minorHAnsi"/>
                <w:sz w:val="14"/>
                <w:szCs w:val="14"/>
              </w:rPr>
            </w:pP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Aragones</w:t>
            </w:r>
            <w:proofErr w:type="spellEnd"/>
            <w:r w:rsidRPr="00A761DF">
              <w:rPr>
                <w:rFonts w:asciiTheme="minorHAnsi" w:hAnsiTheme="minorHAnsi" w:cstheme="minorHAnsi"/>
                <w:sz w:val="14"/>
                <w:szCs w:val="14"/>
              </w:rPr>
              <w:t xml:space="preserve"> et al., 2015</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{"citationID":"wwpiXmoE","properties":{"formattedCitation":"(41)","plainCitation":"(41)","noteIndex":0},"citationItems":[{"id":269,"uris":["http://zotero.org/groups/4911489/items/WY9C4HUK"],"itemData":{"id":269,"type":"article-journal","abstract":"OBJECTIVE: Latino populations, particularly Mexican-Americans who comprise 65% of the Latinos in the U.S., are disproportionately affected by HPV-related diseases. The HPV vaccination completion rates remain low, well below the Healthy People 2020 goal. In this study we assessed the effect of parental education and a text messaging reminder service on HPV vaccine completion rates among eligible children of Mexican American parents.\nSTUDY DESIGN: Nonequivalent group study of Mexican parents of HPV vaccine eligible children attended the Health Window program at the Mexican Consulate in New York City, a non-clinical, trusted community setting, during 2012-2013. 69 parents received HPV education onsite, 45 of whom also received a series of text message vaccination reminders. We measured HPV vaccination completion of the youngest eligible children of Mexican parents as the main outcome.\nRESULTS: 98% of those in the education plus text messaging group reported getting the first dose of the vaccine for their child and 87% among those in the educational group only (p = 0.11). 88% of those receiving the 1st dose in the text messaging group reported completing the three doses versus 40% in the educational group only (p = 0.004).\nCONCLUSIONS: Parental text messaging plus education, implemented in a community based setting, was strongly associated with vaccine completion rates among vaccine-eligible Mexican American children. Although pilot in nature, the study achieved an 88% series completion rate in the children of those who received the text messages, significantly higher than current vaccination levels.","container-title":"Preventive Medicine Reports","DOI":"10.1016/j.pmedr.2015.06.015","ISSN":"2211-3355","journalAbbreviation":"Prev Med Rep","language":"eng","note":"PMID: 26844117\nPMCID: PMC4721322","page":"554-558","source":"PubMed","title":"Parental education and text messaging reminders as effective community based tools to increase HPV vaccination rates among Mexican American children","volume":"2","author":[{"family":"Aragones","given":"Abraham"},{"family":"Bruno","given":"Denise M."},{"family":"Ehrenberg","given":"Mariane"},{"family":"Tonda-Salcedo","given":"Josana"},{"family":"Gany","given":"Francesca M."}],"issued":{"date-parts":[["2015"]]}}}],"schema":"https://github.com/citation-style-language/schema/raw/master/csl-citation.json"}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(41)</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(general data on populations disproportionately affected by disease; self-selected group attending</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Health Windows at the consulate)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between humanitarian associations and the local health authorities)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(trusted community settings; those who accessed the Health Window program at the Mexican Consulate in New York City)</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(parental text messaging reminders in Spanish; one on one educational session and answering questions; brochure from CDC provided)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setting serving large Mexican American populations; trusted community settings)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between humanitarian associations and the local health authorities)</w:t>
            </w:r>
          </w:p>
          <w:p w:rsidR="00A25B90" w:rsidRPr="00A761DF" w:rsidRDefault="00A25B90" w:rsidP="005964B4">
            <w:pPr>
              <w:widowControl w:val="0"/>
              <w:rPr>
                <w:rFonts w:asciiTheme="minorHAnsi" w:hAnsiTheme="minorHAnsi" w:cstheme="minorHAnsi"/>
                <w:sz w:val="14"/>
                <w:szCs w:val="14"/>
              </w:rPr>
            </w:pP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(vaccine series completion) </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Brown et al., 2021</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{"citationID":"T4E5oYHz","properties":{"formattedCitation":"(42)","plainCitation":"(42)","noteIndex":0},"citationItems":[{"id":271,"uris":["http://zotero.org/groups/4911489/items/VCJDSLSV"],"itemData":{"id":271,"type":"article-journal","abstract":"Vulnerable populations such as the uninsured, unemployed, and unhoused face significant morbidity and mortality from influenza but are less likely to receive the annual vaccine and have limited access to medical care. We describe an interprofessional, student-run vaccine outreach program (VOP) in Davidson County, Tennessee that lowers barriers to vaccination through free vaccination events in nontraditional community locations. We provide this framework as a model to expand novel, seasonal, or outbreak-oriented vaccine outreach to resource-poor populations. Demographic data were collected from the patients who received an influenza vaccine between 2015 and 2019 through an optional survey to determine whether these events were reaching unhoused, uninsured, and/or unemployed individuals. Of 1,803 patients, 1,733 (96.1%) completed at least one field of the demographic form. Overall, 481 (27.8%) were individuals without homes or living in temporary housing and 673 (38.8%) were unemployed. Most patients, 1,109 (64.0%), did not have health insurance at any point during the prior two years. With the addition of a nurse practitioner student to VOP leadership, the 2018-2019 VOP reached the most unhoused or temporarily-housed (228, 32.3%), unemployed (313, 18.5%), and disabled (60, 8.5%) patients. The VOP can be adapted to meet community needs, funding, and volunteer interest. The VOP model may be applicable to a SARS-CoV-2 vaccine, especially since the economic impact of COVID-19 has increased unemployment rates and housing instability. Healthcare students serve as an eager, underutilized resource who can be leveraged to disseminate vaccines to individuals with limited access to care.","container-title":"Preventive Medicine","DOI":"10.1016/j.ypmed.2021.106460","ISSN":"1096-0260","journalAbbreviation":"Prev Med","language":"eng","note":"PMID: 33609616\nPMCID: PMC8096696","page":"106460","source":"PubMed","title":"Influenza vaccine community outreach: Leveraging an interprofessional healthcare student workforce to immunize marginalized populations","title-short":"Influenza vaccine community outreach","volume":"147","author":[{"family":"Brown","given":"Sarah H."},{"family":"Fisher","given":"Emilie L."},{"family":"Taylor","given":"Alexandra Q."},{"family":"Neuzil","given":"Kevin E."},{"family":"Trump","given":"Samuel W."},{"family":"Sack","given":"Daniel E."},{"family":"Fricker","given":"Gregory P."},{"family":"Miller","given":"Robert F."}],"issued":{"date-parts":[["2021",6]]}}}],"schema":"https://github.com/citation-style-language/schema/raw/master/csl-citation.json"}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(42)</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(general information on target population)</w:t>
            </w: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(interprofessional, student-run vaccine outreach program; interprofessional collaboration between healthcare staff and coordinators/directors)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(outreach program with free vaccines; vaccination events in nontraditional community locations; recruitment of interpreters for each event/telephone-based medical interpreting service)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(one on one conversations with potential patients; student volunteers provide education at events)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(coordinators contacted community organizations that serve vulnerable populations to schedule vaccine events; community partners advertised influenza vaccinations offered on a certain day; community events)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(interprofessional, student-run vaccine outreach program with collaboration between nurse practitioner, medical, nursing, pharmacy students; interprofessional collaboration between healthcare staff and project coordinators)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(vaccine rates monitored; demographic data through optional survey)</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Chu et al., 2021</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{"citationID":"ZWUpAWJm","properties":{"formattedCitation":"(43)","plainCitation":"(43)","noteIndex":0},"citationItems":[{"id":275,"uris":["http://zotero.org/groups/4911489/items/YPZIGRYI"],"itemData":{"id":275,"type":"article-journal","abstract":"OBJECTIVE: HPV vaccine uptake in U.S. East African adolescents is low. We developed and evaluated a culturally-targeted interactive educational intervention for East African immigrant mothers to increase HPV-vaccine-related knowledge, attitudes, and intentions to vaccinate adolescent children.\nMETHODS: Eligible mothers had ≥ 1 11-17-year-old child and reported all children's HPV vaccination status as unvaccinated or unknown. The intervention was delivered via 10 dinners in the Seattle metropolitan area (8 with the Somali community, 2 with the Ethiopian community). Educational presentations and pre/post-tests on knowledge, attitudes, and intentions were conducted in the participants' native language by a co-ethnic physician. Pre/post differences in responses were evaluated with McNemar's tests and GEE models. HPV vaccination uptake 6-months post-intervention was evaluated using state immunization registry data.\nRESULTS: Of 115 participating mothers, most (84%) were Somali and &lt; 40 years of age (60%). Median years of formal education was 8 (range 0-16), and 61% reported a household income &lt;$25,000. Knowledge of HPV/HPV-vaccines was low pre-intervention, with correct responses ranging from 4% to 39% (61%-91% of responses were \"not sure\"); correct post-intervention responses ranged from 29% to 97%. Pre-intervention, only 12% of mothers thought they had enough information to make a decision about vaccination, compared to 90% post-intervention. Pre-intervention, only 16% of mothers reported that they were somewhat or very likely to vaccinate their child, compared to 83% post-intervention. All pre/post comparisons were statistically significantly different (p &lt; 0.0001). Although mothers were more likely to report correct HPV-related knowledge and positive vaccine attitudes and intentions post-intervention, only two mothers' children initiated HPV vaccination within 6 months after the intervention.\nCONCLUSIONS: Results illustrate that a culturally targeted educational intervention effectively increased East African mothers' HPV vaccine-related knowledge, attitudes, and intentions to vaccinate their adolescent children. Future research should identify additional intervention components that can bridge the gap between intention and behavior to facilitate HPV vaccine uptake.","container-title":"Vaccine","DOI":"10.1016/j.vaccine.2021.05.029","ISSN":"1873-2518","issue":"28","journalAbbreviation":"Vaccine","language":"eng","note":"PMID: 34053792\nPMCID: PMC9984200","page":"3767-3776","source":"PubMed","title":"The impact of an educational forum intervention on East African mothers' HPV vaccine-related knowledge, attitudes, and intentions to vaccinate their adolescent children","volume":"39","author":[{"family":"Chu","given":"Huong"},{"family":"Ko","given":"Linda K."},{"family":"Ibrahim","given":"Anisa"},{"family":"Bille Mohamed","given":"Farah"},{"family":"Lin","given":"John"},{"family":"Shankar","given":"Megha"},{"family":"Amsalu","given":"Fanaye"},{"family":"Ali","given":"Ahmed A."},{"family":"Richardson","given":"Barbra A."},{"family":"Taylor","given":"Victoria M."},{"family":"Winer","given":"Rachel L."}],"issued":{"date-parts":[["2021",6,23]]}}}],"schema":"https://github.com/citation-style-language/schema/raw/master/csl-citation.json"}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(43)</w:t>
            </w:r>
            <w:r w:rsidRPr="00A761DF">
              <w:rPr>
                <w:rFonts w:asciiTheme="minorHAnsi" w:hAnsiTheme="minorHAnsi" w:cstheme="minorHAnsi"/>
                <w:sz w:val="14"/>
                <w:szCs w:val="14"/>
              </w:rPr>
              <w:fldChar w:fldCharType="end"/>
            </w:r>
          </w:p>
        </w:tc>
        <w:tc>
          <w:tcPr>
            <w:tcW w:w="150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Yes (review of formative research on barriers; focus groups on needs; Washington State Immunization Information System (WAIIS) for vaccination history; pre-intervention survey for baseline knowledge, attitudes, and intentions)</w:t>
            </w:r>
          </w:p>
        </w:tc>
        <w:tc>
          <w:tcPr>
            <w:tcW w:w="153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Yes (collaborated with project assistants from community; feedback from community partners and stakeholders)</w:t>
            </w:r>
          </w:p>
        </w:tc>
        <w:tc>
          <w:tcPr>
            <w:tcW w:w="153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Yes (barriers/facilitator information reviewed and focus group findings incorporated to deliver culturally-appropriate interventions/events; research staff fluent in target language)</w:t>
            </w:r>
          </w:p>
        </w:tc>
        <w:tc>
          <w:tcPr>
            <w:tcW w:w="153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Yes (culturally-targeted education delivered by co-ethnic health professionals in native language; materials reviewed by co-ethnic research assistants and feedback from stakeholders; question and answer period; video testimonial by community member)</w:t>
            </w:r>
          </w:p>
        </w:tc>
        <w:tc>
          <w:tcPr>
            <w:tcW w:w="153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Yes (focus group with target community; team/co-ethnic research assistants; community partners provided contacts; video testimonial of a mother from community; worked closely with project assistants from</w:t>
            </w:r>
          </w:p>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community who are fluent in target language)</w:t>
            </w:r>
          </w:p>
        </w:tc>
        <w:tc>
          <w:tcPr>
            <w:tcW w:w="1710"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551" w:type="dxa"/>
            <w:tcBorders>
              <w:top w:val="single" w:sz="6" w:space="0" w:color="CCCCCC"/>
              <w:left w:val="nil"/>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pBdr>
                <w:top w:val="nil"/>
                <w:left w:val="nil"/>
                <w:bottom w:val="nil"/>
                <w:right w:val="nil"/>
                <w:between w:val="nil"/>
              </w:pBdr>
              <w:rPr>
                <w:rFonts w:asciiTheme="minorHAnsi" w:hAnsiTheme="minorHAnsi" w:cstheme="minorHAnsi"/>
                <w:sz w:val="14"/>
                <w:szCs w:val="14"/>
              </w:rPr>
            </w:pPr>
            <w:r w:rsidRPr="00A761DF">
              <w:rPr>
                <w:rFonts w:asciiTheme="minorHAnsi" w:hAnsiTheme="minorHAnsi" w:cstheme="minorHAnsi"/>
                <w:sz w:val="14"/>
                <w:szCs w:val="14"/>
              </w:rPr>
              <w:t>Yes (pre/post-tests on knowledge, attitudes, and intentions; confirmation of vaccination after 6 months with registry data)</w:t>
            </w:r>
          </w:p>
        </w:tc>
      </w:tr>
      <w:tr w:rsidR="00A25B90" w:rsidRPr="00A761DF" w:rsidTr="005964B4">
        <w:trPr>
          <w:trHeight w:val="39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Coady</w:t>
            </w:r>
            <w:proofErr w:type="spellEnd"/>
            <w:r w:rsidRPr="00A761DF">
              <w:rPr>
                <w:rFonts w:asciiTheme="minorHAnsi" w:hAnsiTheme="minorHAnsi" w:cstheme="minorHAnsi"/>
                <w:sz w:val="14"/>
                <w:szCs w:val="14"/>
              </w:rPr>
              <w:t xml:space="preserve"> et al., 2008</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{"citationID":"nzcMvNtP","properties":{"formattedCitation":"(44)","plainCitation":"(44)","noteIndex":0},"citationItems":[{"id":223,"uris":["http://zotero.org/groups/4911489/items/FQRJPA8Q"],"itemData":{"id":223,"type":"article-journal","abstract":"OBJECTIVES: We sought to determine whether the work of a community-based participatory research partnership increased interest in influenza vaccination among hard-to-reach individuals in urban settings.\nMETHODS: A partnership of researchers and community members carried out interventions for increasing acceptance of influenza vaccination in disadvantaged urban neighborhoods, focusing on hard-to-reach populations (e.g., substance abusers, immigrants, elderly, sex workers, and homeless persons) in East Harlem and the Bronx in New York City. Activities targeted the individual, community organization, and neighborhood levels and included dissemination of information, presentations at meetings, and provision of street-based and door-to-door vaccination during 2 influenza vaccine seasons. Participants were recruited via multiple modalities. Multivariable analyses were performed to compare interest in receiving vaccination pre- and postintervention.\nRESULTS: There was increased interest in receiving the influenza vaccine postintervention (P&lt;.01). Being a member of a hard-to-reach population (P=.03), having ever received an influenza vaccine (P&lt;.01), and being in a priority group for vaccination (P&lt;.01) were also associated with greater interest in receiving the vaccine.\nCONCLUSIONS: Targeting underserved neighborhoods through a multilevel community-based participatory research intervention significantly increased interest in influenza vaccination, particularly among hard-to-reach populations. Such interventions hold promise for increasing vaccination rates annually and in pandemic situations.","container-title":"American Journal of Public Health","DOI":"10.2105/AJPH.2007.119586","ISSN":"1541-0048","issue":"7","journalAbbreviation":"Am J Public Health","language":"eng","note":"PMID: 18511725\nPMCID: PMC2424104","page":"1314-1321","source":"PubMed","title":"Project VIVA: a multilevel community-based intervention to increase influenza vaccination rates among hard-to-reach populations in New York City","title-short":"Project VIVA","volume":"98","author":[{"family":"Coady","given":"Micaela H."},{"family":"Galea","given":"Sandro"},{"family":"Blaney","given":"Shannon"},{"family":"Ompad","given":"Danielle C."},{"family":"Sisco","given":"Sarah"},{"family":"Vlahov","given":"David"},{"literal":"Project Viva Intervention Working Group"}],"issued":{"date-parts":[["2008",7]]}}}],"schema":"https://github.com/citation-style-language/schema/raw/master/csl-citation.json"}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(44)</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(estimated size of hard-to-reach populations; venue-based and door-to-door </w:t>
            </w:r>
            <w:r w:rsidRPr="00A761DF">
              <w:rPr>
                <w:rFonts w:asciiTheme="minorHAnsi" w:hAnsiTheme="minorHAnsi" w:cstheme="minorHAnsi"/>
                <w:sz w:val="14"/>
                <w:szCs w:val="14"/>
              </w:rPr>
              <w:lastRenderedPageBreak/>
              <w:t>sampling; surveys to examine vaccination barriers)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Yes (community-based participatory research</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(CBPR) approach; intervention working </w:t>
            </w:r>
            <w:r w:rsidRPr="00A761DF">
              <w:rPr>
                <w:rFonts w:asciiTheme="minorHAnsi" w:hAnsiTheme="minorHAnsi" w:cstheme="minorHAnsi"/>
                <w:sz w:val="14"/>
                <w:szCs w:val="14"/>
              </w:rPr>
              <w:lastRenderedPageBreak/>
              <w:t>group met regularly throughout the project to develop study design and to guide project implementation and evaluation)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Yes (outreach activities in target communities with hard-to-reach populations; door-to-</w:t>
            </w:r>
            <w:r w:rsidRPr="00A761DF">
              <w:rPr>
                <w:rFonts w:asciiTheme="minorHAnsi" w:hAnsiTheme="minorHAnsi" w:cstheme="minorHAnsi"/>
                <w:sz w:val="14"/>
                <w:szCs w:val="14"/>
              </w:rPr>
              <w:lastRenderedPageBreak/>
              <w:t>door, on the street, at community-based organizations; free clinics)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(flyers, comic strips, and informational pamphlets distributed to passerby and </w:t>
            </w:r>
            <w:proofErr w:type="spellStart"/>
            <w:r w:rsidRPr="00A761DF">
              <w:rPr>
                <w:rFonts w:asciiTheme="minorHAnsi" w:hAnsiTheme="minorHAnsi" w:cstheme="minorHAnsi"/>
                <w:sz w:val="14"/>
                <w:szCs w:val="14"/>
              </w:rPr>
              <w:lastRenderedPageBreak/>
              <w:t>neighbourhood</w:t>
            </w:r>
            <w:proofErr w:type="spellEnd"/>
            <w:r w:rsidRPr="00A761DF">
              <w:rPr>
                <w:rFonts w:asciiTheme="minorHAnsi" w:hAnsiTheme="minorHAnsi" w:cstheme="minorHAnsi"/>
                <w:sz w:val="14"/>
                <w:szCs w:val="14"/>
              </w:rPr>
              <w:t xml:space="preserve"> residents)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(partnership of academic researchers and community members; community-based </w:t>
            </w:r>
            <w:r w:rsidRPr="00A761DF">
              <w:rPr>
                <w:rFonts w:asciiTheme="minorHAnsi" w:hAnsiTheme="minorHAnsi" w:cstheme="minorHAnsi"/>
                <w:sz w:val="14"/>
                <w:szCs w:val="14"/>
              </w:rPr>
              <w:lastRenderedPageBreak/>
              <w:t>participatory research (CBPR); community organization presentations given to local community boards and organizations)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Yes (vaccines administered door-to-door; nurses and physicians</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provided vaccination to </w:t>
            </w:r>
            <w:r w:rsidRPr="00A761DF">
              <w:rPr>
                <w:rFonts w:asciiTheme="minorHAnsi" w:hAnsiTheme="minorHAnsi" w:cstheme="minorHAnsi"/>
                <w:sz w:val="14"/>
                <w:szCs w:val="14"/>
              </w:rPr>
              <w:lastRenderedPageBreak/>
              <w:t>eligible participants</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during the vaccination phases; working group comprised of members of local health department)</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(interest in vaccination pre and post intervention; working group met through </w:t>
            </w:r>
            <w:r w:rsidRPr="00A761DF">
              <w:rPr>
                <w:rFonts w:asciiTheme="minorHAnsi" w:hAnsiTheme="minorHAnsi" w:cstheme="minorHAnsi"/>
                <w:sz w:val="14"/>
                <w:szCs w:val="14"/>
              </w:rPr>
              <w:lastRenderedPageBreak/>
              <w:t>project)</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Harvey et al., 2020</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{"citationID":"RXYBxubQ","properties":{"formattedCitation":"(45)","plainCitation":"(45)","noteIndex":0},"citationItems":[{"id":308,"uris":["http://zotero.org/groups/4911489/items/RE3S47VV"],"itemData":{"id":308,"type":"article-journal","abstract":"Supporting the global eradication of wildpoliovrisu (WPV), this project aimed to provide polio and measles vaccines to a population frequenty missed by immunization services and campaigns, ethnic Somali children living among mobile populations within Kenya's Northeastern Region. Additionally, nutritional support, albendazole (for treatment of intestinal parasites) and vitamin A were provided to improve children's health and in accordance with regional vaccination campaign practices. To better understand movement patterns and healthcare-seeking behaviors within this population, we trained community-based data collectors in qualitative and geospatial data collection methods. Data collectors conducted focus group and participatory mapping discussions with ethnic Somalis living in the region. Qualitative and geospatial data indicated movement patterns that followed partially definable routes and temporary settlement patterns with an influx of ethnic Somali migrants into Kenya at the start of the long rainy season (April-June). Community members also reported concerns about receiving healthcare services in regional health facilities. Using these data, an 8-week vaccination campaign was planned and implemented: 2196 children aged 0-59 months received polio vaccine (9% had not previously received polio vaccine), 2524 children aged 9-59 months received measles vaccine (27% had not previously received measles vaccine), 113 were referred for the treatment of severe acute malnourishment, 150 were referred to a supplementary feeding program due to moderate acute malnourishment, 1636 children aged 12-59 months were provided albendazole and 2008 children aged 6-59 months were provided with vitamin A. This project serves as an example for how community-based data collectors and local knowledge can help adapt public health programming to the local context and could aid disease eradication in at-risk populations.","container-title":"Ethnicity &amp; Health","DOI":"10.1080/13557858.2020.1838455","ISSN":"1465-3419","issue":"4","journalAbbreviation":"Ethn Health","language":"eng","note":"PMID: 33126830\nPMCID: PMC10120329","page":"817-832","source":"PubMed","title":"Planning and implementing a targeted polio vaccination campaign for Somali mobile populations in Northeastern Kenya based on migration and settlement patterns","volume":"27","author":[{"family":"Harvey","given":"Bonnie"},{"family":"Dalal","given":"Warren"},{"family":"Amin","given":"Farah"},{"family":"McIntyre","given":"Elvira"},{"family":"Ward","given":"Sarah"},{"family":"Merrill","given":"Rebecca D."},{"family":"Mohamed","given":"Abdinoor"},{"family":"Hsu","given":"Christopher H."}],"issued":{"date-parts":[["2022",5]]}}}],"schema":"https://github.com/citation-style-language/schema/raw/master/csl-citation.json"}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(45)</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(campaign designed from data collected from focus groups and participatory mapping discussions; qualitative and geospatial data)</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(engaged with local health department to coordinate services; collaboration with community mobilizers, non-governmental health agencies)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(twenty-four vaccination sites were determined based on migration routes; mass vaccination campaign; static teams placed at key locations)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mobilizers and other leaders provided mass awareness sessions)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between community-based data collectors and utilization of local knowledge; community mobilizers)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(engaged with local department of health and international and national non-governmental health agencies (e.g. International Organization of Migration, IOM))</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rates)</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Hoppe &amp; Eckert, 2011</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{"citationID":"svk2AilF","properties":{"formattedCitation":"(46)","plainCitation":"(46)","noteIndex":0},"citationItems":[{"id":280,"uris":["http://zotero.org/groups/4911489/items/CGWGBAUU"],"itemData":{"id":280,"type":"article-journal","abstract":"OBJECTIVE: To report on a multifaceted approach to increase uptake of the H1N1 vaccine in our ethnically diverse obstetrical population.\nMETHODS: A review of our obstetric clinic vaccine registry and the approaches used to increase vaccine uptake. We created a real-time vaccine registry, educated patients in their own language via educational videos and use of cultural case workers, facilitated patient appointments and transportation, educated staff, and used other interventions to enhance immunization uptake.\nRESULTS: Within the first month of H1N1 availability, we vaccinated 120 of our total 157 obstetrics patients. Our overall coverage rate was 76% (number vaccinated/total number eligible.) Of the enrolled patients, the vaccine acceptance rates were similar in our English (59 (78%) of 76) versus non-English (59 (75%) of 79) speaking patients.\nCONCLUSIONS: High vaccine coverage is possible in an ethnically diverse, highly immigrant obstetrics population.","container-title":"Infectious Diseases in Obstetrics and Gynecology","DOI":"10.1155/2011/746214","ISSN":"1098-0997","journalAbbreviation":"Infect Dis Obstet Gynecol","language":"eng","note":"PMID: 21760700\nPMCID: PMC3132504","page":"746214","source":"PubMed","title":"Achieving high coverage of H1N1 influenza vaccine in an ethnically diverse obstetric population: success of a multifaceted approach","title-short":"Achieving high coverage of H1N1 influenza vaccine in an ethnically diverse obstetric population","volume":"2011","author":[{"family":"Hoppe","given":"Kara K."},{"family":"Eckert","given":"Linda O."}],"issued":{"date-parts":[["2011"]]}}}],"schema":"https://github.com/citation-style-language/schema/raw/master/csl-citation.json"}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(46)</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(target population numbers from clinic administrative data; standardized data form collected age, ethnic background, spoken language, acceptance or refusal of the H1N1 vaccine, and confirmed cases of H1N1)</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(innovation in service delivery; educational sessions for team members; planned future obstetrical visits to occur within two weeks of vaccine release; created real-time vaccine registry with electronic schedule prompts)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(facilitated patient appointments and transportation; information accessible in own language; contacting patients personally in own language)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(culturally and linguistically appropriate, accurate, timely and user-friendly</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information; interpreters invited; educational video in the waiting room in 9 languages; written material provided to patients)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(improved training and awareness among health-care and frontline workers; adapted existing clinic practices; standing orders for vaccine administration; certified medical interpreters and cultural case workers to facilitate the integration of recent immigrants into new medical system)</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(demographic and outcome characteristics of vaccinated versus unvaccinated patients)</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Kong et al., 2020</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{"citationID":"JPgoWZba","properties":{"formattedCitation":"(47)","plainCitation":"(47)","noteIndex":0},"citationItems":[{"id":193,"uris":["http://zotero.org/groups/4911489/items/GS4RIS56"],"itemData":{"id":193,"type":"article-journal","abstract":"OBJECTIVE: This report describes a mobile outreach influenza immunisation program for vulnerable populations in a resource-rich setting. It explores vaccine recipients' demographics, comorbidities and vaccination histories, and the factors influencing their decision to receive vaccine during outreach.\nMETHODS: Teams of nurse immunisers visited and provided influenza vaccines to clients from 21 sites (18 community centres for migrants, refugees and the homeless; and three outpatient clinics). Risk factors for severe influenza, vaccination histories and perceived barriers and facilitators to vaccines were collected from vaccine recipients.\nRESULTS: A total of 1,032 vaccine recipients participated in the survey with responses collected from April to October 2018. Of these, 54% reported at least one risk factor for severe influenza. Sixty per cent of recipients had not received an influenza vaccine in 2017, with most of them reporting 'not worried about influenza' as a reason. Pregnant participants most frequently reported a healthcare provider's recommendation as the reason to receive the vaccine.\nCONCLUSION: An outreach program comprising of a means of taking vaccines to the population was a successful strategy to deliver influenza vaccines to high-risk populations. It needs to be considered in the full range of delivery models to improve influenza vaccine coverage, even in resource-rich settings. Implication for public health: Strategies reaching out to vulnerable populations are crucial to maximise vaccine uptake.","container-title":"Australian and New Zealand Journal of Public Health","DOI":"10.1111/1753-6405.12964","ISSN":"1753-6405","issue":"2","journalAbbreviation":"Aust N Z J Public Health","language":"eng","note":"PMID: 32101355","page":"163-168","source":"PubMed","title":"Factors influencing the uptake of influenza vaccine vary among different groups in the hard-to-reach population","volume":"44","author":[{"family":"Kong","given":"Khai Lin"},{"family":"Chu","given":"Sandy"},{"family":"Giles","given":"Michelle L."}],"issued":{"date-parts":[["2020",4]]}}}],"schema":"https://github.com/citation-style-language/schema/raw/master/csl-citation.json"}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(47)</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(identified hard-to-reach populations; </w:t>
            </w:r>
            <w:proofErr w:type="gramStart"/>
            <w:r w:rsidRPr="00A761DF">
              <w:rPr>
                <w:rFonts w:asciiTheme="minorHAnsi" w:hAnsiTheme="minorHAnsi" w:cstheme="minorHAnsi"/>
                <w:sz w:val="14"/>
                <w:szCs w:val="14"/>
              </w:rPr>
              <w:t>sites  selected</w:t>
            </w:r>
            <w:proofErr w:type="gramEnd"/>
            <w:r w:rsidRPr="00A761DF">
              <w:rPr>
                <w:rFonts w:asciiTheme="minorHAnsi" w:hAnsiTheme="minorHAnsi" w:cstheme="minorHAnsi"/>
                <w:sz w:val="14"/>
                <w:szCs w:val="14"/>
              </w:rPr>
              <w:t xml:space="preserve"> based on stakeholders’ perceived potential of these sites to access hard-to-reach populations at risk of severe influenza; data from pilot immunization program)</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(key stakeholders met and discussed priority populations and potential community sites.)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(mobile outreach vaccinations provided at each site and at community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21 sites including community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for migrants, refugees and the </w:t>
            </w:r>
            <w:proofErr w:type="spellStart"/>
            <w:r w:rsidRPr="00A761DF">
              <w:rPr>
                <w:rFonts w:asciiTheme="minorHAnsi" w:hAnsiTheme="minorHAnsi" w:cstheme="minorHAnsi"/>
                <w:sz w:val="14"/>
                <w:szCs w:val="14"/>
              </w:rPr>
              <w:t>homeles</w:t>
            </w:r>
            <w:proofErr w:type="spellEnd"/>
            <w:r w:rsidRPr="00A761DF">
              <w:rPr>
                <w:rFonts w:asciiTheme="minorHAnsi" w:hAnsiTheme="minorHAnsi" w:cstheme="minorHAnsi"/>
                <w:sz w:val="14"/>
                <w:szCs w:val="14"/>
              </w:rPr>
              <w:t>, and outpatient clinics)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(promotional material sent to the site before each visit)</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(vaccinations at community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(key stakeholders from primary health and tertiary health networks; vaccinations provided at community centers and outpatient clinics; innovative model of vaccine delivery to community </w:t>
            </w:r>
            <w:proofErr w:type="spellStart"/>
            <w:r w:rsidRPr="00A761DF">
              <w:rPr>
                <w:rFonts w:asciiTheme="minorHAnsi" w:hAnsiTheme="minorHAnsi" w:cstheme="minorHAnsi"/>
                <w:sz w:val="14"/>
                <w:szCs w:val="14"/>
              </w:rPr>
              <w:t>organisations</w:t>
            </w:r>
            <w:proofErr w:type="spellEnd"/>
            <w:r w:rsidRPr="00A761DF">
              <w:rPr>
                <w:rFonts w:asciiTheme="minorHAnsi" w:hAnsiTheme="minorHAnsi" w:cstheme="minorHAnsi"/>
                <w:sz w:val="14"/>
                <w:szCs w:val="14"/>
              </w:rPr>
              <w:t xml:space="preserve"> and healthcare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that have limited capacity to provide influenza vaccines themselves; teams of nurse </w:t>
            </w:r>
            <w:proofErr w:type="spellStart"/>
            <w:r w:rsidRPr="00A761DF">
              <w:rPr>
                <w:rFonts w:asciiTheme="minorHAnsi" w:hAnsiTheme="minorHAnsi" w:cstheme="minorHAnsi"/>
                <w:sz w:val="14"/>
                <w:szCs w:val="14"/>
              </w:rPr>
              <w:t>immunisers</w:t>
            </w:r>
            <w:proofErr w:type="spellEnd"/>
            <w:r w:rsidRPr="00A761DF">
              <w:rPr>
                <w:rFonts w:asciiTheme="minorHAnsi" w:hAnsiTheme="minorHAnsi" w:cstheme="minorHAnsi"/>
                <w:sz w:val="14"/>
                <w:szCs w:val="14"/>
              </w:rPr>
              <w:t xml:space="preserve"> visited and provided influenza vaccines at various sites) </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(reasons for receiving vaccine; risk factors; perceived barriers and facilitators)</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McPhee et al., 2003</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{"citationID":"Lw5FdtPV","properties":{"formattedCitation":"(49)","plainCitation":"(49)","noteIndex":0},"citationItems":[{"id":288,"uris":["http://zotero.org/groups/4911489/items/7EYHGN59"],"itemData":{"id":288,"type":"article-journal","abstract":"OBJECTIVE: Chronic infection with the hepatitis B virus is endemic in Southeast Asian populations, including Vietnamese. Previous research has documented low rates of hepatitis B vaccine coverage among Vietnamese-American children and adolescents ages 3 to 18. To address this problem, we designed and tested in a controlled trial 2 public health outreach \"catch-up\" campaigns for this population.\nDESIGN: In the Houston, Texas metropolitan area, we mounted a media-led information and education campaign, and in the Dallas metropolitan area, we organized a community mobilization strategy. We evaluated the success of these interventions in a controlled trial, using the Washington, DC metropolitan area as a control site. To do so, we conducted computer-assisted telephone interviews with random samples of approximately 500 Vietnamese-American households in each of the 3 study sites both before and after the interventions. We assessed respondents' awareness and knowledge of hepatitis B and asked for hepatitis B vaccination dates for a randomly selected child in each household. When possible, we validated vaccination dates through direct contact with each child's providers.\nRESULTS: Awareness of hepatitis B increased significantly between the pre- and postintervention surveys in all 3 areas, and the increase in the media education area (+21.5 percentage points) was significantly larger than in the control area (+9.0 percentage points). At postintervention, significantly more parents knew that free vaccines were available for children in the media education (+31.9 percentage points) and community mobilization (+16.7 percentage points) areas than in the control area (+4.7 percentage points). An increase in knowledge of sexual transmission of hepatitis B virus was significant in the media education area (+14.0 percentage points) and community mobilization (+13.6 percentage points) areas compared with the control area (+5.2 percentage points). Parent- or provider-reported data (n = 783 for pre- and n = 784 for postintervention surveys) suggest that receipt of 3 hepatitis B vaccinations increased significantly in the community mobilization area (from 26.6% at pre- to 38.8% at postintervention) and in the media intervention area (28.5% at pre- and 39.4% at postintervention), but declined slightly in the control community (37.8% at pre- and 33.5% at postintervention). Multiple logistic regression analyses estimated that the odds of receiving 3 hepatitis B vaccine doses were significantly greater for both community mobilization (odds ratio 2.15, 95% confidence interval 1.16-3.97) and media campaign (odds ratio 3.02, 95% confidence interval 1.62-5.64) interventions compared with the control area. The odds of being vaccinated were significantly greater for children who had had at least 1 diphtheria-tetanus-pertussis shot, and whose parents were married, knew someone with liver disease, had heard of hepatitis B, and had greater knowledge about hepatitis B. The odds of being vaccinated were significantly lower for older children.\nCONCLUSIONS: Both community mobilization and media campaigns significantly increased the knowledge of Vietnamese-American parents about hepatitis B vaccination, and the receipt of \"catch-up\" vaccinations among their children.","container-title":"Pediatrics","DOI":"10.1542/peds.111.6.1278","ISSN":"1098-4275","issue":"6 Pt 1","journalAbbreviation":"Pediatrics","language":"eng","note":"PMID: 12777542\nPMCID: PMC1592334","page":"1278-1288","source":"PubMed","title":"Successful promotion of hepatitis B vaccinations among Vietnamese-American children ages 3 to 18: results of a controlled trial","title-short":"Successful promotion of hepatitis B vaccinations among Vietnamese-American children ages 3 to 18","volume":"111","author":[{"family":"McPhee","given":"Stephen J."},{"family":"Nguyen","given":"Thoa"},{"family":"Euler","given":"Gary L."},{"family":"Mock","given":"Jeremiah"},{"family":"Wong","given":"Ching"},{"family":"Lam","given":"Tram"},{"family":"Nguyen","given":"Walter"},{"family":"Nguyen","given":"Sang"},{"family":"Huynh Ha","given":"Martin Quach"},{"family":"Do","given":"Son T."},{"family":"Buu","given":"Chau"}],"issued":{"date-parts":[["2003",6]]}}}],"schema":"https://github.com/citation-style-language/schema/raw/master/csl-citation.json"}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(49)</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(selected areas with large Vietnamese-American populations that had not received </w:t>
            </w:r>
            <w:r w:rsidRPr="00A761DF">
              <w:rPr>
                <w:rFonts w:asciiTheme="minorHAnsi" w:hAnsiTheme="minorHAnsi" w:cstheme="minorHAnsi"/>
                <w:sz w:val="14"/>
                <w:szCs w:val="14"/>
              </w:rPr>
              <w:lastRenderedPageBreak/>
              <w:t>interventions for hepatitis B vaccination; census data of ethnic population size)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(coalition formed and developed an action plan to improve vaccination rates with 3 </w:t>
            </w:r>
            <w:r w:rsidRPr="00A761DF">
              <w:rPr>
                <w:rFonts w:asciiTheme="minorHAnsi" w:hAnsiTheme="minorHAnsi" w:cstheme="minorHAnsi"/>
                <w:sz w:val="14"/>
                <w:szCs w:val="14"/>
              </w:rPr>
              <w:lastRenderedPageBreak/>
              <w:t>committees: an advisory committee to advise and introduce the project and staff to the community and make sure the health education was appropriate and culturally sensitive; a planning committee; and an outreach committee to identify, conduct, and evaluate outreach activities)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(home visits to new refugees; weekly work at community clinics to translate and help </w:t>
            </w:r>
            <w:r w:rsidRPr="00A761DF">
              <w:rPr>
                <w:rFonts w:asciiTheme="minorHAnsi" w:hAnsiTheme="minorHAnsi" w:cstheme="minorHAnsi"/>
                <w:sz w:val="14"/>
                <w:szCs w:val="14"/>
              </w:rPr>
              <w:lastRenderedPageBreak/>
              <w:t>children’s vaccination; incentives from charitable agencies to offer prizes for vaccinations; bilingual, bicultural Vietnamese-American project coordinator hired to coordinate campaign)</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(educational materials distributed in Vietnamese at targeted venues and events; </w:t>
            </w:r>
            <w:r w:rsidRPr="00A761DF">
              <w:rPr>
                <w:rFonts w:asciiTheme="minorHAnsi" w:hAnsiTheme="minorHAnsi" w:cstheme="minorHAnsi"/>
                <w:sz w:val="14"/>
                <w:szCs w:val="14"/>
              </w:rPr>
              <w:lastRenderedPageBreak/>
              <w:t>health education brochures and other print materials; health fairs; targeted mailings; articles and announcements in local media including radio, newspaper; media campaign reviewed by a panel of Vietnamese-American physicians, focus groups of consumers, and Community Advisory Board; electronic (mass) media; billboards designed by local Vietnamese advertising firm for cultural appropriateness)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mobilization strategy;</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advisory committee advised and introduced </w:t>
            </w:r>
            <w:r w:rsidRPr="00A761DF">
              <w:rPr>
                <w:rFonts w:asciiTheme="minorHAnsi" w:hAnsiTheme="minorHAnsi" w:cstheme="minorHAnsi"/>
                <w:sz w:val="14"/>
                <w:szCs w:val="14"/>
              </w:rPr>
              <w:lastRenderedPageBreak/>
              <w:t>the project and staff to the community; outreach committee; coalition identified community channels that</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could be mobilized to promote vaccinations; educational presentations at community-based organizations)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(promoting physicians’ registration as providers; distribution of referral lists of providers; weekly work at </w:t>
            </w:r>
            <w:r w:rsidRPr="00A761DF">
              <w:rPr>
                <w:rFonts w:asciiTheme="minorHAnsi" w:hAnsiTheme="minorHAnsi" w:cstheme="minorHAnsi"/>
                <w:sz w:val="14"/>
                <w:szCs w:val="14"/>
              </w:rPr>
              <w:lastRenderedPageBreak/>
              <w:t>community clinics to translate and help children’s; hired new Vietnamese-American health care providers; educational material reviewed by physicians, consumers and advisories)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(vaccination rates with parent/provider reported data; pre/post surveys assessing </w:t>
            </w:r>
            <w:r w:rsidRPr="00A761DF">
              <w:rPr>
                <w:rFonts w:asciiTheme="minorHAnsi" w:hAnsiTheme="minorHAnsi" w:cstheme="minorHAnsi"/>
                <w:sz w:val="14"/>
                <w:szCs w:val="14"/>
              </w:rPr>
              <w:lastRenderedPageBreak/>
              <w:t xml:space="preserve">awareness and success with controlled trial) </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lastRenderedPageBreak/>
              <w:t>Mellou</w:t>
            </w:r>
            <w:proofErr w:type="spellEnd"/>
            <w:r w:rsidRPr="00A761DF">
              <w:rPr>
                <w:rFonts w:asciiTheme="minorHAnsi" w:hAnsiTheme="minorHAnsi" w:cstheme="minorHAnsi"/>
                <w:sz w:val="14"/>
                <w:szCs w:val="14"/>
              </w:rPr>
              <w:t xml:space="preserve"> et al., 2019</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{"citationID":"CHNcqdWA","properties":{"formattedCitation":"(50)","plainCitation":"(50)","noteIndex":0},"citationItems":[{"id":323,"uris":["http://zotero.org/groups/4911489/items/G3XL76KG"],"itemData":{"id":323,"type":"article-journal","abstract":"After the 2016 Balkan route border closures, vaccination of refugee children in Greece was mainly performed by non-governmental organisations. Activities varied between camps, resulting in heterogeneity of vaccination coverage (VC). In April 2017, the European programme ‘PHILOS - Emergency health response to refugee crisis’ took over vaccination coordination. Interventions were planned for the first time for refugee children in the community and unaccompanied minors at safe zones. From April 2017–April 2018, 57,615 vaccinations were performed against measles-mumps-rubella (MMR) (21,031), diphtheria-tetanus-pertussis (7,341), poliomyelitis (7,652), pneumococcal disease (5,938), Haemophilus influenzae type b (7,179) and hepatitis B (8,474). In April 2018, the vaccination status of children at camps (reception and identification centres and community facilities such as hostels/hotels were excluded) was recorded and VC for each disease, stratified by dose, nationality and camp size, was calculated. More than 80% of the children received the first MMR dose, with VC dropping to 45% for the second dose. For all other vaccines, VC was &lt; 50% for the first dose in children aged 0–4 years and &lt; 25% for the second dose. Despite challenges, PHILOS improved planning and monitoring of vaccination activities; however, further efforts towards improving VC in refugee children are needed.","container-title":"Eurosurveillance","DOI":"10.2807/1560-7917.ES.2019.24.27.1800326","ISSN":"1025-496X","issue":"27","journalAbbreviation":"Euro Surveill","note":"PMID: 31290391\nPMCID: PMC6628755","page":"1800326","source":"PubMed Central","title":"Increasing childhood vaccination coverage of the refugee and migrant population in Greece through the European programme PHILOS, April 2017 to April 2018","volume":"24","author":[{"family":"Mellou","given":"Kassiani"},{"family":"Silvestros","given":"Chrysovalantis"},{"family":"Saranti-Papasaranti","given":"Eirini"},{"family":"Koustenis","given":"Athanasios"},{"family":"Pavlopoulou","given":"Ioanna D."},{"family":"Georgakopoulou","given":"Theano"},{"family":"Botsi","given":"Chryssoula"},{"family":"Terzidis","given":"Agapios"}],"issued":{"date-parts":[["2019",7,4]]}}}],"schema":"https://github.com/citation-style-language/schema/raw/master/csl-citation.json"}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(50)</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coverage data from meeting with the UNHCR/NGOs; door-to-door assessment of needs)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(new </w:t>
            </w:r>
            <w:proofErr w:type="spellStart"/>
            <w:r w:rsidRPr="00A761DF">
              <w:rPr>
                <w:rFonts w:asciiTheme="minorHAnsi" w:hAnsiTheme="minorHAnsi" w:cstheme="minorHAnsi"/>
                <w:sz w:val="14"/>
                <w:szCs w:val="14"/>
              </w:rPr>
              <w:t>programme</w:t>
            </w:r>
            <w:proofErr w:type="spellEnd"/>
            <w:r w:rsidRPr="00A761DF">
              <w:rPr>
                <w:rFonts w:asciiTheme="minorHAnsi" w:hAnsiTheme="minorHAnsi" w:cstheme="minorHAnsi"/>
                <w:sz w:val="14"/>
                <w:szCs w:val="14"/>
              </w:rPr>
              <w:t xml:space="preserve"> took over vaccination coordination; set up standard operating procedures; coordinated approach to vaccination with ministry of health, regional health authorities, other international, non-governmental, and stakeholders)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(visited </w:t>
            </w:r>
            <w:proofErr w:type="gramStart"/>
            <w:r w:rsidRPr="00A761DF">
              <w:rPr>
                <w:rFonts w:asciiTheme="minorHAnsi" w:hAnsiTheme="minorHAnsi" w:cstheme="minorHAnsi"/>
                <w:sz w:val="14"/>
                <w:szCs w:val="14"/>
              </w:rPr>
              <w:t>families</w:t>
            </w:r>
            <w:proofErr w:type="gramEnd"/>
            <w:r w:rsidRPr="00A761DF">
              <w:rPr>
                <w:rFonts w:asciiTheme="minorHAnsi" w:hAnsiTheme="minorHAnsi" w:cstheme="minorHAnsi"/>
                <w:sz w:val="14"/>
                <w:szCs w:val="14"/>
              </w:rPr>
              <w:t xml:space="preserve"> door-to-door to assess needs and inform about program; delivering interventions in refugee camps and in the community; surveys with the support of cultural mediators; community healthcare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used in various locations)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(written information in multiple languages; information campaigns; door-to-door dissemination of information about vaccination program)</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(non-governmental organizations; community healthcare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(partner non-governmental organizations; health regions designated at least two community healthcare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as vaccination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collaboration with ministry of health, UNHCR)</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(vaccine coverage and area they were received; challenges reported to improve coordination of interventions)</w:t>
            </w:r>
          </w:p>
        </w:tc>
      </w:tr>
      <w:tr w:rsidR="00A25B90" w:rsidRPr="00A761DF" w:rsidTr="005964B4">
        <w:trPr>
          <w:trHeight w:val="165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Milne et al, 2006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{"citationID":"wadKpCJm","properties":{"formattedCitation":"(51)","plainCitation":"(51)","noteIndex":0},"citationItems":[{"id":302,"uris":["http://zotero.org/groups/4911489/items/J47VX2UH"],"itemData":{"id":302,"type":"article-journal","abstract":"OBJECTIVES: To assess immunisation needs, primary health care (PHC) use and trial a school-based immunisation service for refugee and migrant young people attending an Intensive English Centre (IEC) high school in Western Sydney.\nMETHODS: We surveyed students attending an IEC in Western Sydney, assessing self-reported immunisation status and use of PHC services via questionnaires translated in six languages. Those students who were not immunised for hepatitis B and measles-mumps-rubella (MMR) were provided the first and second dose of a three-dose hepatitis B immunisation schedule and a single dose of MMR vaccine. We compared the immunisation requirements for MMR and hepatitis B with utilisation of PHC.\nRESULTS: One-hundred and sixty-five students (85%) returned the questionnaire. Forty-nine students (30%) reported previous immunisation with MMR and 29 (18%) with hepatitis B. As part of the school immunisation program, 142 (74%) received MMR vaccine, 151 (78%) received the first dose of hepatitis B vaccine, 144 (95%) received the second dose of hepatitis B, and 34 (23%) received the third hepatitis B dose elsewhere. Sixty-six students (40%) reported seeing a doctor in the past year. Students who had not seen a doctor in the previous year were significantly more likely to request immunisation (p &lt; 0.01).\nCONCLUSIONS AND IMPLICATIONS: Refugee and migrant young people attending an IEC in Western Sydney report low immunisation rates. Our study highlights the urgent need for education and health to work together to provide specialised immunisation services for refugee and migrant young people.","container-title":"Australian and New Zealand Journal of Public Health","DOI":"10.1111/j.1467-842x.2006.tb00780.x","ISSN":"1326-0200","issue":"6","journalAbbreviation":"Aust N Z J Public Health","language":"eng","note":"PMID: 17209267","page":"526-528","source":"PubMed","title":"Immunisation of refugee and migrant young people: can schools do the job?","title-short":"Immunisation of refugee and migrant young people","volume":"30","author":[{"family":"Milne","given":"Bronwyn"},{"family":"Raman","given":"Shanti"},{"family":"Thomas","given":"Paul"},{"family":"Shah","given":"Smita"}],"issued":{"date-parts":[["2006",12]]}}}],"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(51)</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(surveyed self-reported immunization status and use of health services)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Somewhat (innovation in service delivery-school-based </w:t>
            </w:r>
            <w:proofErr w:type="spellStart"/>
            <w:r w:rsidRPr="00A761DF">
              <w:rPr>
                <w:rFonts w:asciiTheme="minorHAnsi" w:hAnsiTheme="minorHAnsi" w:cstheme="minorHAnsi"/>
                <w:sz w:val="14"/>
                <w:szCs w:val="14"/>
              </w:rPr>
              <w:t>immunisation</w:t>
            </w:r>
            <w:proofErr w:type="spellEnd"/>
            <w:r w:rsidRPr="00A761DF">
              <w:rPr>
                <w:rFonts w:asciiTheme="minorHAnsi" w:hAnsiTheme="minorHAnsi" w:cstheme="minorHAnsi"/>
                <w:sz w:val="14"/>
                <w:szCs w:val="14"/>
              </w:rPr>
              <w:t xml:space="preserve"> service; referral letters to GP for last dose to coordinate care)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(culturally respectful and well- integrated targeted </w:t>
            </w:r>
            <w:proofErr w:type="spellStart"/>
            <w:r w:rsidRPr="00A761DF">
              <w:rPr>
                <w:rFonts w:asciiTheme="minorHAnsi" w:hAnsiTheme="minorHAnsi" w:cstheme="minorHAnsi"/>
                <w:sz w:val="14"/>
                <w:szCs w:val="14"/>
              </w:rPr>
              <w:t>immunisation</w:t>
            </w:r>
            <w:proofErr w:type="spellEnd"/>
            <w:r w:rsidRPr="00A761DF">
              <w:rPr>
                <w:rFonts w:asciiTheme="minorHAnsi" w:hAnsiTheme="minorHAnsi" w:cstheme="minorHAnsi"/>
                <w:sz w:val="14"/>
                <w:szCs w:val="14"/>
              </w:rPr>
              <w:t xml:space="preserve"> program; delivered at school)</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(information was provided to students and their families; translated surveys into 6 target languages)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(school-based immunization program</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for refugee and migrant young people)</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(referred to local general practitioner</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for the third dose of vaccination to link to PHC services)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(vaccinations administered)</w:t>
            </w:r>
          </w:p>
        </w:tc>
      </w:tr>
      <w:tr w:rsidR="00A25B90" w:rsidRPr="00A761DF" w:rsidTr="005964B4">
        <w:trPr>
          <w:trHeight w:val="4229"/>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Mitchell et al., 2021</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{"citationID":"Xy7eG9Kl","properties":{"formattedCitation":"(52)","plainCitation":"(52)","noteIndex":0},"citationItems":[{"id":329,"uris":["http://zotero.org/groups/4911489/items/CI9BJWFA"],"itemData":{"id":329,"type":"article-journal","abstract":"BACKGROUND: US-bound refugees undergo required health assessments overseas to identify and treat communicable diseases of public health significance-such as pulmonary tuberculosis-before migration. Immunizations are not required, leaving refugees at risk for vaccine-preventable diseases. In response, the US Centers for Disease Control and Prevention and the US Department of State developed and co-funded a global immunization program for US-bound refugees, implemented in 2012 in collaboration with the International Organization for Migration.\nMETHODS: We describe the Vaccination Program for US-bound Refugees, including vaccination schedule development, program implementation and procedures, and responses to challenges. We estimate 2019 immunization coverage rates using the number of age-eligible refugees who received ≥1 dose of measles-containing vaccine during overseas health assessment, and calculated hepatitis B infection prevalence using hepatitis B surface antigen testing results. We report descriptive data on adverse events following immunization.\nRESULTS: By September 2019, the program was active in &gt;80 countries on five continents. Nearly 320,000 examined refugees had ≥1 documented vaccine doses since program inception. During federal fiscal year 2019, 95% of arriving refugees had ≥1 documented measles-containing vaccine. The program's immunization schedule included eleven vaccines preventing fourteen diseases. In 2015-2019, only two vaccine preventable disease-associated refugee group travel cancellations occurred, compared to 2-8 cancellations annually prior to program initiation. To maintain uniform standards, dedicated staff and program-specific protocols for vaccination and monitoring were introduced.\nCONCLUSIONS: An overseas immunization program was successfully implemented for US-bound refugees. Due to reductions in refugee movement cancellation, lower cost of immunization overseas, and likely reductions in vaccine preventable disease-associated morbidity, we anticipate significant cost savings. Although maintaining uniform standards across diverse settings is challenging, solutions such as introduction of dedicated staff, protocol development, and ongoing technical support have ensured program cohesion, continuity, and advancement. Lessons learned can benefit similar programs implemented in the migration setting.","container-title":"Vaccine","DOI":"10.1016/j.vaccine.2020.10.047","ISSN":"1873-2518","issue":"1","journalAbbreviation":"Vaccine","language":"eng","note":"PMID: 33218780\nPMCID: PMC9590094","page":"68-77","source":"PubMed","title":"An immunization program for US-bound refugees: Development, challenges, and opportunities 2012-present","title-short":"An immunization program for US-bound refugees","volume":"39","author":[{"family":"Mitchell","given":"Tarissa"},{"family":"Dalal","given":"Warren"},{"family":"Klosovsky","given":"Alexander"},{"family":"Yen","given":"Catherine"},{"family":"Phares","given":"Christina"},{"family":"Burkhardt","given":"Margaret"},{"family":"Amin","given":"Farah"},{"family":"Froes","given":"Ivan"},{"family":"Hamadeh","given":"Amira"},{"family":"Lynn","given":"Sai Aung"},{"family":"Quintanilla","given":"Judith"},{"family":"Doney","given":"Annelise Casano"},{"family":"Cetron","given":"Martin"},{"family":"Weinberg","given":"Michelle"}],"issued":{"date-parts":[["2021",1,3]]}}}],"schema":"https://github.com/citation-style-language/schema/raw/master/csl-citation.json"}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(52)</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(data from IOM’s Migrant Management &amp; Operational Systems Application (</w:t>
            </w:r>
            <w:proofErr w:type="spellStart"/>
            <w:r w:rsidRPr="00A761DF">
              <w:rPr>
                <w:rFonts w:asciiTheme="minorHAnsi" w:hAnsiTheme="minorHAnsi" w:cstheme="minorHAnsi"/>
                <w:sz w:val="14"/>
                <w:szCs w:val="14"/>
              </w:rPr>
              <w:t>MiMOSA</w:t>
            </w:r>
            <w:proofErr w:type="spellEnd"/>
            <w:r w:rsidRPr="00A761DF">
              <w:rPr>
                <w:rFonts w:asciiTheme="minorHAnsi" w:hAnsiTheme="minorHAnsi" w:cstheme="minorHAnsi"/>
                <w:sz w:val="14"/>
                <w:szCs w:val="14"/>
              </w:rPr>
              <w:t>) including infection rates, population size, demographics, immunization coverage, vaccine refusal; program first piloted)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(global immunization program for US-bound refugees; collaboration with Centers for Disease Control and Prevention, US Department of State, IOM; implementation in 3 phases; immunization schedule (developed based recommendations in close consultation with a panel of vaccine subject-matter experts)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(mobile medical teams traveled to remote sites to conduct health assessments; multiple sites across different countries and conditions to populations that may not fall within the traditional framework of either host/asylum country or US national immunization guidelines)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(IOM partnered with a public health organization to</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develop illustrated print and video informational materials; refugees counseled about vaccines; materials, vetted in focus group settings, rolled out in all program sites)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(local clinics to administer vaccines)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(infrastructure developed to standardize program services: staff, tools and references, immunization schedule, immunization procedures and documentation; established IOM clinical facilities; using infrastructure for the USRAP Vaccination Program, IOM regional hubs supported sites; outside medical facilities sub-contracted for immunization services, or refugees were provided vaccine requisition forms to present at outside clinics; non-IOM panel sites; IOM contracts with local clinics to administer vaccines)</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(vaccine coverage rates)</w:t>
            </w:r>
          </w:p>
        </w:tc>
      </w:tr>
      <w:tr w:rsidR="00A25B90" w:rsidRPr="00A761DF" w:rsidTr="005964B4">
        <w:trPr>
          <w:trHeight w:val="3149"/>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Peterson et al., 2019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{"citationID":"zvns14ek","properties":{"formattedCitation":"(53)","plainCitation":"(53)","noteIndex":0},"citationItems":[{"id":290,"uris":["http://zotero.org/groups/4911489/items/5KRADHCR"],"itemData":{"id":290,"type":"article-journal","abstract":"In Minneapolis-St Paul, Minnesota, factors such as cultural and linguistic diversity make it difficult for public health agencies to reach immigrant and racial/ethnic minority populations with health initiatives. Founded in 2006, the Minnesota Immunization Networking Initiative (MINI) is a community project that has provided more than 80 000 free influenza vaccinations to vulnerable populations, including immigrants and racial/ethnic minority groups. MINI administered 5910 vaccinations through 99 community-based vaccination clinics during the 2017-2018 influenza season and surveyed the clients in their own language about influenza vaccination knowledge and practices. Among those surveyed, 2545 (43.1%) were uninsured and 408 (6.9%) received a first-time influenza vaccination at the MINI clinic. A total of 2893 (49.0%) respondents heard about the clinic through their faith community. Lessons learned included the importance of building relationships with community leaders and involving them as full partners, holding clinics in community-based settings to bring vaccinations to clients, and reporting outcomes to partners.","container-title":"Public Health Reports (Washington, D.C.: 1974)","DOI":"10.1177/0033354919834579","ISSN":"1468-2877","issue":"3","journalAbbreviation":"Public Health Rep","language":"eng","note":"PMID: 30912998\nPMCID: PMC6505329","page":"241-248","source":"PubMed","title":"Engaging Communities to Reach Immigrant and Minority Populations: The Minnesota Immunization Networking Initiative (MINI), 2006-2017","title-short":"Engaging Communities to Reach Immigrant and Minority Populations","volume":"134","author":[{"family":"Peterson","given":"Patricia"},{"family":"McNabb","given":"Paula"},{"family":"Maddali","given":"Sai Ramya"},{"family":"Heath","given":"Jennifer"},{"family":"Santibañez","given":"Scott"}],"issued":{"date-parts":[["2019"]]}}}],"schema":"https://github.com/citation-style-language/schema/raw/master/csl-citation.json"}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(53)</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(surveyed clients about vaccination knowledge and beliefs; qualitative/quantitative programmatic data informed project; data on health disparities; focus groups with community members)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(partnerships with community partners and</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reporting outcomes to partners)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(interpreters; surveyed clients in own language; nontraditional settings; community-based services; culturally-appropriate informed by focus groups; free influenza vaccination delivery; 99 community-based vaccination clinics with various times and locations)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(printed materials in the host community’s language and arranged for interpreters as needed; media and educational outreach; developed messages with local health consortium)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(building relationships with community leaders and involving as full partners; worked with community and faith-based organizations to deliver vaccinations; collaborative led by community members; </w:t>
            </w:r>
            <w:proofErr w:type="gramStart"/>
            <w:r w:rsidRPr="00A761DF">
              <w:rPr>
                <w:rFonts w:asciiTheme="minorHAnsi" w:hAnsiTheme="minorHAnsi" w:cstheme="minorHAnsi"/>
                <w:sz w:val="14"/>
                <w:szCs w:val="14"/>
              </w:rPr>
              <w:t>communities</w:t>
            </w:r>
            <w:proofErr w:type="gramEnd"/>
            <w:r w:rsidRPr="00A761DF">
              <w:rPr>
                <w:rFonts w:asciiTheme="minorHAnsi" w:hAnsiTheme="minorHAnsi" w:cstheme="minorHAnsi"/>
                <w:sz w:val="14"/>
                <w:szCs w:val="14"/>
              </w:rPr>
              <w:t xml:space="preserve"> part of the leadership; health consortium had experiences working with community and faith-based organizations)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(clinics in trusted community facilities; hosts of the non-traditional sites oversaw logistics such as client registration, room assignment, and interpretation when needed; various representatives from health departments and community organizations; health messages refined by health consortium)</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(vaccines administered; monitored outcomes; lessons learnt)</w:t>
            </w:r>
          </w:p>
          <w:p w:rsidR="00A25B90" w:rsidRPr="00A761DF" w:rsidRDefault="00A25B90" w:rsidP="005964B4">
            <w:pPr>
              <w:widowControl w:val="0"/>
              <w:rPr>
                <w:rFonts w:asciiTheme="minorHAnsi" w:hAnsiTheme="minorHAnsi" w:cstheme="minorHAnsi"/>
                <w:sz w:val="14"/>
                <w:szCs w:val="14"/>
              </w:rPr>
            </w:pPr>
          </w:p>
          <w:p w:rsidR="00A25B90" w:rsidRPr="00A761DF" w:rsidRDefault="00A25B90" w:rsidP="005964B4">
            <w:pPr>
              <w:widowControl w:val="0"/>
              <w:rPr>
                <w:rFonts w:asciiTheme="minorHAnsi" w:hAnsiTheme="minorHAnsi" w:cstheme="minorHAnsi"/>
                <w:sz w:val="14"/>
                <w:szCs w:val="14"/>
              </w:rPr>
            </w:pP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proofErr w:type="spellStart"/>
            <w:r w:rsidRPr="00A761DF">
              <w:rPr>
                <w:rFonts w:asciiTheme="minorHAnsi" w:hAnsiTheme="minorHAnsi" w:cstheme="minorHAnsi"/>
                <w:sz w:val="14"/>
                <w:szCs w:val="14"/>
              </w:rPr>
              <w:t>Phares</w:t>
            </w:r>
            <w:proofErr w:type="spellEnd"/>
            <w:r w:rsidRPr="00A761DF">
              <w:rPr>
                <w:rFonts w:asciiTheme="minorHAnsi" w:hAnsiTheme="minorHAnsi" w:cstheme="minorHAnsi"/>
                <w:sz w:val="14"/>
                <w:szCs w:val="14"/>
              </w:rPr>
              <w:t xml:space="preserve"> et al., 2016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{"citationID":"eIxxzrhP","properties":{"formattedCitation":"(54)","plainCitation":"(54)","noteIndex":0},"citationItems":[{"id":321,"uris":["http://zotero.org/groups/4911489/items/BPNHVBHB"],"itemData":{"id":321,"type":"article-journal","abstract":"BACKGROUND: During 2005-2012, surveillance in Maela refugee camp, Thailand, identified four cholera outbreaks, with rates up to 10.7 cases per 1000 refugees. In 2013, the Thailand Ministry of Public Health sponsored a two-dose oral cholera vaccine (OCV) campaign for the approximately 46,000 refugees living in Maela.\nMETHODS: We enumerated the target population (refugees living in Maela who are ≥1 year old and not pregnant) in a census three months before the campaign and issued barcoded OCV cards to each individual. We conducted the campaign using a fixed-post strategy during two eight-day rounds plus one two-day round for persons who had missed their second dose and recorded vaccine status for each individual. To identify factors associated with no vaccination (versus at least one dose) and those associated with adverse events following immunization (AEFI), we used separate marginal log-binomial regression models with robust variance estimates to account for household clustering.\nRESULTS: A total of 63,057 OCV doses were administered to a target population of 43,485 refugees. An estimated 35,399 (81%) refugees received at least one dose and 27,658 (64%) received two doses. A total of 993 additional doses (1.5%) were wasted including 297 that were spat out. Only 0.05% of refugees, mostly children, could not be vaccinated due to repeated spitting. Characteristics associated with no vaccination (versus at least one dose) included age ≥15 years (versus 1-14 years), Karen ethnicity (versus any other ethnicity) and, only among adults 15-64 years old, male sex. Passive surveillance identified 84 refugees who experienced 108 AEFI including three serious but coincidental events. The most frequent AEFI were nausea (49%), dizziness (38%), and fever (30%). Overall, AEFI were more prevalent among young children and older adults.\nCONCLUSIONS: Our results suggest that mass vaccination in refugee camps with a two-dose OCV is readily achievable and AEFI are few.","container-title":"Vaccine","DOI":"10.1016/j.vaccine.2015.10.112","ISSN":"1873-2518","issue":"1","journalAbbreviation":"Vaccine","language":"eng","note":"PMID: 26549363","page":"128-133","source":"PubMed","title":"Mass vaccination with a two-dose oral cholera vaccine in a long-standing refugee camp, Thailand","volume":"34","author":[{"family":"Phares","given":"Christina R."},{"family":"Date","given":"Kashmira"},{"family":"Travers","given":"Philippe"},{"family":"Déglise","given":"Carole"},{"family":"Wongjindanon","given":"Nuttapong"},{"family":"Ortega","given":"Luis"},{"family":"Bhuket","given":"Ponchanok Rattanadilok Na"}],"issued":{"date-parts":[["2016",1,2]]}}}],"schema":"https://github.com/citation-style-language/schema/raw/master/csl-citation.json"}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(54)</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(enumerated target population in a census three months before the campaign and issued barcoded OCV cards; reviewed surveillance data)</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(meetings with camp-based governance committees, religious and civic leaders, school principals and teachers)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(mass vaccination campaign in refugee camp using fixed-post strategy plus mobile teams to offer vaccines to house-bound refugees and other community settings; barcoded </w:t>
            </w:r>
            <w:r w:rsidRPr="00A761DF">
              <w:rPr>
                <w:rFonts w:asciiTheme="minorHAnsi" w:hAnsiTheme="minorHAnsi" w:cstheme="minorHAnsi"/>
                <w:sz w:val="14"/>
                <w:szCs w:val="14"/>
              </w:rPr>
              <w:lastRenderedPageBreak/>
              <w:t xml:space="preserve">vaccine cards used) </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Yes (information at meetings with camp-based governance committees, religious/civic leaders, school principals and teachers who informed their constituencies </w:t>
            </w:r>
            <w:r w:rsidRPr="00A761DF">
              <w:rPr>
                <w:rFonts w:asciiTheme="minorHAnsi" w:hAnsiTheme="minorHAnsi" w:cstheme="minorHAnsi"/>
                <w:sz w:val="14"/>
                <w:szCs w:val="14"/>
              </w:rPr>
              <w:lastRenderedPageBreak/>
              <w:t>through town hall meetings, camp newsletter, informal communications; personal communications by health workers; classroom presentations, posters, and reminders via loudspeaker prior)</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(social mobilization included personal communications by community health workers during routine home visits)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(fixed-post strategy plus mobile teams; vaccines to house-bound refugees, hospital inpatients, and children at some schools; vaccinators retrained)</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(vaccine coverage)</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Pollack et al., 2011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{"citationID":"W90WhphV","properties":{"formattedCitation":"(55)","plainCitation":"(55)","noteIndex":0},"citationItems":[{"id":292,"uris":["http://zotero.org/groups/4911489/items/59L3JMMP"],"itemData":{"id":292,"type":"article-journal","abstract":"Chronic hepatitis B affects Asian Americans at a much higher rate than the general US population. Appropriate care can limit morbidity and mortality from hepatitis B. However, access to care for many Asian Americans and other immigrant groups is limited by their lack of knowledge about the disease, as well as cultural, linguistic, and financial challenges. This article describes the results of BfreeNYC, a New York City pilot program that, from 2004 to 2008, provided hepatitis B community education and awareness, free screening and vaccinations, and free or low-cost treatment primarily to immigrants from Asia, but also to residents from other racial and ethnic minority groups. The program was the largest citywide screening program in the United States, reaching nearly 9,000 people, and the only one providing comprehensive care to those who were infected. During the program, new hepatitis B cases reported annually from predominantly Asian neighborhoods in the city increased 34 percent. More than two thousand people were vaccinated; 57 percent of the 1,162 patients who tested positive for hepatitis B and were evaluated by program clinical services were still in care at the end of the program. Our analysis found that the program was effective in reaching the target population and providing care. Although follow-up care data will be needed to demonstrate long-term costeffectiveness, the program may serve as a useful prototype for addressing hepatitis B disparities in communities across the United States.","container-title":"Health Affairs (Project Hope)","DOI":"10.1377/hlthaff.2011.0700","ISSN":"0278-2715","issue":"10","journalAbbreviation":"Health Aff (Millwood)","note":"PMID: 21976342\nPMCID: PMC3333793","page":"1974-1983","source":"PubMed Central","title":"A Comprehensive Screening And Treatment Model For Reducing Disparities In Hepatitis B","volume":"30","author":[{"family":"Pollack","given":"Henry"},{"family":"Wang","given":"Su"},{"family":"Wyatt","given":"Laura"},{"family":"Peng","given":"Chia-hui"},{"family":"Wan","given":"Kejia"},{"family":"Trinh-Shevrin","given":"Chau"},{"family":"Chun","given":"Kay"},{"family":"Kwon","given":"Simona"}],"issued":{"date-parts":[["2011",10]]}}}],"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(55)</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(screening surveys to gather barriers and needs; population screened by antibody testing)</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of stakeholders, community health centers, social service groups, community-based organizations, city council members, public hospitals, physician groups, academic institutions; online database customized to coordinate program activities and update partners; procedures for testing/follow-up standardized)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(free community-based screenings, vaccination, and care; uninsured individuals referred to specific clinics; vaccination offered at screening site; delivery of culturally and linguistically tailored services)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(multimedia educational outreach campaign developed with assistance from an advertising agency focused on reaching target population refined in focus groups; ads in ethnic language publications; radio and TV; educational workshops developed and implemented at community screenings; website established to provide information on screenings/educational materials)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with community health centers, social service groups, community-based organizations, city council members, and academic institutions; screening services planned and organized with community-based partners; coalition formed with community, clinical and government partners)</w:t>
            </w:r>
          </w:p>
          <w:p w:rsidR="00A25B90" w:rsidRPr="00A761DF" w:rsidRDefault="00A25B90" w:rsidP="005964B4">
            <w:pPr>
              <w:widowControl w:val="0"/>
              <w:rPr>
                <w:rFonts w:asciiTheme="minorHAnsi" w:hAnsiTheme="minorHAnsi" w:cstheme="minorHAnsi"/>
                <w:sz w:val="14"/>
                <w:szCs w:val="14"/>
              </w:rPr>
            </w:pP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(collaboration with public hospitals, physician groups, community health centers; providers received training and updates from program specialists; infrastructure to support the training of providers and referral services for specialty care; individuals with insurance were referred to own health care provider; citywide program; case management added; primary care </w:t>
            </w:r>
            <w:proofErr w:type="spellStart"/>
            <w:r w:rsidRPr="00A761DF">
              <w:rPr>
                <w:rFonts w:asciiTheme="minorHAnsi" w:hAnsiTheme="minorHAnsi" w:cstheme="minorHAnsi"/>
                <w:sz w:val="14"/>
                <w:szCs w:val="14"/>
              </w:rPr>
              <w:t>centres</w:t>
            </w:r>
            <w:proofErr w:type="spellEnd"/>
            <w:r w:rsidRPr="00A761DF">
              <w:rPr>
                <w:rFonts w:asciiTheme="minorHAnsi" w:hAnsiTheme="minorHAnsi" w:cstheme="minorHAnsi"/>
                <w:sz w:val="14"/>
                <w:szCs w:val="14"/>
              </w:rPr>
              <w:t xml:space="preserve">; community leaders, clinicians, researchers, and politicians formed coalition) </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coverage/rate; evaluation facilitated by a central or linked electronic database for assessing program)</w:t>
            </w:r>
          </w:p>
        </w:tc>
      </w:tr>
      <w:tr w:rsidR="00A25B90" w:rsidRPr="00A761DF" w:rsidTr="005964B4">
        <w:trPr>
          <w:trHeight w:val="48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Ponce-Gonzalez et al., 2021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{"citationID":"CjRPGHZ4","properties":{"formattedCitation":"(56)","plainCitation":"(56)","noteIndex":0},"citationItems":[{"id":294,"uris":["http://zotero.org/groups/4911489/items/BQ92GCRP"],"itemData":{"id":294,"type":"article-journal","abstract":"Objectives:\nTo evaluate the impact of a Community Health Worker (CHW)-led influenza campaign on knowledge and attitudes about vaccination in Latinx migrant and refugee populations.\n\nMethods:\nTwelve online workshops were conducted with 183 participants and 24 CHWs between January 12 and May 12, 2021. Participants were Latinx families living in underserved communities throughout Washington state. The initiative also included radio, animated videos, advertisements, social media, and educational materials.\n\nResults:\nAnalysis of pre and post workshop surveys from 155 participants showed statistically significant improvements in all questions about the definition of influenza, symptoms, and risks: and in 7 of 9 questions about treatments and vaccines. Analysis of 2 open-ended questions showed increases in words key to understanding influenza, such as “virus,” “illness,” “death,” and “contagious.” There were significant increases in rates of participants identifying vaccination and antibiotics as cures for influenza.\n\nConclusions:\nCHW-led workshops can be an effective way to increase knowledge about influenza and influenza vaccine. Future curriculum should emphasize the difference between viruses and bacteria, and the use of vaccination for prevention as opposed to treatment for illness.","container-title":"Journal of Primary Care &amp; Community Health","DOI":"10.1177/21501327211055627","ISSN":"2150-1319","journalAbbreviation":"J Prim Care Community Health","note":"PMID: 34814785\nPMCID: PMC8640325","page":"21501327211055627","source":"PubMed Central","title":"A Multicomponent Health Education Campaign Led by Community Health Workers to Increase Influenza Vaccination among Migrants and Refugees","volume":"12","author":[{"family":"Ponce-Gonzalez","given":"Ileana Maria"},{"family":"Perez","given":"Kathleen"},{"family":"Cheadle","given":"Allen D."},{"family":"Jade","given":"Morgan"},{"family":"Iverson","given":"Barry"},{"family":"Parchman","given":"Michael Leo"}],"issued":{"date-parts":[["2021",11,23]]}}}],"schema":"https://github.com/citation-style-language/schema/raw/master/csl-citation.json"}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(56)</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(general vaccination data on target population; recruitment from community with high concentration of migrants and</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refugees)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(multicomponent campaign led by community health workers with coalition for migrants and refugees; bidirectional sharing of knowledge)</w:t>
            </w:r>
          </w:p>
          <w:p w:rsidR="00A25B90" w:rsidRPr="00A761DF" w:rsidRDefault="00A25B90" w:rsidP="005964B4">
            <w:pPr>
              <w:widowControl w:val="0"/>
              <w:rPr>
                <w:rFonts w:asciiTheme="minorHAnsi" w:hAnsiTheme="minorHAnsi" w:cstheme="minorHAnsi"/>
                <w:sz w:val="14"/>
                <w:szCs w:val="14"/>
              </w:rPr>
            </w:pPr>
          </w:p>
          <w:p w:rsidR="00A25B90" w:rsidRPr="00A761DF" w:rsidRDefault="00A25B90" w:rsidP="005964B4">
            <w:pPr>
              <w:widowControl w:val="0"/>
              <w:rPr>
                <w:rFonts w:asciiTheme="minorHAnsi" w:hAnsiTheme="minorHAnsi" w:cstheme="minorHAnsi"/>
                <w:sz w:val="14"/>
                <w:szCs w:val="14"/>
              </w:rPr>
            </w:pP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(virtual workshops; Spanish language information targeted in spaces accessed by Latino community)</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(multicomponent health education campaign led by community health workers; multimedia and online workshops; CHW created videos; information on Spanish language public radio; social media posts and live content; educational materials designed by CHWs, (banners, infographics, brochures, flyers, posters)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Somewhat (programs produced for the radio were also broadcast live on social media; infographic on social media; video about influenza was produced for social media)</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Health Worker (CHW)-led influenza campaign; Community Health Worker Coalition for Migrants and Refugees (CHWCMR), working with migrants and refugees from target community; bidirectional sharing of knowledge; 60 CHWs developed content and served as trusted messengers to deliver information to their communities)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(Community Health Workers integral to campaign; Washington Department of Health; Community Health Worker Coalition for Migrants and Refugees (CHWCMR))</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(monitored progress; survey administered before and after each workshop to assess participant knowledge about influenza and vaccinations; number of social media users reached)</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lastRenderedPageBreak/>
              <w:t xml:space="preserve">Sheikh et al., 2014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{"citationID":"12XKvZbO","properties":{"formattedCitation":"(48)","plainCitation":"(48)","noteIndex":0},"citationItems":[{"id":310,"uris":["http://zotero.org/groups/4911489/items/CG8G29IV"],"itemData":{"id":310,"type":"article-journal","container-title":"Morbidity and Mortality Weekly Report","ISSN":"0149-2195","issue":"11","journalAbbreviation":"MMWR Morb Mortal Wkly Rep","note":"PMID: 24647400\nPMCID: PMC4584634","page":"237-241","source":"PubMed Central","title":"Combined Use of Inactivated and Oral Poliovirus Vaccines in Refugee Camps and Surrounding Communities — Kenya, December 2013","volume":"63","author":[{"family":"Sheikh","given":"Mohamed A"},{"family":"Makokha","given":"Frederick"},{"family":"Hussein","given":"M. Abdullahi"},{"family":"Mohamed","given":"Gedi"},{"family":"Mach","given":"Ondrej"},{"family":"Humayun","given":"Kabir"},{"family":"Okiror","given":"Samuel"},{"family":"Abrar","given":"Leila"},{"family":"Nasibov","given":"Orkhan"},{"family":"Burton","given":"John"},{"family":"Unshur","given":"Ahmed"},{"family":"Wannemuehler","given":"Kathleen"},{"family":"Estivariz","given":"Concepcion F."}],"issued":{"date-parts":[["2014",3,21]]}}}],"schema":"https://github.com/citation-style-language/schema/raw/master/csl-citation.json"}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(48)</w:t>
            </w:r>
            <w:r w:rsidRPr="00A761DF">
              <w:rPr>
                <w:rFonts w:asciiTheme="minorHAnsi" w:hAnsiTheme="minorHAnsi" w:cstheme="minorHAnsi"/>
                <w:sz w:val="14"/>
                <w:szCs w:val="14"/>
              </w:rPr>
              <w:fldChar w:fldCharType="end"/>
            </w: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(focus groups conducted before campaign to assess barriers; target population numbers in refugee camps and communities)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(coordination among implementing partners in developing operational plans; ministry of health</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planned and implemented immunization activities with refugee camp coordinating agencies; United Nations High Commissioner for Refugees Registry (UNHCR))</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(delivered at five refugee camps and surrounding communities on the Kenya-Somalia border; 299 teams 173 in camps, 126 in host communities; permanent “fixed” posts in health facilities and “temporary fixed posts” in camps or village in host communities;</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mobile teams used to reach nomadic settlements)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(communication materials provided)</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(social mobilization strategies guided by pre-campaign focus-group interviews; coordination among implementing partners; refugee camp coordinating agencies)</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(campaign implemented by 299 teams in temporary and permanent ‘fixed’ posts; each team included 1 health-care worker and 2 volunteers in host communities or 3 volunteers in camps; partnerships with health services partners including national ministry of health, Global Polio Eradication Initiative) </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(coverage of vaccine, reasons reported for not vaccinating; vaccination activities randomly selected teams were assessed by trained campaign monitors using a standardized checklist; post-campaign coverage surveys; estimated coverage with convenience sample)</w:t>
            </w:r>
          </w:p>
        </w:tc>
      </w:tr>
      <w:tr w:rsidR="00A25B90" w:rsidRPr="00A761DF" w:rsidTr="005964B4">
        <w:trPr>
          <w:trHeight w:val="635"/>
        </w:trPr>
        <w:tc>
          <w:tcPr>
            <w:tcW w:w="759" w:type="dxa"/>
            <w:tcBorders>
              <w:top w:val="single" w:sz="6" w:space="0" w:color="CCCCCC"/>
              <w:left w:val="single" w:sz="6" w:space="0" w:color="000000"/>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6"/>
                <w:szCs w:val="16"/>
              </w:rPr>
            </w:pPr>
            <w:r w:rsidRPr="00A761DF">
              <w:rPr>
                <w:rFonts w:asciiTheme="minorHAnsi" w:hAnsiTheme="minorHAnsi" w:cstheme="minorHAnsi"/>
                <w:sz w:val="14"/>
                <w:szCs w:val="14"/>
              </w:rPr>
              <w:t xml:space="preserve">Vita et al., 2019 </w:t>
            </w:r>
            <w:r w:rsidRPr="00A761DF">
              <w:rPr>
                <w:rFonts w:asciiTheme="minorHAnsi" w:hAnsiTheme="minorHAnsi" w:cstheme="minorHAnsi"/>
                <w:sz w:val="14"/>
                <w:szCs w:val="14"/>
              </w:rPr>
              <w:fldChar w:fldCharType="begin"/>
            </w:r>
            <w:r w:rsidRPr="00A761DF">
              <w:rPr>
                <w:rFonts w:asciiTheme="minorHAnsi" w:hAnsiTheme="minorHAnsi" w:cstheme="minorHAnsi"/>
                <w:sz w:val="14"/>
                <w:szCs w:val="14"/>
              </w:rPr>
              <w:instrText xml:space="preserve"> ADDIN ZOTERO_ITEM CSL_CITATION {"citationID":"WUJg8LXU","properties":{"formattedCitation":"(57)","plainCitation":"(57)","noteIndex":0},"citationItems":[{"id":306,"uris":["http://zotero.org/groups/4911489/items/3FA6CSSR"],"itemData":{"id":306,"type":"article-journal","abstract":"INTRODUCTION: Control of vaccine preventable diseases, while constituting a priority of European health policies, is challenged by migrations from countries with suboptimal levels of immunization coverage. We report here two different types of vaccination campaign strategy in one of the bigger Italian asylum seekers' centres. The vaccination service staff of the local national health institute came monthly during the first three years of observation, while in the last year, the vaccinations were offered directly upon arrival of migrants in the asylum seekers' centre.\nMETHODOLOGY: we performed a descriptive cross-sectional study that analysed data collected from the database of the internal healthcare facility and ARVA Target tool, regarding vaccinations performed from 2013 to 2017 in the asylum seekers' centre.\nRESULTS: In the four years of observation period the asylum seekers centre hosted 3941 migrants. Among them, 85% were vaccinated during their stay, for a total of 4252 vaccinations administered, covering 95% of minors and 85% of adults. During the study period, there was an important increase from an average of 10.5% of migrants vaccinated in the first three years to 66% in the last year, when vaccines were delivered directly upon arrival in the centre.\nCONCLUSIONS: To improve the rate of immunization in migrants, the first requirement is a strong collaboration with the local vaccine services and the second,vaccinations must be carried out when migrants arrive at the asylum seekers' centre, avoiding any delay.","container-title":"Journal of Infection in Developing Countries","DOI":"10.3855/jidc.11815","ISSN":"1972-2680","issue":"12","journalAbbreviation":"J Infect Dev Ctries","language":"eng","note":"PMID: 32088704","page":"1159-1164","source":"PubMed","title":"Vaccination campaign strategies in recently arrived migrants: experience of an Italian reception centre","title-short":"Vaccination campaign strategies in recently arrived migrants","volume":"13","author":[{"family":"Vita","given":"Serena"},{"family":"Sinopoli","given":"Maria Teresa"},{"family":"Fontanelli Sulekova","given":"Lucia"},{"family":"Morucci","given":"Luca"},{"family":"Lopalco","given":"Maurizio"},{"family":"Spaziante","given":"Martina"},{"family":"Pacifici","given":"Laura Elena"},{"family":"Bazzardi","given":"Riccardo"},{"family":"Angeletti","given":"Silvia"},{"family":"Ciccozzi","given":"Massimo"},{"family":"Ceccarelli","given":"Giancarlo"}],"issued":{"date-parts":[["2019",12,31]]}}}],"schema":"https://github.com/citation-style-language/schema/raw/master/csl-citation.json"} </w:instrText>
            </w:r>
            <w:r w:rsidRPr="00A761DF">
              <w:rPr>
                <w:rFonts w:asciiTheme="minorHAnsi" w:hAnsiTheme="minorHAnsi" w:cstheme="minorHAnsi"/>
                <w:sz w:val="14"/>
                <w:szCs w:val="14"/>
              </w:rPr>
              <w:fldChar w:fldCharType="separate"/>
            </w:r>
            <w:r w:rsidRPr="00A761DF">
              <w:rPr>
                <w:rFonts w:asciiTheme="minorHAnsi" w:hAnsiTheme="minorHAnsi" w:cstheme="minorHAnsi"/>
                <w:sz w:val="14"/>
              </w:rPr>
              <w:t>(57)</w:t>
            </w:r>
            <w:r w:rsidRPr="00A761DF">
              <w:rPr>
                <w:rFonts w:asciiTheme="minorHAnsi" w:hAnsiTheme="minorHAnsi" w:cstheme="minorHAnsi"/>
                <w:sz w:val="14"/>
                <w:szCs w:val="14"/>
              </w:rPr>
              <w:fldChar w:fldCharType="end"/>
            </w:r>
          </w:p>
          <w:p w:rsidR="00A25B90" w:rsidRPr="00A761DF" w:rsidRDefault="00A25B90" w:rsidP="005964B4">
            <w:pPr>
              <w:widowControl w:val="0"/>
              <w:rPr>
                <w:rFonts w:asciiTheme="minorHAnsi" w:hAnsiTheme="minorHAnsi" w:cstheme="minorHAnsi"/>
                <w:sz w:val="14"/>
                <w:szCs w:val="14"/>
              </w:rPr>
            </w:pPr>
          </w:p>
        </w:tc>
        <w:tc>
          <w:tcPr>
            <w:tcW w:w="150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status with interviews; demographics; epidemiological monitoring and</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microbiological surveillance)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with local vaccine services; national ministry of health, health services, local public health companies)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 xml:space="preserve">Yes (vaccinations offered directly upon arrival of migrants in the asylum seekers’ </w:t>
            </w:r>
            <w:proofErr w:type="spellStart"/>
            <w:r w:rsidRPr="00A761DF">
              <w:rPr>
                <w:rFonts w:asciiTheme="minorHAnsi" w:hAnsiTheme="minorHAnsi" w:cstheme="minorHAnsi"/>
                <w:sz w:val="14"/>
                <w:szCs w:val="14"/>
              </w:rPr>
              <w:t>centre</w:t>
            </w:r>
            <w:proofErr w:type="spellEnd"/>
            <w:r w:rsidRPr="00A761DF">
              <w:rPr>
                <w:rFonts w:asciiTheme="minorHAnsi" w:hAnsiTheme="minorHAnsi" w:cstheme="minorHAnsi"/>
                <w:sz w:val="14"/>
                <w:szCs w:val="14"/>
              </w:rPr>
              <w:t xml:space="preserve"> or through monthly visits; linguistic and cultural mediators; single “on arrival</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appointment; clinic open 24/7/365; cultural mediators)</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(informing patients and informed consent for vaccinations in target language)</w:t>
            </w:r>
          </w:p>
        </w:tc>
        <w:tc>
          <w:tcPr>
            <w:tcW w:w="153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No or Not reported</w:t>
            </w:r>
          </w:p>
        </w:tc>
        <w:tc>
          <w:tcPr>
            <w:tcW w:w="162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(campaign in asylum seeker center residential institution with semi-open</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community)</w:t>
            </w:r>
          </w:p>
        </w:tc>
        <w:tc>
          <w:tcPr>
            <w:tcW w:w="1710"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(collaboration with local vaccine services; vaccination service staff of local national health institute; physicians of the internal healthcare facility; collaboration with ministry of health, national health services, local public health companies; consultant physicians; nurses, psychologists; outpatient facility for migrant health)</w:t>
            </w:r>
          </w:p>
        </w:tc>
        <w:tc>
          <w:tcPr>
            <w:tcW w:w="1551" w:type="dxa"/>
            <w:tcBorders>
              <w:top w:val="single" w:sz="6" w:space="0" w:color="CCCCCC"/>
              <w:left w:val="single" w:sz="6" w:space="0" w:color="CCCCCC"/>
              <w:bottom w:val="single" w:sz="6" w:space="0" w:color="000000"/>
              <w:right w:val="single" w:sz="6" w:space="0" w:color="000000"/>
            </w:tcBorders>
            <w:tcMar>
              <w:top w:w="40" w:type="dxa"/>
              <w:left w:w="40" w:type="dxa"/>
              <w:bottom w:w="40" w:type="dxa"/>
              <w:right w:w="40" w:type="dxa"/>
            </w:tcMar>
          </w:tcPr>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Yes (vaccination rates and changes year to year; data on</w:t>
            </w:r>
          </w:p>
          <w:p w:rsidR="00A25B90" w:rsidRPr="00A761DF" w:rsidRDefault="00A25B90" w:rsidP="005964B4">
            <w:pPr>
              <w:widowControl w:val="0"/>
              <w:rPr>
                <w:rFonts w:asciiTheme="minorHAnsi" w:hAnsiTheme="minorHAnsi" w:cstheme="minorHAnsi"/>
                <w:sz w:val="14"/>
                <w:szCs w:val="14"/>
              </w:rPr>
            </w:pPr>
            <w:r w:rsidRPr="00A761DF">
              <w:rPr>
                <w:rFonts w:asciiTheme="minorHAnsi" w:hAnsiTheme="minorHAnsi" w:cstheme="minorHAnsi"/>
                <w:sz w:val="14"/>
                <w:szCs w:val="14"/>
              </w:rPr>
              <w:t>nationality, age, gender, time of arrival, types of vaccinations administered, number of doses, adverse events)</w:t>
            </w:r>
          </w:p>
        </w:tc>
      </w:tr>
    </w:tbl>
    <w:p w:rsidR="00A25B90" w:rsidRDefault="00A25B90" w:rsidP="00A25B90">
      <w:pPr>
        <w:rPr>
          <w:sz w:val="14"/>
          <w:szCs w:val="14"/>
        </w:rPr>
      </w:pPr>
      <w:bookmarkStart w:id="1" w:name="_l5039okuz9t2" w:colFirst="0" w:colLast="0"/>
      <w:bookmarkEnd w:id="1"/>
    </w:p>
    <w:p w:rsidR="00722AC9" w:rsidRDefault="00722AC9"/>
    <w:sectPr w:rsidR="00722AC9" w:rsidSect="00A25B90">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F18E5"/>
    <w:multiLevelType w:val="multilevel"/>
    <w:tmpl w:val="5B400C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7373C6"/>
    <w:multiLevelType w:val="multilevel"/>
    <w:tmpl w:val="9566EA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F0D177E"/>
    <w:multiLevelType w:val="multilevel"/>
    <w:tmpl w:val="FFCA78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E8F1400"/>
    <w:multiLevelType w:val="multilevel"/>
    <w:tmpl w:val="FB22E5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6873785"/>
    <w:multiLevelType w:val="multilevel"/>
    <w:tmpl w:val="57AAA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6D267E"/>
    <w:multiLevelType w:val="multilevel"/>
    <w:tmpl w:val="D6B209C0"/>
    <w:lvl w:ilvl="0">
      <w:start w:val="1"/>
      <w:numFmt w:val="bullet"/>
      <w:lvlText w:val="●"/>
      <w:lvlJc w:val="left"/>
      <w:pPr>
        <w:ind w:left="720" w:hanging="360"/>
      </w:pPr>
      <w:rPr>
        <w:rFonts w:ascii="Arial" w:eastAsia="Arial" w:hAnsi="Arial" w:cs="Arial"/>
        <w:color w:val="222222"/>
        <w:sz w:val="22"/>
        <w:szCs w:val="22"/>
        <w:u w:val="none"/>
      </w:rPr>
    </w:lvl>
    <w:lvl w:ilvl="1">
      <w:start w:val="1"/>
      <w:numFmt w:val="bullet"/>
      <w:lvlText w:val="○"/>
      <w:lvlJc w:val="left"/>
      <w:pPr>
        <w:ind w:left="1440" w:hanging="360"/>
      </w:pPr>
      <w:rPr>
        <w:rFonts w:ascii="Arial" w:eastAsia="Arial" w:hAnsi="Arial" w:cs="Arial"/>
        <w:color w:val="222222"/>
        <w:sz w:val="22"/>
        <w:szCs w:val="2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D002199"/>
    <w:multiLevelType w:val="multilevel"/>
    <w:tmpl w:val="4CEA28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FE81BBA"/>
    <w:multiLevelType w:val="multilevel"/>
    <w:tmpl w:val="E042BD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621434C"/>
    <w:multiLevelType w:val="multilevel"/>
    <w:tmpl w:val="FE86FE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CB77EDD"/>
    <w:multiLevelType w:val="multilevel"/>
    <w:tmpl w:val="5B2405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CC752C1"/>
    <w:multiLevelType w:val="multilevel"/>
    <w:tmpl w:val="EADCB6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1A80FB3"/>
    <w:multiLevelType w:val="multilevel"/>
    <w:tmpl w:val="E92609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3BD71E9"/>
    <w:multiLevelType w:val="hybridMultilevel"/>
    <w:tmpl w:val="709EC7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A7708D0"/>
    <w:multiLevelType w:val="multilevel"/>
    <w:tmpl w:val="7D0A4E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CF51358"/>
    <w:multiLevelType w:val="multilevel"/>
    <w:tmpl w:val="70E478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2292455"/>
    <w:multiLevelType w:val="multilevel"/>
    <w:tmpl w:val="F47CF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DA4CAA"/>
    <w:multiLevelType w:val="hybridMultilevel"/>
    <w:tmpl w:val="B520039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3C63CD7"/>
    <w:multiLevelType w:val="multilevel"/>
    <w:tmpl w:val="686EDA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5F45A70"/>
    <w:multiLevelType w:val="multilevel"/>
    <w:tmpl w:val="6A42EE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9"/>
  </w:num>
  <w:num w:numId="2">
    <w:abstractNumId w:val="0"/>
  </w:num>
  <w:num w:numId="3">
    <w:abstractNumId w:val="1"/>
  </w:num>
  <w:num w:numId="4">
    <w:abstractNumId w:val="18"/>
  </w:num>
  <w:num w:numId="5">
    <w:abstractNumId w:val="2"/>
  </w:num>
  <w:num w:numId="6">
    <w:abstractNumId w:val="17"/>
  </w:num>
  <w:num w:numId="7">
    <w:abstractNumId w:val="3"/>
  </w:num>
  <w:num w:numId="8">
    <w:abstractNumId w:val="5"/>
  </w:num>
  <w:num w:numId="9">
    <w:abstractNumId w:val="10"/>
  </w:num>
  <w:num w:numId="10">
    <w:abstractNumId w:val="13"/>
  </w:num>
  <w:num w:numId="11">
    <w:abstractNumId w:val="8"/>
  </w:num>
  <w:num w:numId="12">
    <w:abstractNumId w:val="11"/>
  </w:num>
  <w:num w:numId="13">
    <w:abstractNumId w:val="14"/>
  </w:num>
  <w:num w:numId="14">
    <w:abstractNumId w:val="6"/>
  </w:num>
  <w:num w:numId="15">
    <w:abstractNumId w:val="7"/>
  </w:num>
  <w:num w:numId="16">
    <w:abstractNumId w:val="16"/>
  </w:num>
  <w:num w:numId="17">
    <w:abstractNumId w:val="4"/>
  </w:num>
  <w:num w:numId="18">
    <w:abstractNumId w:val="15"/>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B90"/>
    <w:rsid w:val="005D634D"/>
    <w:rsid w:val="00722AC9"/>
    <w:rsid w:val="00A25B90"/>
    <w:rsid w:val="00A761DF"/>
    <w:rsid w:val="00C46B7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6A3F4"/>
  <w15:chartTrackingRefBased/>
  <w15:docId w15:val="{072BAC95-FB17-42E7-8BBF-F22556094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5B90"/>
    <w:pPr>
      <w:spacing w:after="0" w:line="276" w:lineRule="auto"/>
    </w:pPr>
    <w:rPr>
      <w:rFonts w:ascii="Arial" w:eastAsia="Arial" w:hAnsi="Arial" w:cs="Arial"/>
      <w:lang w:val="en" w:eastAsia="en-CA"/>
    </w:rPr>
  </w:style>
  <w:style w:type="paragraph" w:styleId="Heading1">
    <w:name w:val="heading 1"/>
    <w:basedOn w:val="Normal"/>
    <w:next w:val="Normal"/>
    <w:link w:val="Heading1Char"/>
    <w:uiPriority w:val="9"/>
    <w:qFormat/>
    <w:rsid w:val="00A25B90"/>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A25B90"/>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rsid w:val="00A25B90"/>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A25B90"/>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A25B90"/>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A25B9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5B90"/>
    <w:rPr>
      <w:rFonts w:ascii="Arial" w:eastAsia="Arial" w:hAnsi="Arial" w:cs="Arial"/>
      <w:sz w:val="40"/>
      <w:szCs w:val="40"/>
      <w:lang w:val="en" w:eastAsia="en-CA"/>
    </w:rPr>
  </w:style>
  <w:style w:type="character" w:customStyle="1" w:styleId="Heading2Char">
    <w:name w:val="Heading 2 Char"/>
    <w:basedOn w:val="DefaultParagraphFont"/>
    <w:link w:val="Heading2"/>
    <w:uiPriority w:val="9"/>
    <w:rsid w:val="00A25B90"/>
    <w:rPr>
      <w:rFonts w:ascii="Arial" w:eastAsia="Arial" w:hAnsi="Arial" w:cs="Arial"/>
      <w:sz w:val="32"/>
      <w:szCs w:val="32"/>
      <w:lang w:val="en" w:eastAsia="en-CA"/>
    </w:rPr>
  </w:style>
  <w:style w:type="character" w:customStyle="1" w:styleId="Heading3Char">
    <w:name w:val="Heading 3 Char"/>
    <w:basedOn w:val="DefaultParagraphFont"/>
    <w:link w:val="Heading3"/>
    <w:uiPriority w:val="9"/>
    <w:rsid w:val="00A25B90"/>
    <w:rPr>
      <w:rFonts w:ascii="Arial" w:eastAsia="Arial" w:hAnsi="Arial" w:cs="Arial"/>
      <w:color w:val="434343"/>
      <w:sz w:val="28"/>
      <w:szCs w:val="28"/>
      <w:lang w:val="en" w:eastAsia="en-CA"/>
    </w:rPr>
  </w:style>
  <w:style w:type="character" w:customStyle="1" w:styleId="Heading4Char">
    <w:name w:val="Heading 4 Char"/>
    <w:basedOn w:val="DefaultParagraphFont"/>
    <w:link w:val="Heading4"/>
    <w:uiPriority w:val="9"/>
    <w:semiHidden/>
    <w:rsid w:val="00A25B90"/>
    <w:rPr>
      <w:rFonts w:ascii="Arial" w:eastAsia="Arial" w:hAnsi="Arial" w:cs="Arial"/>
      <w:color w:val="666666"/>
      <w:sz w:val="24"/>
      <w:szCs w:val="24"/>
      <w:lang w:val="en" w:eastAsia="en-CA"/>
    </w:rPr>
  </w:style>
  <w:style w:type="character" w:customStyle="1" w:styleId="Heading5Char">
    <w:name w:val="Heading 5 Char"/>
    <w:basedOn w:val="DefaultParagraphFont"/>
    <w:link w:val="Heading5"/>
    <w:uiPriority w:val="9"/>
    <w:semiHidden/>
    <w:rsid w:val="00A25B90"/>
    <w:rPr>
      <w:rFonts w:ascii="Arial" w:eastAsia="Arial" w:hAnsi="Arial" w:cs="Arial"/>
      <w:color w:val="666666"/>
      <w:lang w:val="en" w:eastAsia="en-CA"/>
    </w:rPr>
  </w:style>
  <w:style w:type="character" w:customStyle="1" w:styleId="Heading6Char">
    <w:name w:val="Heading 6 Char"/>
    <w:basedOn w:val="DefaultParagraphFont"/>
    <w:link w:val="Heading6"/>
    <w:uiPriority w:val="9"/>
    <w:semiHidden/>
    <w:rsid w:val="00A25B90"/>
    <w:rPr>
      <w:rFonts w:ascii="Arial" w:eastAsia="Arial" w:hAnsi="Arial" w:cs="Arial"/>
      <w:i/>
      <w:color w:val="666666"/>
      <w:lang w:val="en" w:eastAsia="en-CA"/>
    </w:rPr>
  </w:style>
  <w:style w:type="paragraph" w:styleId="Title">
    <w:name w:val="Title"/>
    <w:basedOn w:val="Normal"/>
    <w:next w:val="Normal"/>
    <w:link w:val="TitleChar"/>
    <w:uiPriority w:val="10"/>
    <w:qFormat/>
    <w:rsid w:val="00A25B90"/>
    <w:pPr>
      <w:keepNext/>
      <w:keepLines/>
      <w:spacing w:after="60"/>
    </w:pPr>
    <w:rPr>
      <w:sz w:val="52"/>
      <w:szCs w:val="52"/>
    </w:rPr>
  </w:style>
  <w:style w:type="character" w:customStyle="1" w:styleId="TitleChar">
    <w:name w:val="Title Char"/>
    <w:basedOn w:val="DefaultParagraphFont"/>
    <w:link w:val="Title"/>
    <w:uiPriority w:val="10"/>
    <w:rsid w:val="00A25B90"/>
    <w:rPr>
      <w:rFonts w:ascii="Arial" w:eastAsia="Arial" w:hAnsi="Arial" w:cs="Arial"/>
      <w:sz w:val="52"/>
      <w:szCs w:val="52"/>
      <w:lang w:val="en" w:eastAsia="en-CA"/>
    </w:rPr>
  </w:style>
  <w:style w:type="paragraph" w:styleId="Subtitle">
    <w:name w:val="Subtitle"/>
    <w:basedOn w:val="Normal"/>
    <w:next w:val="Normal"/>
    <w:link w:val="SubtitleChar"/>
    <w:uiPriority w:val="11"/>
    <w:qFormat/>
    <w:rsid w:val="00A25B90"/>
    <w:pPr>
      <w:keepNext/>
      <w:keepLines/>
      <w:spacing w:after="320"/>
    </w:pPr>
    <w:rPr>
      <w:color w:val="666666"/>
      <w:sz w:val="30"/>
      <w:szCs w:val="30"/>
    </w:rPr>
  </w:style>
  <w:style w:type="character" w:customStyle="1" w:styleId="SubtitleChar">
    <w:name w:val="Subtitle Char"/>
    <w:basedOn w:val="DefaultParagraphFont"/>
    <w:link w:val="Subtitle"/>
    <w:uiPriority w:val="11"/>
    <w:rsid w:val="00A25B90"/>
    <w:rPr>
      <w:rFonts w:ascii="Arial" w:eastAsia="Arial" w:hAnsi="Arial" w:cs="Arial"/>
      <w:color w:val="666666"/>
      <w:sz w:val="30"/>
      <w:szCs w:val="30"/>
      <w:lang w:val="en" w:eastAsia="en-CA"/>
    </w:rPr>
  </w:style>
  <w:style w:type="paragraph" w:styleId="BalloonText">
    <w:name w:val="Balloon Text"/>
    <w:basedOn w:val="Normal"/>
    <w:link w:val="BalloonTextChar"/>
    <w:uiPriority w:val="99"/>
    <w:semiHidden/>
    <w:unhideWhenUsed/>
    <w:rsid w:val="00A25B9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B90"/>
    <w:rPr>
      <w:rFonts w:ascii="Segoe UI" w:eastAsia="Arial" w:hAnsi="Segoe UI" w:cs="Segoe UI"/>
      <w:sz w:val="18"/>
      <w:szCs w:val="18"/>
      <w:lang w:val="en" w:eastAsia="en-CA"/>
    </w:rPr>
  </w:style>
  <w:style w:type="paragraph" w:styleId="Bibliography">
    <w:name w:val="Bibliography"/>
    <w:basedOn w:val="Normal"/>
    <w:next w:val="Normal"/>
    <w:uiPriority w:val="37"/>
    <w:unhideWhenUsed/>
    <w:rsid w:val="00A25B90"/>
    <w:pPr>
      <w:tabs>
        <w:tab w:val="left" w:pos="264"/>
      </w:tabs>
      <w:spacing w:after="240" w:line="240" w:lineRule="auto"/>
      <w:ind w:left="264" w:hanging="264"/>
    </w:pPr>
  </w:style>
  <w:style w:type="character" w:customStyle="1" w:styleId="tab">
    <w:name w:val="tab"/>
    <w:basedOn w:val="DefaultParagraphFont"/>
    <w:rsid w:val="00A25B90"/>
  </w:style>
  <w:style w:type="paragraph" w:styleId="ListParagraph">
    <w:name w:val="List Paragraph"/>
    <w:basedOn w:val="Normal"/>
    <w:uiPriority w:val="34"/>
    <w:qFormat/>
    <w:rsid w:val="00A25B90"/>
    <w:pPr>
      <w:ind w:left="720"/>
      <w:contextualSpacing/>
    </w:pPr>
  </w:style>
  <w:style w:type="character" w:styleId="CommentReference">
    <w:name w:val="annotation reference"/>
    <w:basedOn w:val="DefaultParagraphFont"/>
    <w:uiPriority w:val="99"/>
    <w:semiHidden/>
    <w:unhideWhenUsed/>
    <w:rsid w:val="00A25B90"/>
    <w:rPr>
      <w:sz w:val="16"/>
      <w:szCs w:val="16"/>
    </w:rPr>
  </w:style>
  <w:style w:type="paragraph" w:styleId="CommentText">
    <w:name w:val="annotation text"/>
    <w:basedOn w:val="Normal"/>
    <w:link w:val="CommentTextChar"/>
    <w:uiPriority w:val="99"/>
    <w:semiHidden/>
    <w:unhideWhenUsed/>
    <w:rsid w:val="00A25B90"/>
    <w:pPr>
      <w:spacing w:line="240" w:lineRule="auto"/>
    </w:pPr>
    <w:rPr>
      <w:sz w:val="20"/>
      <w:szCs w:val="20"/>
    </w:rPr>
  </w:style>
  <w:style w:type="character" w:customStyle="1" w:styleId="CommentTextChar">
    <w:name w:val="Comment Text Char"/>
    <w:basedOn w:val="DefaultParagraphFont"/>
    <w:link w:val="CommentText"/>
    <w:uiPriority w:val="99"/>
    <w:semiHidden/>
    <w:rsid w:val="00A25B90"/>
    <w:rPr>
      <w:rFonts w:ascii="Arial" w:eastAsia="Arial" w:hAnsi="Arial" w:cs="Arial"/>
      <w:sz w:val="20"/>
      <w:szCs w:val="20"/>
      <w:lang w:val="en" w:eastAsia="en-CA"/>
    </w:rPr>
  </w:style>
  <w:style w:type="paragraph" w:styleId="CommentSubject">
    <w:name w:val="annotation subject"/>
    <w:basedOn w:val="CommentText"/>
    <w:next w:val="CommentText"/>
    <w:link w:val="CommentSubjectChar"/>
    <w:uiPriority w:val="99"/>
    <w:semiHidden/>
    <w:unhideWhenUsed/>
    <w:rsid w:val="00A25B90"/>
    <w:rPr>
      <w:b/>
      <w:bCs/>
    </w:rPr>
  </w:style>
  <w:style w:type="character" w:customStyle="1" w:styleId="CommentSubjectChar">
    <w:name w:val="Comment Subject Char"/>
    <w:basedOn w:val="CommentTextChar"/>
    <w:link w:val="CommentSubject"/>
    <w:uiPriority w:val="99"/>
    <w:semiHidden/>
    <w:rsid w:val="00A25B90"/>
    <w:rPr>
      <w:rFonts w:ascii="Arial" w:eastAsia="Arial" w:hAnsi="Arial" w:cs="Arial"/>
      <w:b/>
      <w:bCs/>
      <w:sz w:val="20"/>
      <w:szCs w:val="20"/>
      <w:lang w:val="en" w:eastAsia="en-CA"/>
    </w:rPr>
  </w:style>
  <w:style w:type="paragraph" w:styleId="TOC1">
    <w:name w:val="toc 1"/>
    <w:basedOn w:val="Normal"/>
    <w:next w:val="Normal"/>
    <w:autoRedefine/>
    <w:uiPriority w:val="39"/>
    <w:unhideWhenUsed/>
    <w:rsid w:val="00A25B90"/>
    <w:pPr>
      <w:spacing w:after="100"/>
    </w:pPr>
  </w:style>
  <w:style w:type="paragraph" w:styleId="TOC2">
    <w:name w:val="toc 2"/>
    <w:basedOn w:val="Normal"/>
    <w:next w:val="Normal"/>
    <w:autoRedefine/>
    <w:uiPriority w:val="39"/>
    <w:unhideWhenUsed/>
    <w:rsid w:val="00A25B90"/>
    <w:pPr>
      <w:spacing w:after="100"/>
      <w:ind w:left="220"/>
    </w:pPr>
  </w:style>
  <w:style w:type="paragraph" w:styleId="TOC3">
    <w:name w:val="toc 3"/>
    <w:basedOn w:val="Normal"/>
    <w:next w:val="Normal"/>
    <w:autoRedefine/>
    <w:uiPriority w:val="39"/>
    <w:unhideWhenUsed/>
    <w:rsid w:val="00A25B90"/>
    <w:pPr>
      <w:spacing w:after="100"/>
      <w:ind w:left="440"/>
    </w:pPr>
  </w:style>
  <w:style w:type="character" w:styleId="Hyperlink">
    <w:name w:val="Hyperlink"/>
    <w:basedOn w:val="DefaultParagraphFont"/>
    <w:uiPriority w:val="99"/>
    <w:unhideWhenUsed/>
    <w:rsid w:val="00A25B90"/>
    <w:rPr>
      <w:color w:val="0563C1" w:themeColor="hyperlink"/>
      <w:u w:val="single"/>
    </w:rPr>
  </w:style>
  <w:style w:type="character" w:styleId="UnresolvedMention">
    <w:name w:val="Unresolved Mention"/>
    <w:basedOn w:val="DefaultParagraphFont"/>
    <w:uiPriority w:val="99"/>
    <w:semiHidden/>
    <w:unhideWhenUsed/>
    <w:rsid w:val="00A25B90"/>
    <w:rPr>
      <w:color w:val="605E5C"/>
      <w:shd w:val="clear" w:color="auto" w:fill="E1DFDD"/>
    </w:rPr>
  </w:style>
  <w:style w:type="paragraph" w:styleId="Revision">
    <w:name w:val="Revision"/>
    <w:hidden/>
    <w:uiPriority w:val="99"/>
    <w:semiHidden/>
    <w:rsid w:val="00A25B90"/>
    <w:pPr>
      <w:spacing w:after="0" w:line="240" w:lineRule="auto"/>
    </w:pPr>
    <w:rPr>
      <w:rFonts w:ascii="Arial" w:eastAsia="Arial" w:hAnsi="Arial" w:cs="Arial"/>
      <w:lang w:val="en" w:eastAsia="en-CA"/>
    </w:rPr>
  </w:style>
  <w:style w:type="paragraph" w:styleId="NormalWeb">
    <w:name w:val="Normal (Web)"/>
    <w:basedOn w:val="Normal"/>
    <w:uiPriority w:val="99"/>
    <w:semiHidden/>
    <w:unhideWhenUsed/>
    <w:rsid w:val="00A25B90"/>
    <w:pPr>
      <w:spacing w:before="100" w:beforeAutospacing="1" w:after="100" w:afterAutospacing="1" w:line="240" w:lineRule="auto"/>
    </w:pPr>
    <w:rPr>
      <w:rFonts w:ascii="Times New Roman" w:eastAsia="Times New Roman" w:hAnsi="Times New Roman" w:cs="Times New Roman"/>
      <w:sz w:val="24"/>
      <w:szCs w:val="24"/>
      <w:lang w:val="en-CA"/>
    </w:rPr>
  </w:style>
  <w:style w:type="character" w:styleId="FollowedHyperlink">
    <w:name w:val="FollowedHyperlink"/>
    <w:basedOn w:val="DefaultParagraphFont"/>
    <w:uiPriority w:val="99"/>
    <w:semiHidden/>
    <w:unhideWhenUsed/>
    <w:rsid w:val="00A25B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20558</Words>
  <Characters>117185</Characters>
  <Application>Microsoft Office Word</Application>
  <DocSecurity>0</DocSecurity>
  <Lines>976</Lines>
  <Paragraphs>274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dc:creator>
  <cp:keywords/>
  <dc:description/>
  <cp:lastModifiedBy>DG</cp:lastModifiedBy>
  <cp:revision>4</cp:revision>
  <dcterms:created xsi:type="dcterms:W3CDTF">2024-03-04T21:32:00Z</dcterms:created>
  <dcterms:modified xsi:type="dcterms:W3CDTF">2024-03-05T05:33:00Z</dcterms:modified>
</cp:coreProperties>
</file>