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C4223" w:rsidRPr="00BC4223" w:rsidRDefault="00D34CC9" w:rsidP="00BC4223">
      <w:pPr>
        <w:rPr>
          <w:rFonts w:asciiTheme="minorHAnsi" w:hAnsiTheme="minorHAnsi" w:cstheme="minorHAnsi"/>
        </w:rPr>
      </w:pPr>
      <w:r w:rsidRPr="00BC4223">
        <w:rPr>
          <w:rFonts w:asciiTheme="minorHAnsi" w:hAnsiTheme="minorHAnsi" w:cstheme="minorHAnsi"/>
        </w:rPr>
        <w:t>Additional file 5</w:t>
      </w:r>
      <w:r w:rsidR="004E4196">
        <w:rPr>
          <w:rFonts w:asciiTheme="minorHAnsi" w:hAnsiTheme="minorHAnsi" w:cstheme="minorHAnsi"/>
        </w:rPr>
        <w:t xml:space="preserve"> (Table)</w:t>
      </w:r>
      <w:r w:rsidR="00BC4223" w:rsidRPr="00BC4223">
        <w:rPr>
          <w:rFonts w:asciiTheme="minorHAnsi" w:hAnsiTheme="minorHAnsi" w:cstheme="minorHAnsi"/>
        </w:rPr>
        <w:t xml:space="preserve">: </w:t>
      </w:r>
      <w:r w:rsidR="00BC4223" w:rsidRPr="00BC4223">
        <w:rPr>
          <w:rFonts w:asciiTheme="minorHAnsi" w:hAnsiTheme="minorHAnsi" w:cstheme="minorHAnsi"/>
        </w:rPr>
        <w:t xml:space="preserve">Quality assessment of included studies (n=33) </w:t>
      </w:r>
      <w:r w:rsidR="00BC4223">
        <w:rPr>
          <w:rFonts w:asciiTheme="minorHAnsi" w:hAnsiTheme="minorHAnsi" w:cstheme="minorHAnsi"/>
        </w:rPr>
        <w:t>using</w:t>
      </w:r>
      <w:r w:rsidR="00BC4223" w:rsidRPr="00BC4223">
        <w:rPr>
          <w:rFonts w:asciiTheme="minorHAnsi" w:hAnsiTheme="minorHAnsi" w:cstheme="minorHAnsi"/>
        </w:rPr>
        <w:t xml:space="preserve"> the Mixed Methods Appraisal Tool (MMAT)</w:t>
      </w:r>
      <w:r w:rsidR="00BC4223">
        <w:rPr>
          <w:rFonts w:asciiTheme="minorHAnsi" w:hAnsiTheme="minorHAnsi" w:cstheme="minorHAnsi"/>
        </w:rPr>
        <w:t>.</w:t>
      </w:r>
    </w:p>
    <w:tbl>
      <w:tblPr>
        <w:tblW w:w="13130" w:type="dxa"/>
        <w:tblBorders>
          <w:top w:val="single" w:sz="8" w:space="0" w:color="969696"/>
          <w:left w:val="single" w:sz="8" w:space="0" w:color="969696"/>
          <w:bottom w:val="single" w:sz="8" w:space="0" w:color="969696"/>
          <w:right w:val="single" w:sz="8" w:space="0" w:color="969696"/>
          <w:insideH w:val="single" w:sz="8" w:space="0" w:color="969696"/>
          <w:insideV w:val="single" w:sz="8" w:space="0" w:color="969696"/>
        </w:tblBorders>
        <w:tblLayout w:type="fixed"/>
        <w:tblLook w:val="0600" w:firstRow="0" w:lastRow="0" w:firstColumn="0" w:lastColumn="0" w:noHBand="1" w:noVBand="1"/>
      </w:tblPr>
      <w:tblGrid>
        <w:gridCol w:w="800"/>
        <w:gridCol w:w="1170"/>
        <w:gridCol w:w="1350"/>
        <w:gridCol w:w="1350"/>
        <w:gridCol w:w="1530"/>
        <w:gridCol w:w="1350"/>
        <w:gridCol w:w="1350"/>
        <w:gridCol w:w="1260"/>
        <w:gridCol w:w="2970"/>
      </w:tblGrid>
      <w:tr w:rsidR="00D34CC9" w:rsidTr="005964B4">
        <w:trPr>
          <w:trHeight w:val="236"/>
        </w:trPr>
        <w:tc>
          <w:tcPr>
            <w:tcW w:w="13130" w:type="dxa"/>
            <w:gridSpan w:val="9"/>
            <w:tcBorders>
              <w:top w:val="single" w:sz="6" w:space="0" w:color="969696"/>
            </w:tcBorders>
            <w:shd w:val="clear" w:color="auto" w:fill="F3F3F3"/>
            <w:tcMar>
              <w:top w:w="100" w:type="dxa"/>
              <w:left w:w="100" w:type="dxa"/>
              <w:bottom w:w="100" w:type="dxa"/>
              <w:right w:w="100" w:type="dxa"/>
            </w:tcMar>
          </w:tcPr>
          <w:p w:rsidR="00D34CC9" w:rsidRDefault="00D34CC9" w:rsidP="005964B4">
            <w:pPr>
              <w:spacing w:line="240" w:lineRule="auto"/>
              <w:jc w:val="center"/>
              <w:rPr>
                <w:b/>
                <w:sz w:val="16"/>
                <w:szCs w:val="16"/>
              </w:rPr>
            </w:pPr>
            <w:r>
              <w:rPr>
                <w:b/>
                <w:sz w:val="16"/>
                <w:szCs w:val="16"/>
              </w:rPr>
              <w:t>Qualitative Studies</w:t>
            </w:r>
          </w:p>
        </w:tc>
      </w:tr>
      <w:tr w:rsidR="00D34CC9" w:rsidTr="005964B4">
        <w:trPr>
          <w:trHeight w:val="369"/>
        </w:trPr>
        <w:tc>
          <w:tcPr>
            <w:tcW w:w="800" w:type="dxa"/>
            <w:shd w:val="clear" w:color="auto" w:fill="CCCCCC"/>
            <w:tcMar>
              <w:top w:w="100" w:type="dxa"/>
              <w:left w:w="100" w:type="dxa"/>
              <w:bottom w:w="100" w:type="dxa"/>
              <w:right w:w="100" w:type="dxa"/>
            </w:tcMar>
          </w:tcPr>
          <w:p w:rsidR="00D34CC9" w:rsidRDefault="00D34CC9" w:rsidP="005964B4">
            <w:pPr>
              <w:spacing w:line="240" w:lineRule="auto"/>
              <w:rPr>
                <w:b/>
                <w:sz w:val="14"/>
                <w:szCs w:val="14"/>
              </w:rPr>
            </w:pPr>
            <w:r>
              <w:rPr>
                <w:b/>
                <w:sz w:val="14"/>
                <w:szCs w:val="14"/>
              </w:rPr>
              <w:t>Study</w:t>
            </w:r>
          </w:p>
        </w:tc>
        <w:tc>
          <w:tcPr>
            <w:tcW w:w="1170" w:type="dxa"/>
            <w:tcBorders>
              <w:top w:val="single" w:sz="6" w:space="0" w:color="969696"/>
              <w:left w:val="single" w:sz="6" w:space="0" w:color="969696"/>
              <w:bottom w:val="single" w:sz="6" w:space="0" w:color="969696"/>
              <w:right w:val="single" w:sz="6" w:space="0" w:color="969696"/>
            </w:tcBorders>
            <w:shd w:val="clear" w:color="auto" w:fill="CCCCCC"/>
            <w:tcMar>
              <w:top w:w="40" w:type="dxa"/>
              <w:left w:w="40" w:type="dxa"/>
              <w:bottom w:w="40" w:type="dxa"/>
              <w:right w:w="40" w:type="dxa"/>
            </w:tcMar>
          </w:tcPr>
          <w:p w:rsidR="00D34CC9" w:rsidRDefault="00D34CC9" w:rsidP="005964B4">
            <w:pPr>
              <w:widowControl w:val="0"/>
              <w:spacing w:line="240" w:lineRule="auto"/>
              <w:rPr>
                <w:b/>
                <w:sz w:val="14"/>
                <w:szCs w:val="14"/>
              </w:rPr>
            </w:pPr>
            <w:r>
              <w:rPr>
                <w:b/>
                <w:sz w:val="14"/>
                <w:szCs w:val="14"/>
              </w:rPr>
              <w:t xml:space="preserve">Screening Questions-S1. Are there clear research questions? </w:t>
            </w:r>
          </w:p>
        </w:tc>
        <w:tc>
          <w:tcPr>
            <w:tcW w:w="1350" w:type="dxa"/>
            <w:tcBorders>
              <w:top w:val="single" w:sz="6" w:space="0" w:color="969696"/>
              <w:left w:val="single" w:sz="6" w:space="0" w:color="969696"/>
              <w:bottom w:val="single" w:sz="6" w:space="0" w:color="969696"/>
              <w:right w:val="single" w:sz="6" w:space="0" w:color="969696"/>
            </w:tcBorders>
            <w:shd w:val="clear" w:color="auto" w:fill="CCCCCC"/>
            <w:tcMar>
              <w:top w:w="40" w:type="dxa"/>
              <w:left w:w="40" w:type="dxa"/>
              <w:bottom w:w="40" w:type="dxa"/>
              <w:right w:w="40" w:type="dxa"/>
            </w:tcMar>
          </w:tcPr>
          <w:p w:rsidR="00D34CC9" w:rsidRDefault="00D34CC9" w:rsidP="005964B4">
            <w:pPr>
              <w:widowControl w:val="0"/>
              <w:spacing w:line="240" w:lineRule="auto"/>
              <w:rPr>
                <w:b/>
                <w:sz w:val="14"/>
                <w:szCs w:val="14"/>
              </w:rPr>
            </w:pPr>
            <w:r>
              <w:rPr>
                <w:b/>
                <w:sz w:val="14"/>
                <w:szCs w:val="14"/>
              </w:rPr>
              <w:t>Screening Questions-S2. Do the collected data allow to address the research questions?</w:t>
            </w:r>
          </w:p>
        </w:tc>
        <w:tc>
          <w:tcPr>
            <w:tcW w:w="1350" w:type="dxa"/>
            <w:tcBorders>
              <w:top w:val="single" w:sz="6" w:space="0" w:color="969696"/>
              <w:left w:val="single" w:sz="6" w:space="0" w:color="969696"/>
              <w:bottom w:val="single" w:sz="6" w:space="0" w:color="969696"/>
              <w:right w:val="single" w:sz="6" w:space="0" w:color="969696"/>
            </w:tcBorders>
            <w:shd w:val="clear" w:color="auto" w:fill="CCCCCC"/>
            <w:tcMar>
              <w:top w:w="40" w:type="dxa"/>
              <w:left w:w="40" w:type="dxa"/>
              <w:bottom w:w="40" w:type="dxa"/>
              <w:right w:w="40" w:type="dxa"/>
            </w:tcMar>
          </w:tcPr>
          <w:p w:rsidR="00D34CC9" w:rsidRDefault="00D34CC9" w:rsidP="005964B4">
            <w:pPr>
              <w:widowControl w:val="0"/>
              <w:spacing w:line="240" w:lineRule="auto"/>
              <w:rPr>
                <w:b/>
                <w:sz w:val="14"/>
                <w:szCs w:val="14"/>
              </w:rPr>
            </w:pPr>
            <w:r>
              <w:rPr>
                <w:b/>
                <w:sz w:val="14"/>
                <w:szCs w:val="14"/>
              </w:rPr>
              <w:t>1.1. Is the qualitative approach appropriate to answer the research question?</w:t>
            </w:r>
          </w:p>
        </w:tc>
        <w:tc>
          <w:tcPr>
            <w:tcW w:w="1530" w:type="dxa"/>
            <w:tcBorders>
              <w:top w:val="single" w:sz="6" w:space="0" w:color="969696"/>
              <w:left w:val="single" w:sz="6" w:space="0" w:color="969696"/>
              <w:bottom w:val="single" w:sz="6" w:space="0" w:color="969696"/>
              <w:right w:val="single" w:sz="6" w:space="0" w:color="969696"/>
            </w:tcBorders>
            <w:shd w:val="clear" w:color="auto" w:fill="CCCCCC"/>
            <w:tcMar>
              <w:top w:w="40" w:type="dxa"/>
              <w:left w:w="40" w:type="dxa"/>
              <w:bottom w:w="40" w:type="dxa"/>
              <w:right w:w="40" w:type="dxa"/>
            </w:tcMar>
          </w:tcPr>
          <w:p w:rsidR="00D34CC9" w:rsidRDefault="00D34CC9" w:rsidP="005964B4">
            <w:pPr>
              <w:widowControl w:val="0"/>
              <w:spacing w:line="240" w:lineRule="auto"/>
              <w:rPr>
                <w:b/>
                <w:sz w:val="14"/>
                <w:szCs w:val="14"/>
              </w:rPr>
            </w:pPr>
            <w:r>
              <w:rPr>
                <w:b/>
                <w:sz w:val="14"/>
                <w:szCs w:val="14"/>
              </w:rPr>
              <w:t xml:space="preserve">1.2. Are the qualitative data collection methods adequate to address the research question?  </w:t>
            </w:r>
          </w:p>
        </w:tc>
        <w:tc>
          <w:tcPr>
            <w:tcW w:w="1350" w:type="dxa"/>
            <w:tcBorders>
              <w:top w:val="single" w:sz="6" w:space="0" w:color="969696"/>
              <w:left w:val="single" w:sz="6" w:space="0" w:color="969696"/>
              <w:bottom w:val="single" w:sz="6" w:space="0" w:color="969696"/>
              <w:right w:val="single" w:sz="6" w:space="0" w:color="969696"/>
            </w:tcBorders>
            <w:shd w:val="clear" w:color="auto" w:fill="CCCCCC"/>
            <w:tcMar>
              <w:top w:w="40" w:type="dxa"/>
              <w:left w:w="40" w:type="dxa"/>
              <w:bottom w:w="40" w:type="dxa"/>
              <w:right w:w="40" w:type="dxa"/>
            </w:tcMar>
          </w:tcPr>
          <w:p w:rsidR="00D34CC9" w:rsidRDefault="00D34CC9" w:rsidP="005964B4">
            <w:pPr>
              <w:widowControl w:val="0"/>
              <w:spacing w:line="240" w:lineRule="auto"/>
              <w:rPr>
                <w:b/>
                <w:sz w:val="14"/>
                <w:szCs w:val="14"/>
              </w:rPr>
            </w:pPr>
            <w:r>
              <w:rPr>
                <w:b/>
                <w:sz w:val="14"/>
                <w:szCs w:val="14"/>
              </w:rPr>
              <w:t xml:space="preserve">1.3. Are the findings adequately derived from the data?  </w:t>
            </w:r>
          </w:p>
        </w:tc>
        <w:tc>
          <w:tcPr>
            <w:tcW w:w="1350" w:type="dxa"/>
            <w:tcBorders>
              <w:top w:val="single" w:sz="6" w:space="0" w:color="969696"/>
              <w:left w:val="single" w:sz="6" w:space="0" w:color="969696"/>
              <w:bottom w:val="single" w:sz="6" w:space="0" w:color="969696"/>
              <w:right w:val="single" w:sz="6" w:space="0" w:color="969696"/>
            </w:tcBorders>
            <w:shd w:val="clear" w:color="auto" w:fill="CCCCCC"/>
            <w:tcMar>
              <w:top w:w="40" w:type="dxa"/>
              <w:left w:w="40" w:type="dxa"/>
              <w:bottom w:w="40" w:type="dxa"/>
              <w:right w:w="40" w:type="dxa"/>
            </w:tcMar>
          </w:tcPr>
          <w:p w:rsidR="00D34CC9" w:rsidRDefault="00D34CC9" w:rsidP="005964B4">
            <w:pPr>
              <w:widowControl w:val="0"/>
              <w:spacing w:line="240" w:lineRule="auto"/>
              <w:rPr>
                <w:b/>
                <w:sz w:val="14"/>
                <w:szCs w:val="14"/>
              </w:rPr>
            </w:pPr>
            <w:r>
              <w:rPr>
                <w:b/>
                <w:sz w:val="14"/>
                <w:szCs w:val="14"/>
              </w:rPr>
              <w:t xml:space="preserve">1.4. Is the interpretation of results sufficiently substantiated by data?  </w:t>
            </w:r>
          </w:p>
        </w:tc>
        <w:tc>
          <w:tcPr>
            <w:tcW w:w="1260" w:type="dxa"/>
            <w:tcBorders>
              <w:top w:val="single" w:sz="6" w:space="0" w:color="969696"/>
              <w:left w:val="single" w:sz="6" w:space="0" w:color="969696"/>
              <w:bottom w:val="single" w:sz="6" w:space="0" w:color="969696"/>
              <w:right w:val="single" w:sz="6" w:space="0" w:color="969696"/>
            </w:tcBorders>
            <w:shd w:val="clear" w:color="auto" w:fill="CCCCCC"/>
            <w:tcMar>
              <w:top w:w="40" w:type="dxa"/>
              <w:left w:w="40" w:type="dxa"/>
              <w:bottom w:w="40" w:type="dxa"/>
              <w:right w:w="40" w:type="dxa"/>
            </w:tcMar>
          </w:tcPr>
          <w:p w:rsidR="00D34CC9" w:rsidRDefault="00D34CC9" w:rsidP="005964B4">
            <w:pPr>
              <w:widowControl w:val="0"/>
              <w:spacing w:line="240" w:lineRule="auto"/>
              <w:rPr>
                <w:b/>
                <w:sz w:val="14"/>
                <w:szCs w:val="14"/>
              </w:rPr>
            </w:pPr>
            <w:r>
              <w:rPr>
                <w:b/>
                <w:sz w:val="14"/>
                <w:szCs w:val="14"/>
              </w:rPr>
              <w:t xml:space="preserve">1.5. Is there coherence between qualitative data sources, collection, analysis and interpretation?  </w:t>
            </w:r>
          </w:p>
        </w:tc>
        <w:tc>
          <w:tcPr>
            <w:tcW w:w="2970" w:type="dxa"/>
            <w:shd w:val="clear" w:color="auto" w:fill="CCCCCC"/>
            <w:tcMar>
              <w:top w:w="100" w:type="dxa"/>
              <w:left w:w="100" w:type="dxa"/>
              <w:bottom w:w="100" w:type="dxa"/>
              <w:right w:w="100" w:type="dxa"/>
            </w:tcMar>
          </w:tcPr>
          <w:p w:rsidR="00D34CC9" w:rsidRDefault="00D34CC9" w:rsidP="005964B4">
            <w:pPr>
              <w:widowControl w:val="0"/>
              <w:spacing w:line="240" w:lineRule="auto"/>
              <w:rPr>
                <w:b/>
                <w:sz w:val="14"/>
                <w:szCs w:val="14"/>
              </w:rPr>
            </w:pPr>
            <w:r>
              <w:rPr>
                <w:b/>
                <w:sz w:val="14"/>
                <w:szCs w:val="14"/>
              </w:rPr>
              <w:t>Comments</w:t>
            </w:r>
          </w:p>
        </w:tc>
      </w:tr>
      <w:tr w:rsidR="00D34CC9" w:rsidTr="005964B4">
        <w:trPr>
          <w:trHeight w:val="53"/>
        </w:trPr>
        <w:tc>
          <w:tcPr>
            <w:tcW w:w="13130" w:type="dxa"/>
            <w:gridSpan w:val="9"/>
            <w:tcBorders>
              <w:top w:val="single" w:sz="6" w:space="0" w:color="969696"/>
              <w:left w:val="single" w:sz="6" w:space="0" w:color="969696"/>
              <w:bottom w:val="single" w:sz="6" w:space="0" w:color="969696"/>
              <w:right w:val="single" w:sz="6" w:space="0" w:color="969696"/>
            </w:tcBorders>
            <w:shd w:val="clear" w:color="auto" w:fill="F3F3F3"/>
            <w:tcMar>
              <w:top w:w="40" w:type="dxa"/>
              <w:left w:w="40" w:type="dxa"/>
              <w:bottom w:w="40" w:type="dxa"/>
              <w:right w:w="40" w:type="dxa"/>
            </w:tcMar>
          </w:tcPr>
          <w:p w:rsidR="00D34CC9" w:rsidRDefault="00D34CC9" w:rsidP="005964B4">
            <w:pPr>
              <w:rPr>
                <w:b/>
                <w:sz w:val="16"/>
                <w:szCs w:val="16"/>
              </w:rPr>
            </w:pPr>
            <w:r>
              <w:rPr>
                <w:b/>
                <w:sz w:val="16"/>
                <w:szCs w:val="16"/>
              </w:rPr>
              <w:t>COVID-19 vaccine</w:t>
            </w:r>
          </w:p>
        </w:tc>
      </w:tr>
      <w:tr w:rsidR="00D34CC9" w:rsidTr="005964B4">
        <w:trPr>
          <w:trHeight w:val="369"/>
        </w:trPr>
        <w:tc>
          <w:tcPr>
            <w:tcW w:w="80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proofErr w:type="spellStart"/>
            <w:r>
              <w:rPr>
                <w:i/>
                <w:sz w:val="14"/>
                <w:szCs w:val="14"/>
              </w:rPr>
              <w:t>Desens</w:t>
            </w:r>
            <w:proofErr w:type="spellEnd"/>
            <w:r>
              <w:rPr>
                <w:i/>
                <w:sz w:val="14"/>
                <w:szCs w:val="14"/>
              </w:rPr>
              <w:t xml:space="preserve"> et al., 2023 </w:t>
            </w:r>
            <w:r>
              <w:rPr>
                <w:i/>
                <w:sz w:val="14"/>
                <w:szCs w:val="14"/>
              </w:rPr>
              <w:fldChar w:fldCharType="begin"/>
            </w:r>
            <w:r>
              <w:rPr>
                <w:i/>
                <w:sz w:val="14"/>
                <w:szCs w:val="14"/>
              </w:rPr>
              <w:instrText xml:space="preserve"> ADDIN ZOTERO_ITEM CSL_CITATION {"citationID":"O398X0HI","properties":{"formattedCitation":"(26)","plainCitation":"(26)","noteIndex":0},"citationItems":[{"id":277,"uris":["http://zotero.org/groups/4911489/items/V2TKE6LU"],"itemData":{"id":277,"type":"article-journal","abstract":"This descriptive, observational paper utilizes the comparative case study approach to analyze the application of the HIPE™ Framework to two health campaigns addressing vaccine hesitancy in underserved communities. Exposure to inaccurate/misleading health information impacts vaccination adoption, especially for individuals with low health/digital literacy. Underserved groups—like minority, racial/ethnic, or rural populations—typically have lower literacy and higher rates of vaccine hesitancy. Grounded in persuasion and behavioral change theory, the Health Information Persuasion Exploration (HIPE™) Framework was applied to the Black/Haitian community in Miami-Dade, Florida and the Migrant Agricultural Worker Community in Central Valley, California. The campaigns addressed each community’s unique characteristics via Detect, Analyze, Design, and Evaluate phases of the HIPE framework. Both campaigns achieved their respective vaccine uptake goals. For Miami-Dade, over 850 vaccinations were administered (the goal was 800 vaccinations), and vaccination rates increased by 25.22%. In Central Valley, vaccination rates for 5–11-year-old children in Merced and Stanislaus counties increased about 20% and 14%, respectively, and overall vaccination rates increased compared to surrounding counties. Discussion of the results and recommendations for future research highlight the potential efficacy of applying the HIPE™ Framework for developing health campaigns and response strategies to improve health outcomes.","container-title":"Vaccines","DOI":"10.3390/vaccines11061107","ISSN":"2076-393X","issue":"6","language":"en","license":"http://creativecommons.org/licenses/by/3.0/","note":"number: 6\npublisher: Multidisciplinary Digital Publishing Institute","page":"1107","source":"www.mdpi.com","title":"A Comparative Case Study Analysis: Applying the HIPE Framework to Combat Harmful Health Information and Drive COVID-19 Vaccine Adoption in Underserved Communities","title-short":"A Comparative Case Study Analysis","volume":"11","author":[{"family":"Desens","given":"Linda"},{"family":"Walling","given":"Brandon"},{"family":"Fiedor","given":"Anna"},{"family":"Howard","given":"Vanessa"},{"family":"Lopez Diaz","given":"Zue"},{"family":"Kim","given":"Katherine"},{"family":"Scannell","given":"Denise"}],"issued":{"date-parts":[["2023",6]]}}}],"schema":"https://github.com/citation-style-language/schema/raw/master/csl-citation.json"} </w:instrText>
            </w:r>
            <w:r>
              <w:rPr>
                <w:i/>
                <w:sz w:val="14"/>
                <w:szCs w:val="14"/>
              </w:rPr>
              <w:fldChar w:fldCharType="separate"/>
            </w:r>
            <w:r w:rsidRPr="0086135B">
              <w:rPr>
                <w:sz w:val="14"/>
              </w:rPr>
              <w:t>(26)</w:t>
            </w:r>
            <w:r>
              <w:rPr>
                <w:i/>
                <w:sz w:val="14"/>
                <w:szCs w:val="14"/>
              </w:rPr>
              <w:fldChar w:fldCharType="end"/>
            </w:r>
          </w:p>
        </w:tc>
        <w:tc>
          <w:tcPr>
            <w:tcW w:w="11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spacing w:line="240" w:lineRule="auto"/>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spacing w:line="240" w:lineRule="auto"/>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spacing w:line="240" w:lineRule="auto"/>
              <w:rPr>
                <w:i/>
                <w:sz w:val="14"/>
                <w:szCs w:val="14"/>
              </w:rPr>
            </w:pPr>
            <w:r>
              <w:rPr>
                <w:i/>
                <w:sz w:val="14"/>
                <w:szCs w:val="14"/>
              </w:rPr>
              <w:t>Yes</w:t>
            </w:r>
          </w:p>
        </w:tc>
        <w:tc>
          <w:tcPr>
            <w:tcW w:w="153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spacing w:line="240" w:lineRule="auto"/>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spacing w:line="240" w:lineRule="auto"/>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spacing w:line="240" w:lineRule="auto"/>
              <w:rPr>
                <w:i/>
                <w:sz w:val="14"/>
                <w:szCs w:val="14"/>
              </w:rPr>
            </w:pPr>
            <w:r>
              <w:rPr>
                <w:i/>
                <w:sz w:val="14"/>
                <w:szCs w:val="14"/>
              </w:rPr>
              <w:t>Yes</w:t>
            </w:r>
          </w:p>
        </w:tc>
        <w:tc>
          <w:tcPr>
            <w:tcW w:w="126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spacing w:line="240" w:lineRule="auto"/>
              <w:rPr>
                <w:i/>
                <w:sz w:val="14"/>
                <w:szCs w:val="14"/>
              </w:rPr>
            </w:pPr>
            <w:r>
              <w:rPr>
                <w:i/>
                <w:sz w:val="14"/>
                <w:szCs w:val="14"/>
              </w:rPr>
              <w:t>Yes</w:t>
            </w:r>
          </w:p>
        </w:tc>
        <w:tc>
          <w:tcPr>
            <w:tcW w:w="2970" w:type="dxa"/>
            <w:shd w:val="clear" w:color="auto" w:fill="auto"/>
            <w:tcMar>
              <w:top w:w="100" w:type="dxa"/>
              <w:left w:w="100" w:type="dxa"/>
              <w:bottom w:w="100" w:type="dxa"/>
              <w:right w:w="100" w:type="dxa"/>
            </w:tcMar>
          </w:tcPr>
          <w:p w:rsidR="00D34CC9" w:rsidRDefault="00D34CC9" w:rsidP="005964B4">
            <w:pPr>
              <w:widowControl w:val="0"/>
              <w:rPr>
                <w:i/>
                <w:sz w:val="14"/>
                <w:szCs w:val="14"/>
              </w:rPr>
            </w:pPr>
            <w:r>
              <w:rPr>
                <w:i/>
                <w:sz w:val="14"/>
                <w:szCs w:val="14"/>
              </w:rPr>
              <w:t xml:space="preserve">Comparative case study; general question to evaluate the ‘utility’ of applying framework in two communities and compare its application.  </w:t>
            </w:r>
          </w:p>
        </w:tc>
      </w:tr>
      <w:tr w:rsidR="00D34CC9" w:rsidTr="005964B4">
        <w:trPr>
          <w:trHeight w:val="369"/>
        </w:trPr>
        <w:tc>
          <w:tcPr>
            <w:tcW w:w="80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proofErr w:type="spellStart"/>
            <w:r>
              <w:rPr>
                <w:i/>
                <w:sz w:val="14"/>
                <w:szCs w:val="14"/>
              </w:rPr>
              <w:t>Holdbrook</w:t>
            </w:r>
            <w:proofErr w:type="spellEnd"/>
            <w:r>
              <w:rPr>
                <w:i/>
                <w:sz w:val="14"/>
                <w:szCs w:val="14"/>
              </w:rPr>
              <w:t xml:space="preserve"> et al., 2023 </w:t>
            </w:r>
            <w:r>
              <w:rPr>
                <w:i/>
                <w:sz w:val="14"/>
                <w:szCs w:val="14"/>
              </w:rPr>
              <w:fldChar w:fldCharType="begin"/>
            </w:r>
            <w:r>
              <w:rPr>
                <w:i/>
                <w:sz w:val="14"/>
                <w:szCs w:val="14"/>
              </w:rPr>
              <w:instrText xml:space="preserve"> ADDIN ZOTERO_ITEM CSL_CITATION {"citationID":"zyKw9ba8","properties":{"formattedCitation":"(37)","plainCitation":"(37)","noteIndex":0},"citationItems":[{"id":317,"uris":["http://zotero.org/groups/4911489/items/VSB3H8HS"],"itemData":{"id":317,"type":"article-journal","abstract":"BACKGROUND: Racialized, low-income, and migrant populations experience persistent barriers to vaccines against COVID-19. These communities in East and Northeast Calgary were disproportionately impacted by COVID-19, yet faced vaccine access barriers. Diverse multi-stakeholder coalitions and community partnerships can improve vaccine outreach strategies, but how stakeholders perceive these models is unknown.\nMETHODS: We conducted a formative evaluation of a low-barrier, community-engaged vaccine outreach clinic in Calgary, Alberta, Canada, on June 5-6, 2021. We delivered an online post-clinic survey to clinic stakeholders, to assess whether the clinic achieved its collectively derived pre-specified goals (effective, efficient, patient-centered, and safe), to asses whether the clinic model was scalable, and to solicit improvement recommendations. Survey responses were analyzed using descriptive statistics and thematic analysis.\nRESULTS: Overall, 166/195 (85%) stakeholders responded. The majority were from non-healthcare positions (59%), between 30 and 49 years of age (87/136; 64%), and self-identified as racialized individuals (96/136; 71%). Respondents felt the clinic was effective (99.2%), efficient (96.9%), patient-centered (92.3%), and safe (90.8%), and that the outreach model was scalable 94.6% (123/130). There were no differences across stakeholder categories. The open-ended survey responses supported the scale responses. Improvement suggestions describe increased time for clinic planning and promotion, more multilingual staff, and further efforts to reduce accessibility barriers, such as priority check-in for people with disabilities.\nCONCLUSION: Diverse stakeholders almost universally felt that this community-engaged COVID-19 vaccine outreach clinic achieved its goals and was scalable. These findings support the value of community-engaged outreach to improve vaccine equity among other marginalized newcomer communities.","container-title":"Journal of Migration and Health","DOI":"10.1016/j.jmh.2023.100188","ISSN":"2666-6235","journalAbbreviation":"J Migr Health","language":"eng","note":"PMID: 37007284\nPMCID: PMC10040088","page":"100188","source":"PubMed","title":"Vaccines for all: A formative evaluation of a multistakeholder community-engaged COVID-19 vaccine outreach clinic for migrant communities","title-short":"Vaccines for all","volume":"7","author":[{"family":"Holdbrook","given":"Linda E."},{"family":"Hassan","given":"Nour"},{"family":"Clarke","given":"Sarah K."},{"family":"Coakley","given":"Annalee"},{"family":"Norrie","given":"Eric"},{"family":"Yemane","given":"Mussie"},{"family":"Youssef","given":"Michael R."},{"family":"Sahilie","given":"Adanech"},{"family":"Antonio","given":"Minnella"},{"family":"Cerino","given":"Edna Ramirez"},{"family":"Pendharkar","given":"Sachin R."},{"family":"Lake","given":"Deidre"},{"family":"Spitzer","given":"Denise L."},{"family":"Pottie","given":"Kevin"},{"family":"Edwards","given":"Samuel T."},{"family":"Fabreau","given":"Gabriel E."}],"issued":{"date-parts":[["2023"]]}}}],"schema":"https://github.com/citation-style-language/schema/raw/master/csl-citation.json"} </w:instrText>
            </w:r>
            <w:r>
              <w:rPr>
                <w:i/>
                <w:sz w:val="14"/>
                <w:szCs w:val="14"/>
              </w:rPr>
              <w:fldChar w:fldCharType="separate"/>
            </w:r>
            <w:r w:rsidRPr="0086135B">
              <w:rPr>
                <w:sz w:val="14"/>
              </w:rPr>
              <w:t>(37)</w:t>
            </w:r>
            <w:r>
              <w:rPr>
                <w:i/>
                <w:sz w:val="14"/>
                <w:szCs w:val="14"/>
              </w:rPr>
              <w:fldChar w:fldCharType="end"/>
            </w:r>
          </w:p>
        </w:tc>
        <w:tc>
          <w:tcPr>
            <w:tcW w:w="11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spacing w:line="240" w:lineRule="auto"/>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spacing w:line="240" w:lineRule="auto"/>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spacing w:line="240" w:lineRule="auto"/>
              <w:rPr>
                <w:i/>
                <w:sz w:val="14"/>
                <w:szCs w:val="14"/>
              </w:rPr>
            </w:pPr>
            <w:r>
              <w:rPr>
                <w:i/>
                <w:sz w:val="14"/>
                <w:szCs w:val="14"/>
              </w:rPr>
              <w:t xml:space="preserve">Can’t tell </w:t>
            </w:r>
          </w:p>
        </w:tc>
        <w:tc>
          <w:tcPr>
            <w:tcW w:w="153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spacing w:line="240" w:lineRule="auto"/>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spacing w:line="240" w:lineRule="auto"/>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spacing w:line="240" w:lineRule="auto"/>
              <w:rPr>
                <w:i/>
                <w:sz w:val="14"/>
                <w:szCs w:val="14"/>
              </w:rPr>
            </w:pPr>
            <w:r>
              <w:rPr>
                <w:i/>
                <w:sz w:val="14"/>
                <w:szCs w:val="14"/>
              </w:rPr>
              <w:t>Yes</w:t>
            </w:r>
          </w:p>
        </w:tc>
        <w:tc>
          <w:tcPr>
            <w:tcW w:w="126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spacing w:line="240" w:lineRule="auto"/>
              <w:rPr>
                <w:i/>
                <w:sz w:val="14"/>
                <w:szCs w:val="14"/>
              </w:rPr>
            </w:pPr>
            <w:r>
              <w:rPr>
                <w:i/>
                <w:sz w:val="14"/>
                <w:szCs w:val="14"/>
              </w:rPr>
              <w:t>Yes</w:t>
            </w:r>
          </w:p>
        </w:tc>
        <w:tc>
          <w:tcPr>
            <w:tcW w:w="2970" w:type="dxa"/>
            <w:shd w:val="clear" w:color="auto" w:fill="auto"/>
            <w:tcMar>
              <w:top w:w="100" w:type="dxa"/>
              <w:left w:w="100" w:type="dxa"/>
              <w:bottom w:w="100" w:type="dxa"/>
              <w:right w:w="100" w:type="dxa"/>
            </w:tcMar>
          </w:tcPr>
          <w:p w:rsidR="00D34CC9" w:rsidRDefault="00D34CC9" w:rsidP="005964B4">
            <w:pPr>
              <w:widowControl w:val="0"/>
              <w:rPr>
                <w:i/>
                <w:sz w:val="14"/>
                <w:szCs w:val="14"/>
              </w:rPr>
            </w:pPr>
            <w:r>
              <w:rPr>
                <w:i/>
                <w:sz w:val="14"/>
                <w:szCs w:val="14"/>
              </w:rPr>
              <w:t>Formative qualitative evaluation; effectiveness/efficiency difficult to address with evaluation type.</w:t>
            </w:r>
          </w:p>
        </w:tc>
      </w:tr>
      <w:tr w:rsidR="00D34CC9" w:rsidTr="005964B4">
        <w:trPr>
          <w:trHeight w:val="254"/>
        </w:trPr>
        <w:tc>
          <w:tcPr>
            <w:tcW w:w="13130" w:type="dxa"/>
            <w:gridSpan w:val="9"/>
            <w:tcBorders>
              <w:top w:val="single" w:sz="6" w:space="0" w:color="969696"/>
            </w:tcBorders>
            <w:shd w:val="clear" w:color="auto" w:fill="F3F3F3"/>
            <w:tcMar>
              <w:top w:w="100" w:type="dxa"/>
              <w:left w:w="100" w:type="dxa"/>
              <w:bottom w:w="100" w:type="dxa"/>
              <w:right w:w="100" w:type="dxa"/>
            </w:tcMar>
          </w:tcPr>
          <w:p w:rsidR="00D34CC9" w:rsidRDefault="00D34CC9" w:rsidP="005964B4">
            <w:pPr>
              <w:spacing w:line="240" w:lineRule="auto"/>
              <w:jc w:val="center"/>
              <w:rPr>
                <w:b/>
                <w:sz w:val="14"/>
                <w:szCs w:val="14"/>
              </w:rPr>
            </w:pPr>
            <w:r>
              <w:rPr>
                <w:b/>
                <w:sz w:val="16"/>
                <w:szCs w:val="16"/>
              </w:rPr>
              <w:t>RCTs</w:t>
            </w:r>
          </w:p>
        </w:tc>
      </w:tr>
      <w:tr w:rsidR="00D34CC9" w:rsidTr="005964B4">
        <w:trPr>
          <w:trHeight w:val="369"/>
        </w:trPr>
        <w:tc>
          <w:tcPr>
            <w:tcW w:w="800" w:type="dxa"/>
            <w:shd w:val="clear" w:color="auto" w:fill="CCCCCC"/>
            <w:tcMar>
              <w:top w:w="100" w:type="dxa"/>
              <w:left w:w="100" w:type="dxa"/>
              <w:bottom w:w="100" w:type="dxa"/>
              <w:right w:w="100" w:type="dxa"/>
            </w:tcMar>
          </w:tcPr>
          <w:p w:rsidR="00D34CC9" w:rsidRDefault="00D34CC9" w:rsidP="005964B4">
            <w:pPr>
              <w:widowControl w:val="0"/>
              <w:spacing w:line="240" w:lineRule="auto"/>
              <w:rPr>
                <w:b/>
                <w:sz w:val="14"/>
                <w:szCs w:val="14"/>
              </w:rPr>
            </w:pPr>
            <w:r>
              <w:rPr>
                <w:b/>
                <w:sz w:val="14"/>
                <w:szCs w:val="14"/>
              </w:rPr>
              <w:t>Study</w:t>
            </w:r>
          </w:p>
        </w:tc>
        <w:tc>
          <w:tcPr>
            <w:tcW w:w="1170" w:type="dxa"/>
            <w:tcBorders>
              <w:top w:val="single" w:sz="6" w:space="0" w:color="969696"/>
              <w:left w:val="single" w:sz="6" w:space="0" w:color="969696"/>
              <w:bottom w:val="single" w:sz="6" w:space="0" w:color="969696"/>
              <w:right w:val="single" w:sz="6" w:space="0" w:color="969696"/>
            </w:tcBorders>
            <w:shd w:val="clear" w:color="auto" w:fill="CCCCCC"/>
            <w:tcMar>
              <w:top w:w="40" w:type="dxa"/>
              <w:left w:w="40" w:type="dxa"/>
              <w:bottom w:w="40" w:type="dxa"/>
              <w:right w:w="40" w:type="dxa"/>
            </w:tcMar>
          </w:tcPr>
          <w:p w:rsidR="00D34CC9" w:rsidRDefault="00D34CC9" w:rsidP="005964B4">
            <w:pPr>
              <w:widowControl w:val="0"/>
              <w:spacing w:line="240" w:lineRule="auto"/>
              <w:rPr>
                <w:b/>
                <w:sz w:val="14"/>
                <w:szCs w:val="14"/>
              </w:rPr>
            </w:pPr>
            <w:r>
              <w:rPr>
                <w:b/>
                <w:sz w:val="14"/>
                <w:szCs w:val="14"/>
              </w:rPr>
              <w:t xml:space="preserve">Screening Questions-S1. Are there clear research questions? </w:t>
            </w:r>
          </w:p>
        </w:tc>
        <w:tc>
          <w:tcPr>
            <w:tcW w:w="1350" w:type="dxa"/>
            <w:tcBorders>
              <w:top w:val="single" w:sz="6" w:space="0" w:color="969696"/>
              <w:left w:val="single" w:sz="6" w:space="0" w:color="969696"/>
              <w:bottom w:val="single" w:sz="6" w:space="0" w:color="969696"/>
              <w:right w:val="single" w:sz="6" w:space="0" w:color="969696"/>
            </w:tcBorders>
            <w:shd w:val="clear" w:color="auto" w:fill="CCCCCC"/>
            <w:tcMar>
              <w:top w:w="40" w:type="dxa"/>
              <w:left w:w="40" w:type="dxa"/>
              <w:bottom w:w="40" w:type="dxa"/>
              <w:right w:w="40" w:type="dxa"/>
            </w:tcMar>
          </w:tcPr>
          <w:p w:rsidR="00D34CC9" w:rsidRDefault="00D34CC9" w:rsidP="005964B4">
            <w:pPr>
              <w:widowControl w:val="0"/>
              <w:spacing w:line="240" w:lineRule="auto"/>
              <w:rPr>
                <w:b/>
                <w:sz w:val="14"/>
                <w:szCs w:val="14"/>
              </w:rPr>
            </w:pPr>
            <w:r>
              <w:rPr>
                <w:b/>
                <w:sz w:val="14"/>
                <w:szCs w:val="14"/>
              </w:rPr>
              <w:t>Screening Questions-S2. Do the collected data allow to address the research questions?</w:t>
            </w:r>
          </w:p>
        </w:tc>
        <w:tc>
          <w:tcPr>
            <w:tcW w:w="1350" w:type="dxa"/>
            <w:tcBorders>
              <w:top w:val="single" w:sz="6" w:space="0" w:color="969696"/>
              <w:left w:val="single" w:sz="6" w:space="0" w:color="969696"/>
              <w:bottom w:val="single" w:sz="6" w:space="0" w:color="969696"/>
              <w:right w:val="single" w:sz="6" w:space="0" w:color="969696"/>
            </w:tcBorders>
            <w:shd w:val="clear" w:color="auto" w:fill="CCCCCC"/>
            <w:tcMar>
              <w:top w:w="40" w:type="dxa"/>
              <w:left w:w="40" w:type="dxa"/>
              <w:bottom w:w="40" w:type="dxa"/>
              <w:right w:w="40" w:type="dxa"/>
            </w:tcMar>
          </w:tcPr>
          <w:p w:rsidR="00D34CC9" w:rsidRDefault="00D34CC9" w:rsidP="005964B4">
            <w:pPr>
              <w:widowControl w:val="0"/>
              <w:spacing w:line="240" w:lineRule="auto"/>
              <w:rPr>
                <w:b/>
                <w:sz w:val="14"/>
                <w:szCs w:val="14"/>
              </w:rPr>
            </w:pPr>
            <w:r>
              <w:rPr>
                <w:b/>
                <w:sz w:val="14"/>
                <w:szCs w:val="14"/>
              </w:rPr>
              <w:t>2.1. Is randomization appropriately performed?</w:t>
            </w:r>
          </w:p>
        </w:tc>
        <w:tc>
          <w:tcPr>
            <w:tcW w:w="1530" w:type="dxa"/>
            <w:tcBorders>
              <w:top w:val="single" w:sz="6" w:space="0" w:color="969696"/>
              <w:left w:val="single" w:sz="6" w:space="0" w:color="969696"/>
              <w:bottom w:val="single" w:sz="6" w:space="0" w:color="969696"/>
              <w:right w:val="single" w:sz="6" w:space="0" w:color="969696"/>
            </w:tcBorders>
            <w:shd w:val="clear" w:color="auto" w:fill="CCCCCC"/>
            <w:tcMar>
              <w:top w:w="40" w:type="dxa"/>
              <w:left w:w="40" w:type="dxa"/>
              <w:bottom w:w="40" w:type="dxa"/>
              <w:right w:w="40" w:type="dxa"/>
            </w:tcMar>
          </w:tcPr>
          <w:p w:rsidR="00D34CC9" w:rsidRDefault="00D34CC9" w:rsidP="005964B4">
            <w:pPr>
              <w:widowControl w:val="0"/>
              <w:spacing w:line="240" w:lineRule="auto"/>
              <w:rPr>
                <w:b/>
                <w:sz w:val="14"/>
                <w:szCs w:val="14"/>
              </w:rPr>
            </w:pPr>
            <w:r>
              <w:rPr>
                <w:b/>
                <w:sz w:val="14"/>
                <w:szCs w:val="14"/>
              </w:rPr>
              <w:t>2.2. Are the groups comparable at baseline?</w:t>
            </w:r>
          </w:p>
        </w:tc>
        <w:tc>
          <w:tcPr>
            <w:tcW w:w="1350" w:type="dxa"/>
            <w:tcBorders>
              <w:top w:val="single" w:sz="6" w:space="0" w:color="969696"/>
              <w:left w:val="single" w:sz="6" w:space="0" w:color="969696"/>
              <w:bottom w:val="single" w:sz="6" w:space="0" w:color="969696"/>
              <w:right w:val="single" w:sz="6" w:space="0" w:color="969696"/>
            </w:tcBorders>
            <w:shd w:val="clear" w:color="auto" w:fill="CCCCCC"/>
            <w:tcMar>
              <w:top w:w="40" w:type="dxa"/>
              <w:left w:w="40" w:type="dxa"/>
              <w:bottom w:w="40" w:type="dxa"/>
              <w:right w:w="40" w:type="dxa"/>
            </w:tcMar>
          </w:tcPr>
          <w:p w:rsidR="00D34CC9" w:rsidRDefault="00D34CC9" w:rsidP="005964B4">
            <w:pPr>
              <w:widowControl w:val="0"/>
              <w:spacing w:line="240" w:lineRule="auto"/>
              <w:rPr>
                <w:b/>
                <w:sz w:val="14"/>
                <w:szCs w:val="14"/>
              </w:rPr>
            </w:pPr>
            <w:r>
              <w:rPr>
                <w:b/>
                <w:sz w:val="14"/>
                <w:szCs w:val="14"/>
              </w:rPr>
              <w:t>2.3. Are there complete outcome data?</w:t>
            </w:r>
          </w:p>
        </w:tc>
        <w:tc>
          <w:tcPr>
            <w:tcW w:w="1350" w:type="dxa"/>
            <w:tcBorders>
              <w:top w:val="single" w:sz="6" w:space="0" w:color="969696"/>
              <w:left w:val="single" w:sz="6" w:space="0" w:color="969696"/>
              <w:bottom w:val="single" w:sz="6" w:space="0" w:color="969696"/>
              <w:right w:val="single" w:sz="6" w:space="0" w:color="969696"/>
            </w:tcBorders>
            <w:shd w:val="clear" w:color="auto" w:fill="CCCCCC"/>
            <w:tcMar>
              <w:top w:w="40" w:type="dxa"/>
              <w:left w:w="40" w:type="dxa"/>
              <w:bottom w:w="40" w:type="dxa"/>
              <w:right w:w="40" w:type="dxa"/>
            </w:tcMar>
          </w:tcPr>
          <w:p w:rsidR="00D34CC9" w:rsidRDefault="00D34CC9" w:rsidP="005964B4">
            <w:pPr>
              <w:widowControl w:val="0"/>
              <w:spacing w:line="240" w:lineRule="auto"/>
              <w:rPr>
                <w:b/>
                <w:sz w:val="14"/>
                <w:szCs w:val="14"/>
              </w:rPr>
            </w:pPr>
            <w:r>
              <w:rPr>
                <w:b/>
                <w:sz w:val="14"/>
                <w:szCs w:val="14"/>
              </w:rPr>
              <w:t>2.4. Are outcome assessors blinded to the intervention provided?</w:t>
            </w:r>
          </w:p>
        </w:tc>
        <w:tc>
          <w:tcPr>
            <w:tcW w:w="1260" w:type="dxa"/>
            <w:tcBorders>
              <w:top w:val="single" w:sz="6" w:space="0" w:color="969696"/>
              <w:left w:val="single" w:sz="6" w:space="0" w:color="969696"/>
              <w:bottom w:val="single" w:sz="6" w:space="0" w:color="969696"/>
              <w:right w:val="single" w:sz="6" w:space="0" w:color="969696"/>
            </w:tcBorders>
            <w:shd w:val="clear" w:color="auto" w:fill="CCCCCC"/>
            <w:tcMar>
              <w:top w:w="40" w:type="dxa"/>
              <w:left w:w="40" w:type="dxa"/>
              <w:bottom w:w="40" w:type="dxa"/>
              <w:right w:w="40" w:type="dxa"/>
            </w:tcMar>
          </w:tcPr>
          <w:p w:rsidR="00D34CC9" w:rsidRDefault="00D34CC9" w:rsidP="005964B4">
            <w:pPr>
              <w:widowControl w:val="0"/>
              <w:spacing w:line="240" w:lineRule="auto"/>
              <w:rPr>
                <w:b/>
                <w:sz w:val="14"/>
                <w:szCs w:val="14"/>
              </w:rPr>
            </w:pPr>
            <w:r>
              <w:rPr>
                <w:b/>
                <w:sz w:val="14"/>
                <w:szCs w:val="14"/>
              </w:rPr>
              <w:t>2.5 Did the participants adhere to the assigned intervention?</w:t>
            </w:r>
          </w:p>
        </w:tc>
        <w:tc>
          <w:tcPr>
            <w:tcW w:w="2970" w:type="dxa"/>
            <w:shd w:val="clear" w:color="auto" w:fill="CCCCCC"/>
            <w:tcMar>
              <w:top w:w="100" w:type="dxa"/>
              <w:left w:w="100" w:type="dxa"/>
              <w:bottom w:w="100" w:type="dxa"/>
              <w:right w:w="100" w:type="dxa"/>
            </w:tcMar>
          </w:tcPr>
          <w:p w:rsidR="00D34CC9" w:rsidRDefault="00D34CC9" w:rsidP="005964B4">
            <w:pPr>
              <w:widowControl w:val="0"/>
              <w:spacing w:line="240" w:lineRule="auto"/>
              <w:rPr>
                <w:b/>
                <w:sz w:val="14"/>
                <w:szCs w:val="14"/>
              </w:rPr>
            </w:pPr>
            <w:r>
              <w:rPr>
                <w:b/>
                <w:sz w:val="14"/>
                <w:szCs w:val="14"/>
              </w:rPr>
              <w:t>Comments</w:t>
            </w:r>
          </w:p>
        </w:tc>
      </w:tr>
      <w:tr w:rsidR="00D34CC9" w:rsidTr="005964B4">
        <w:trPr>
          <w:trHeight w:val="233"/>
        </w:trPr>
        <w:tc>
          <w:tcPr>
            <w:tcW w:w="13130" w:type="dxa"/>
            <w:gridSpan w:val="9"/>
            <w:tcBorders>
              <w:top w:val="single" w:sz="6" w:space="0" w:color="969696"/>
              <w:left w:val="single" w:sz="6" w:space="0" w:color="969696"/>
              <w:bottom w:val="single" w:sz="6" w:space="0" w:color="969696"/>
              <w:right w:val="single" w:sz="6" w:space="0" w:color="969696"/>
            </w:tcBorders>
            <w:shd w:val="clear" w:color="auto" w:fill="F3F3F3"/>
            <w:tcMar>
              <w:top w:w="40" w:type="dxa"/>
              <w:left w:w="40" w:type="dxa"/>
              <w:bottom w:w="40" w:type="dxa"/>
              <w:right w:w="40" w:type="dxa"/>
            </w:tcMar>
          </w:tcPr>
          <w:p w:rsidR="00D34CC9" w:rsidRDefault="00D34CC9" w:rsidP="005964B4">
            <w:pPr>
              <w:rPr>
                <w:b/>
                <w:sz w:val="16"/>
                <w:szCs w:val="16"/>
              </w:rPr>
            </w:pPr>
            <w:r>
              <w:rPr>
                <w:b/>
                <w:sz w:val="16"/>
                <w:szCs w:val="16"/>
              </w:rPr>
              <w:t>COVID-19 Vaccine</w:t>
            </w:r>
          </w:p>
        </w:tc>
      </w:tr>
      <w:tr w:rsidR="00D34CC9" w:rsidTr="005964B4">
        <w:trPr>
          <w:trHeight w:val="369"/>
        </w:trPr>
        <w:tc>
          <w:tcPr>
            <w:tcW w:w="800" w:type="dxa"/>
            <w:tcBorders>
              <w:top w:val="single" w:sz="6" w:space="0" w:color="969696"/>
              <w:left w:val="single" w:sz="6" w:space="0" w:color="969696"/>
              <w:bottom w:val="single" w:sz="6" w:space="0" w:color="969696"/>
            </w:tcBorders>
            <w:shd w:val="clear" w:color="auto" w:fill="FFFFFF" w:themeFill="background1"/>
            <w:tcMar>
              <w:top w:w="40" w:type="dxa"/>
              <w:left w:w="40" w:type="dxa"/>
              <w:bottom w:w="40" w:type="dxa"/>
              <w:right w:w="40" w:type="dxa"/>
            </w:tcMar>
          </w:tcPr>
          <w:p w:rsidR="00D34CC9" w:rsidRDefault="00D34CC9" w:rsidP="005964B4">
            <w:pPr>
              <w:widowControl w:val="0"/>
              <w:rPr>
                <w:i/>
                <w:sz w:val="14"/>
                <w:szCs w:val="14"/>
              </w:rPr>
            </w:pPr>
            <w:proofErr w:type="spellStart"/>
            <w:r>
              <w:rPr>
                <w:i/>
                <w:sz w:val="14"/>
                <w:szCs w:val="14"/>
              </w:rPr>
              <w:t>Tjaden</w:t>
            </w:r>
            <w:proofErr w:type="spellEnd"/>
            <w:r>
              <w:rPr>
                <w:i/>
                <w:sz w:val="14"/>
                <w:szCs w:val="14"/>
              </w:rPr>
              <w:t xml:space="preserve">, </w:t>
            </w:r>
            <w:proofErr w:type="spellStart"/>
            <w:r>
              <w:rPr>
                <w:i/>
                <w:sz w:val="14"/>
                <w:szCs w:val="14"/>
              </w:rPr>
              <w:t>Haarmann</w:t>
            </w:r>
            <w:proofErr w:type="spellEnd"/>
            <w:r>
              <w:rPr>
                <w:i/>
                <w:sz w:val="14"/>
                <w:szCs w:val="14"/>
              </w:rPr>
              <w:t xml:space="preserve">, &amp; </w:t>
            </w:r>
            <w:proofErr w:type="spellStart"/>
            <w:r>
              <w:rPr>
                <w:i/>
                <w:sz w:val="14"/>
                <w:szCs w:val="14"/>
              </w:rPr>
              <w:t>Savaskan</w:t>
            </w:r>
            <w:proofErr w:type="spellEnd"/>
            <w:r>
              <w:rPr>
                <w:i/>
                <w:sz w:val="14"/>
                <w:szCs w:val="14"/>
              </w:rPr>
              <w:t xml:space="preserve">, 2022 </w:t>
            </w:r>
            <w:r>
              <w:rPr>
                <w:i/>
                <w:sz w:val="14"/>
                <w:szCs w:val="14"/>
              </w:rPr>
              <w:fldChar w:fldCharType="begin"/>
            </w:r>
            <w:r>
              <w:rPr>
                <w:i/>
                <w:sz w:val="14"/>
                <w:szCs w:val="14"/>
              </w:rPr>
              <w:instrText xml:space="preserve"> ADDIN ZOTERO_ITEM CSL_CITATION {"citationID":"kLXAgswh","properties":{"formattedCitation":"(35)","plainCitation":"(35)","noteIndex":0},"citationItems":[{"id":314,"uris":["http://zotero.org/groups/4911489/items/B9878TDR"],"itemData":{"id":314,"type":"article-journal","abstract":"Studies from several countries suggest that COVID-19 vaccination rates are lower among migrants compared to the general population. Urgent calls have been made to improve vaccine outreach to migrants, however, there is limited evidence on effective approaches, especially using social media. We assessed a targeted, low-cost, Facebook campaign disseminating COVID-19 vaccine information among Arabic, Turkish and Russian speakers in Germany (N = 888,994). As part of the campaign, we conducted two randomized, online experiments to assess the impact of the advertisement (1) language and (2) depicted messenger (government authority, religious leader, doctor or family). Key outcomes included reach, click-through rates, conversion rates and cost-effectiveness. Within 29 days, the campaign reached 890 thousand Facebook users. On average, 2.3 individuals accessed the advertised COVID-19 vaccination appointment tool for every euro spent on the campaign. Migrants were 2.4 (Arabic), 1.8 (Russian) and 1.2 (Turkish) times more likely to click on advertisements translated to their native language compared to German-language advertisements. Furthermore, findings showed that government representatives can be more successful in engaging migrants online compared to other messengers, despite common claims of lower trust in government institutions among migrants. This study highlights the potential of tailored, and translated, vaccination campaigns on social media for reaching migrants who may be left out by traditional media campaigns.","container-title":"Scientific Reports","DOI":"10.1038/s41598-022-20340-2","ISSN":"2045-2322","issue":"1","journalAbbreviation":"Sci Rep","language":"en","license":"2022 The Author(s)","note":"number: 1\npublisher: Nature Publishing Group","page":"16256","source":"www.nature.com","title":"Experimental evidence on improving COVID-19 vaccine outreach among migrant communities on social media","volume":"12","author":[{"family":"Tjaden","given":"Jasper"},{"family":"Haarmann","given":"Esther"},{"family":"Savaskan","given":"Nicolai"}],"issued":{"date-parts":[["2022",9,28]]}}}],"schema":"https://github.com/citation-style-language/schema/raw/master/csl-citation.json"} </w:instrText>
            </w:r>
            <w:r>
              <w:rPr>
                <w:i/>
                <w:sz w:val="14"/>
                <w:szCs w:val="14"/>
              </w:rPr>
              <w:fldChar w:fldCharType="separate"/>
            </w:r>
            <w:r w:rsidRPr="0086135B">
              <w:rPr>
                <w:sz w:val="14"/>
              </w:rPr>
              <w:t>(35)</w:t>
            </w:r>
            <w:r>
              <w:rPr>
                <w:i/>
                <w:sz w:val="14"/>
                <w:szCs w:val="14"/>
              </w:rPr>
              <w:fldChar w:fldCharType="end"/>
            </w:r>
          </w:p>
        </w:tc>
        <w:tc>
          <w:tcPr>
            <w:tcW w:w="1170" w:type="dxa"/>
            <w:tcBorders>
              <w:top w:val="single" w:sz="6" w:space="0" w:color="969696"/>
              <w:left w:val="single" w:sz="6" w:space="0" w:color="969696"/>
              <w:bottom w:val="single" w:sz="6" w:space="0" w:color="969696"/>
            </w:tcBorders>
            <w:shd w:val="clear" w:color="auto" w:fill="FFFFFF" w:themeFill="background1"/>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tcBorders>
            <w:shd w:val="clear" w:color="auto" w:fill="FFFFFF" w:themeFill="background1"/>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tcBorders>
            <w:shd w:val="clear" w:color="auto" w:fill="FFFFFF" w:themeFill="background1"/>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530" w:type="dxa"/>
            <w:tcBorders>
              <w:top w:val="single" w:sz="6" w:space="0" w:color="969696"/>
              <w:left w:val="single" w:sz="6" w:space="0" w:color="969696"/>
              <w:bottom w:val="single" w:sz="6" w:space="0" w:color="969696"/>
            </w:tcBorders>
            <w:shd w:val="clear" w:color="auto" w:fill="FFFFFF" w:themeFill="background1"/>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tcBorders>
            <w:shd w:val="clear" w:color="auto" w:fill="FFFFFF" w:themeFill="background1"/>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tcBorders>
            <w:shd w:val="clear" w:color="auto" w:fill="FFFFFF" w:themeFill="background1"/>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260" w:type="dxa"/>
            <w:tcBorders>
              <w:top w:val="single" w:sz="6" w:space="0" w:color="969696"/>
              <w:left w:val="single" w:sz="6" w:space="0" w:color="969696"/>
              <w:bottom w:val="single" w:sz="6" w:space="0" w:color="969696"/>
            </w:tcBorders>
            <w:shd w:val="clear" w:color="auto" w:fill="FFFFFF" w:themeFill="background1"/>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2970" w:type="dxa"/>
            <w:shd w:val="clear" w:color="auto" w:fill="FFFFFF" w:themeFill="background1"/>
            <w:tcMar>
              <w:top w:w="100" w:type="dxa"/>
              <w:left w:w="100" w:type="dxa"/>
              <w:bottom w:w="100" w:type="dxa"/>
              <w:right w:w="100" w:type="dxa"/>
            </w:tcMar>
          </w:tcPr>
          <w:p w:rsidR="00D34CC9" w:rsidRDefault="00D34CC9" w:rsidP="005964B4">
            <w:pPr>
              <w:widowControl w:val="0"/>
              <w:rPr>
                <w:i/>
                <w:sz w:val="14"/>
                <w:szCs w:val="14"/>
              </w:rPr>
            </w:pPr>
            <w:r>
              <w:rPr>
                <w:i/>
                <w:sz w:val="14"/>
                <w:szCs w:val="14"/>
              </w:rPr>
              <w:t xml:space="preserve">Methods reliant upon automatic online social media platform tools without much information provided to the methodology used by the platform. </w:t>
            </w:r>
          </w:p>
        </w:tc>
      </w:tr>
      <w:tr w:rsidR="00D34CC9" w:rsidTr="005964B4">
        <w:trPr>
          <w:trHeight w:val="269"/>
        </w:trPr>
        <w:tc>
          <w:tcPr>
            <w:tcW w:w="13130" w:type="dxa"/>
            <w:gridSpan w:val="9"/>
            <w:tcBorders>
              <w:top w:val="single" w:sz="6" w:space="0" w:color="969696"/>
              <w:left w:val="single" w:sz="6" w:space="0" w:color="969696"/>
              <w:bottom w:val="single" w:sz="6" w:space="0" w:color="969696"/>
              <w:right w:val="single" w:sz="6" w:space="0" w:color="969696"/>
            </w:tcBorders>
            <w:shd w:val="clear" w:color="auto" w:fill="F3F3F3"/>
            <w:tcMar>
              <w:top w:w="40" w:type="dxa"/>
              <w:left w:w="40" w:type="dxa"/>
              <w:bottom w:w="40" w:type="dxa"/>
              <w:right w:w="40" w:type="dxa"/>
            </w:tcMar>
          </w:tcPr>
          <w:p w:rsidR="00D34CC9" w:rsidRDefault="00D34CC9" w:rsidP="005964B4">
            <w:pPr>
              <w:rPr>
                <w:b/>
                <w:sz w:val="16"/>
                <w:szCs w:val="16"/>
              </w:rPr>
            </w:pPr>
            <w:r>
              <w:rPr>
                <w:b/>
                <w:sz w:val="16"/>
                <w:szCs w:val="16"/>
              </w:rPr>
              <w:t>Other vaccines</w:t>
            </w:r>
          </w:p>
        </w:tc>
      </w:tr>
      <w:tr w:rsidR="00D34CC9" w:rsidTr="005964B4">
        <w:trPr>
          <w:trHeight w:val="369"/>
        </w:trPr>
        <w:tc>
          <w:tcPr>
            <w:tcW w:w="80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 xml:space="preserve">McPhee et al., 2003 </w:t>
            </w:r>
            <w:r>
              <w:rPr>
                <w:i/>
                <w:sz w:val="14"/>
                <w:szCs w:val="14"/>
              </w:rPr>
              <w:fldChar w:fldCharType="begin"/>
            </w:r>
            <w:r>
              <w:rPr>
                <w:i/>
                <w:sz w:val="14"/>
                <w:szCs w:val="14"/>
              </w:rPr>
              <w:instrText xml:space="preserve"> ADDIN ZOTERO_ITEM CSL_CITATION {"citationID":"5fWggNPJ","properties":{"formattedCitation":"(49)","plainCitation":"(49)","noteIndex":0},"citationItems":[{"id":288,"uris":["http://zotero.org/groups/4911489/items/7EYHGN59"],"itemData":{"id":288,"type":"article-journal","abstract":"OBJECTIVE: Chronic infection with the hepatitis B virus is endemic in Southeast Asian populations, including Vietnamese. Previous research has documented low rates of hepatitis B vaccine coverage among Vietnamese-American children and adolescents ages 3 to 18. To address this problem, we designed and tested in a controlled trial 2 public health outreach \"catch-up\" campaigns for this population.\nDESIGN: In the Houston, Texas metropolitan area, we mounted a media-led information and education campaign, and in the Dallas metropolitan area, we organized a community mobilization strategy. We evaluated the success of these interventions in a controlled trial, using the Washington, DC metropolitan area as a control site. To do so, we conducted computer-assisted telephone interviews with random samples of approximately 500 Vietnamese-American households in each of the 3 study sites both before and after the interventions. We assessed respondents' awareness and knowledge of hepatitis B and asked for hepatitis B vaccination dates for a randomly selected child in each household. When possible, we validated vaccination dates through direct contact with each child's providers.\nRESULTS: Awareness of hepatitis B increased significantly between the pre- and postintervention surveys in all 3 areas, and the increase in the media education area (+21.5 percentage points) was significantly larger than in the control area (+9.0 percentage points). At postintervention, significantly more parents knew that free vaccines were available for children in the media education (+31.9 percentage points) and community mobilization (+16.7 percentage points) areas than in the control area (+4.7 percentage points). An increase in knowledge of sexual transmission of hepatitis B virus was significant in the media education area (+14.0 percentage points) and community mobilization (+13.6 percentage points) areas compared with the control area (+5.2 percentage points). Parent- or provider-reported data (n = 783 for pre- and n = 784 for postintervention surveys) suggest that receipt of 3 hepatitis B vaccinations increased significantly in the community mobilization area (from 26.6% at pre- to 38.8% at postintervention) and in the media intervention area (28.5% at pre- and 39.4% at postintervention), but declined slightly in the control community (37.8% at pre- and 33.5% at postintervention). Multiple logistic regression analyses estimated that the odds of receiving 3 hepatitis B vaccine doses were significantly greater for both community mobilization (odds ratio 2.15, 95% confidence interval 1.16-3.97) and media campaign (odds ratio 3.02, 95% confidence interval 1.62-5.64) interventions compared with the control area. The odds of being vaccinated were significantly greater for children who had had at least 1 diphtheria-tetanus-pertussis shot, and whose parents were married, knew someone with liver disease, had heard of hepatitis B, and had greater knowledge about hepatitis B. The odds of being vaccinated were significantly lower for older children.\nCONCLUSIONS: Both community mobilization and media campaigns significantly increased the knowledge of Vietnamese-American parents about hepatitis B vaccination, and the receipt of \"catch-up\" vaccinations among their children.","container-title":"Pediatrics","DOI":"10.1542/peds.111.6.1278","ISSN":"1098-4275","issue":"6 Pt 1","journalAbbreviation":"Pediatrics","language":"eng","note":"PMID: 12777542\nPMCID: PMC1592334","page":"1278-1288","source":"PubMed","title":"Successful promotion of hepatitis B vaccinations among Vietnamese-American children ages 3 to 18: results of a controlled trial","title-short":"Successful promotion of hepatitis B vaccinations among Vietnamese-American children ages 3 to 18","volume":"111","author":[{"family":"McPhee","given":"Stephen J."},{"family":"Nguyen","given":"Thoa"},{"family":"Euler","given":"Gary L."},{"family":"Mock","given":"Jeremiah"},{"family":"Wong","given":"Ching"},{"family":"Lam","given":"Tram"},{"family":"Nguyen","given":"Walter"},{"family":"Nguyen","given":"Sang"},{"family":"Huynh Ha","given":"Martin Quach"},{"family":"Do","given":"Son T."},{"family":"Buu","given":"Chau"}],"issued":{"date-parts":[["2003",6]]}}}],"schema":"https://github.com/citation-style-language/schema/raw/master/csl-citation.json"} </w:instrText>
            </w:r>
            <w:r>
              <w:rPr>
                <w:i/>
                <w:sz w:val="14"/>
                <w:szCs w:val="14"/>
              </w:rPr>
              <w:fldChar w:fldCharType="separate"/>
            </w:r>
            <w:r w:rsidRPr="0086135B">
              <w:rPr>
                <w:sz w:val="14"/>
              </w:rPr>
              <w:t>(49)</w:t>
            </w:r>
            <w:r>
              <w:rPr>
                <w:i/>
                <w:sz w:val="14"/>
                <w:szCs w:val="14"/>
              </w:rPr>
              <w:fldChar w:fldCharType="end"/>
            </w:r>
          </w:p>
        </w:tc>
        <w:tc>
          <w:tcPr>
            <w:tcW w:w="11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53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No</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26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2970" w:type="dxa"/>
            <w:shd w:val="clear" w:color="auto" w:fill="auto"/>
            <w:tcMar>
              <w:top w:w="100" w:type="dxa"/>
              <w:left w:w="100" w:type="dxa"/>
              <w:bottom w:w="100" w:type="dxa"/>
              <w:right w:w="100" w:type="dxa"/>
            </w:tcMar>
          </w:tcPr>
          <w:p w:rsidR="00D34CC9" w:rsidRDefault="00D34CC9" w:rsidP="005964B4">
            <w:pPr>
              <w:widowControl w:val="0"/>
              <w:rPr>
                <w:i/>
                <w:sz w:val="14"/>
                <w:szCs w:val="14"/>
              </w:rPr>
            </w:pPr>
            <w:r>
              <w:rPr>
                <w:i/>
                <w:sz w:val="14"/>
                <w:szCs w:val="14"/>
              </w:rPr>
              <w:t>Not all vaccination records available</w:t>
            </w:r>
          </w:p>
        </w:tc>
      </w:tr>
      <w:tr w:rsidR="00D34CC9" w:rsidTr="005964B4">
        <w:trPr>
          <w:trHeight w:val="369"/>
        </w:trPr>
        <w:tc>
          <w:tcPr>
            <w:tcW w:w="13130" w:type="dxa"/>
            <w:gridSpan w:val="9"/>
            <w:shd w:val="clear" w:color="auto" w:fill="F3F3F3"/>
            <w:tcMar>
              <w:top w:w="100" w:type="dxa"/>
              <w:left w:w="100" w:type="dxa"/>
              <w:bottom w:w="100" w:type="dxa"/>
              <w:right w:w="100" w:type="dxa"/>
            </w:tcMar>
          </w:tcPr>
          <w:p w:rsidR="00D34CC9" w:rsidRDefault="00D34CC9" w:rsidP="005964B4">
            <w:pPr>
              <w:jc w:val="center"/>
              <w:rPr>
                <w:b/>
                <w:sz w:val="16"/>
                <w:szCs w:val="16"/>
              </w:rPr>
            </w:pPr>
            <w:r>
              <w:rPr>
                <w:b/>
                <w:sz w:val="16"/>
                <w:szCs w:val="16"/>
              </w:rPr>
              <w:t>Non-Randomized Studies</w:t>
            </w:r>
          </w:p>
        </w:tc>
      </w:tr>
      <w:tr w:rsidR="00D34CC9" w:rsidTr="005964B4">
        <w:trPr>
          <w:trHeight w:val="2286"/>
        </w:trPr>
        <w:tc>
          <w:tcPr>
            <w:tcW w:w="800" w:type="dxa"/>
            <w:shd w:val="clear" w:color="auto" w:fill="CCCCCC"/>
            <w:tcMar>
              <w:top w:w="100" w:type="dxa"/>
              <w:left w:w="100" w:type="dxa"/>
              <w:bottom w:w="100" w:type="dxa"/>
              <w:right w:w="100" w:type="dxa"/>
            </w:tcMar>
          </w:tcPr>
          <w:p w:rsidR="00D34CC9" w:rsidRDefault="00D34CC9" w:rsidP="005964B4">
            <w:pPr>
              <w:widowControl w:val="0"/>
              <w:spacing w:line="240" w:lineRule="auto"/>
              <w:rPr>
                <w:b/>
                <w:sz w:val="14"/>
                <w:szCs w:val="14"/>
              </w:rPr>
            </w:pPr>
            <w:r>
              <w:rPr>
                <w:b/>
                <w:sz w:val="14"/>
                <w:szCs w:val="14"/>
              </w:rPr>
              <w:lastRenderedPageBreak/>
              <w:t>Study</w:t>
            </w:r>
          </w:p>
        </w:tc>
        <w:tc>
          <w:tcPr>
            <w:tcW w:w="1170" w:type="dxa"/>
            <w:shd w:val="clear" w:color="auto" w:fill="CCCCCC"/>
            <w:tcMar>
              <w:top w:w="100" w:type="dxa"/>
              <w:left w:w="100" w:type="dxa"/>
              <w:bottom w:w="100" w:type="dxa"/>
              <w:right w:w="100" w:type="dxa"/>
            </w:tcMar>
          </w:tcPr>
          <w:p w:rsidR="00D34CC9" w:rsidRDefault="00D34CC9" w:rsidP="005964B4">
            <w:pPr>
              <w:widowControl w:val="0"/>
              <w:spacing w:line="240" w:lineRule="auto"/>
              <w:rPr>
                <w:b/>
                <w:sz w:val="14"/>
                <w:szCs w:val="14"/>
              </w:rPr>
            </w:pPr>
            <w:r>
              <w:rPr>
                <w:b/>
                <w:sz w:val="14"/>
                <w:szCs w:val="14"/>
              </w:rPr>
              <w:t xml:space="preserve">Screening Question-S1. Are there clear research questions? </w:t>
            </w:r>
          </w:p>
        </w:tc>
        <w:tc>
          <w:tcPr>
            <w:tcW w:w="1350" w:type="dxa"/>
            <w:shd w:val="clear" w:color="auto" w:fill="CCCCCC"/>
            <w:tcMar>
              <w:top w:w="100" w:type="dxa"/>
              <w:left w:w="100" w:type="dxa"/>
              <w:bottom w:w="100" w:type="dxa"/>
              <w:right w:w="100" w:type="dxa"/>
            </w:tcMar>
          </w:tcPr>
          <w:p w:rsidR="00D34CC9" w:rsidRDefault="00D34CC9" w:rsidP="005964B4">
            <w:pPr>
              <w:widowControl w:val="0"/>
              <w:spacing w:line="240" w:lineRule="auto"/>
              <w:rPr>
                <w:b/>
                <w:sz w:val="14"/>
                <w:szCs w:val="14"/>
              </w:rPr>
            </w:pPr>
            <w:r>
              <w:rPr>
                <w:b/>
                <w:sz w:val="14"/>
                <w:szCs w:val="14"/>
              </w:rPr>
              <w:t xml:space="preserve">Screening Question-S2. Do the collected data allow to address the research questions? </w:t>
            </w:r>
          </w:p>
        </w:tc>
        <w:tc>
          <w:tcPr>
            <w:tcW w:w="1350" w:type="dxa"/>
            <w:shd w:val="clear" w:color="auto" w:fill="CCCCCC"/>
            <w:tcMar>
              <w:top w:w="100" w:type="dxa"/>
              <w:left w:w="100" w:type="dxa"/>
              <w:bottom w:w="100" w:type="dxa"/>
              <w:right w:w="100" w:type="dxa"/>
            </w:tcMar>
          </w:tcPr>
          <w:p w:rsidR="00D34CC9" w:rsidRDefault="00D34CC9" w:rsidP="005964B4">
            <w:pPr>
              <w:widowControl w:val="0"/>
              <w:spacing w:line="240" w:lineRule="auto"/>
              <w:rPr>
                <w:b/>
                <w:sz w:val="14"/>
                <w:szCs w:val="14"/>
              </w:rPr>
            </w:pPr>
            <w:r>
              <w:rPr>
                <w:b/>
                <w:sz w:val="14"/>
                <w:szCs w:val="14"/>
              </w:rPr>
              <w:t>3.1. Are the participants representative of the target population?</w:t>
            </w:r>
          </w:p>
        </w:tc>
        <w:tc>
          <w:tcPr>
            <w:tcW w:w="1530" w:type="dxa"/>
            <w:shd w:val="clear" w:color="auto" w:fill="CCCCCC"/>
            <w:tcMar>
              <w:top w:w="100" w:type="dxa"/>
              <w:left w:w="100" w:type="dxa"/>
              <w:bottom w:w="100" w:type="dxa"/>
              <w:right w:w="100" w:type="dxa"/>
            </w:tcMar>
          </w:tcPr>
          <w:p w:rsidR="00D34CC9" w:rsidRDefault="00D34CC9" w:rsidP="005964B4">
            <w:pPr>
              <w:widowControl w:val="0"/>
              <w:spacing w:line="240" w:lineRule="auto"/>
              <w:rPr>
                <w:b/>
                <w:sz w:val="14"/>
                <w:szCs w:val="14"/>
              </w:rPr>
            </w:pPr>
            <w:r>
              <w:rPr>
                <w:b/>
                <w:sz w:val="14"/>
                <w:szCs w:val="14"/>
              </w:rPr>
              <w:t>3.2. Are measurements appropriate regarding both the outcome and intervention (or exposure)?</w:t>
            </w:r>
          </w:p>
        </w:tc>
        <w:tc>
          <w:tcPr>
            <w:tcW w:w="1350" w:type="dxa"/>
            <w:shd w:val="clear" w:color="auto" w:fill="CCCCCC"/>
            <w:tcMar>
              <w:top w:w="100" w:type="dxa"/>
              <w:left w:w="100" w:type="dxa"/>
              <w:bottom w:w="100" w:type="dxa"/>
              <w:right w:w="100" w:type="dxa"/>
            </w:tcMar>
          </w:tcPr>
          <w:p w:rsidR="00D34CC9" w:rsidRDefault="00D34CC9" w:rsidP="005964B4">
            <w:pPr>
              <w:widowControl w:val="0"/>
              <w:spacing w:line="240" w:lineRule="auto"/>
              <w:rPr>
                <w:b/>
                <w:sz w:val="14"/>
                <w:szCs w:val="14"/>
              </w:rPr>
            </w:pPr>
            <w:r>
              <w:rPr>
                <w:b/>
                <w:sz w:val="14"/>
                <w:szCs w:val="14"/>
              </w:rPr>
              <w:t>3.3. Are there complete outcome data?</w:t>
            </w:r>
          </w:p>
        </w:tc>
        <w:tc>
          <w:tcPr>
            <w:tcW w:w="1350" w:type="dxa"/>
            <w:shd w:val="clear" w:color="auto" w:fill="CCCCCC"/>
            <w:tcMar>
              <w:top w:w="100" w:type="dxa"/>
              <w:left w:w="100" w:type="dxa"/>
              <w:bottom w:w="100" w:type="dxa"/>
              <w:right w:w="100" w:type="dxa"/>
            </w:tcMar>
          </w:tcPr>
          <w:p w:rsidR="00D34CC9" w:rsidRDefault="00D34CC9" w:rsidP="005964B4">
            <w:pPr>
              <w:widowControl w:val="0"/>
              <w:spacing w:line="240" w:lineRule="auto"/>
              <w:rPr>
                <w:b/>
                <w:sz w:val="14"/>
                <w:szCs w:val="14"/>
              </w:rPr>
            </w:pPr>
            <w:r>
              <w:rPr>
                <w:b/>
                <w:sz w:val="14"/>
                <w:szCs w:val="14"/>
              </w:rPr>
              <w:t>3.4. Are the confounders accounted for in the design and analysis?</w:t>
            </w:r>
          </w:p>
        </w:tc>
        <w:tc>
          <w:tcPr>
            <w:tcW w:w="1260" w:type="dxa"/>
            <w:shd w:val="clear" w:color="auto" w:fill="CCCCCC"/>
            <w:tcMar>
              <w:top w:w="100" w:type="dxa"/>
              <w:left w:w="100" w:type="dxa"/>
              <w:bottom w:w="100" w:type="dxa"/>
              <w:right w:w="100" w:type="dxa"/>
            </w:tcMar>
          </w:tcPr>
          <w:p w:rsidR="00D34CC9" w:rsidRDefault="00D34CC9" w:rsidP="005964B4">
            <w:pPr>
              <w:widowControl w:val="0"/>
              <w:spacing w:line="240" w:lineRule="auto"/>
              <w:rPr>
                <w:b/>
                <w:sz w:val="14"/>
                <w:szCs w:val="14"/>
              </w:rPr>
            </w:pPr>
            <w:r>
              <w:rPr>
                <w:b/>
                <w:sz w:val="14"/>
                <w:szCs w:val="14"/>
              </w:rPr>
              <w:t>3.5. During the study period, is the intervention administered (or exposure occurred) as intended?</w:t>
            </w:r>
          </w:p>
        </w:tc>
        <w:tc>
          <w:tcPr>
            <w:tcW w:w="2970" w:type="dxa"/>
            <w:shd w:val="clear" w:color="auto" w:fill="CCCCCC"/>
            <w:tcMar>
              <w:top w:w="100" w:type="dxa"/>
              <w:left w:w="100" w:type="dxa"/>
              <w:bottom w:w="100" w:type="dxa"/>
              <w:right w:w="100" w:type="dxa"/>
            </w:tcMar>
          </w:tcPr>
          <w:p w:rsidR="00D34CC9" w:rsidRDefault="00D34CC9" w:rsidP="005964B4">
            <w:pPr>
              <w:widowControl w:val="0"/>
              <w:spacing w:line="240" w:lineRule="auto"/>
              <w:rPr>
                <w:b/>
                <w:sz w:val="14"/>
                <w:szCs w:val="14"/>
              </w:rPr>
            </w:pPr>
            <w:r>
              <w:rPr>
                <w:b/>
                <w:sz w:val="14"/>
                <w:szCs w:val="14"/>
              </w:rPr>
              <w:t>Comments</w:t>
            </w:r>
          </w:p>
        </w:tc>
      </w:tr>
      <w:tr w:rsidR="00D34CC9" w:rsidTr="005964B4">
        <w:trPr>
          <w:trHeight w:val="278"/>
        </w:trPr>
        <w:tc>
          <w:tcPr>
            <w:tcW w:w="13130" w:type="dxa"/>
            <w:gridSpan w:val="9"/>
            <w:tcBorders>
              <w:top w:val="single" w:sz="6" w:space="0" w:color="969696"/>
              <w:left w:val="single" w:sz="6" w:space="0" w:color="969696"/>
              <w:bottom w:val="single" w:sz="6" w:space="0" w:color="969696"/>
              <w:right w:val="single" w:sz="6" w:space="0" w:color="969696"/>
            </w:tcBorders>
            <w:shd w:val="clear" w:color="auto" w:fill="F3F3F3"/>
            <w:tcMar>
              <w:top w:w="40" w:type="dxa"/>
              <w:left w:w="40" w:type="dxa"/>
              <w:bottom w:w="40" w:type="dxa"/>
              <w:right w:w="40" w:type="dxa"/>
            </w:tcMar>
          </w:tcPr>
          <w:p w:rsidR="00D34CC9" w:rsidRDefault="00D34CC9" w:rsidP="005964B4">
            <w:pPr>
              <w:widowControl w:val="0"/>
              <w:rPr>
                <w:b/>
                <w:sz w:val="16"/>
                <w:szCs w:val="16"/>
              </w:rPr>
            </w:pPr>
            <w:r>
              <w:rPr>
                <w:b/>
                <w:sz w:val="16"/>
                <w:szCs w:val="16"/>
              </w:rPr>
              <w:t>COVID-19 vaccine</w:t>
            </w:r>
          </w:p>
        </w:tc>
      </w:tr>
      <w:tr w:rsidR="00D34CC9" w:rsidTr="005964B4">
        <w:trPr>
          <w:trHeight w:val="988"/>
        </w:trPr>
        <w:tc>
          <w:tcPr>
            <w:tcW w:w="80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proofErr w:type="spellStart"/>
            <w:r>
              <w:rPr>
                <w:i/>
                <w:sz w:val="14"/>
                <w:szCs w:val="14"/>
              </w:rPr>
              <w:t>Alcendor</w:t>
            </w:r>
            <w:proofErr w:type="spellEnd"/>
            <w:r>
              <w:rPr>
                <w:i/>
                <w:sz w:val="14"/>
                <w:szCs w:val="14"/>
              </w:rPr>
              <w:t xml:space="preserve"> et al., 2022 </w:t>
            </w:r>
            <w:r>
              <w:rPr>
                <w:i/>
                <w:sz w:val="14"/>
                <w:szCs w:val="14"/>
              </w:rPr>
              <w:fldChar w:fldCharType="begin"/>
            </w:r>
            <w:r>
              <w:rPr>
                <w:i/>
                <w:sz w:val="14"/>
                <w:szCs w:val="14"/>
              </w:rPr>
              <w:instrText xml:space="preserve"> ADDIN ZOTERO_ITEM CSL_CITATION {"citationID":"w0tF5ygd","properties":{"formattedCitation":"(25)","plainCitation":"(25)","noteIndex":0},"citationItems":[{"id":267,"uris":["http://zotero.org/groups/4911489/items/K2WUQ2DY"],"itemData":{"id":267,"type":"article-journal","abstract":"To end or curtail the COVID-19 pandemic, it is essential to incorporate mobile vaccination programs into the national vaccination strategy. Mobile COVID-19 vaccination programs play an important role in providing comprehensive vaccination from federally qualified institutions to underserved communities facing a higher risk for COVID-19 acquisition. The Meharry Medical College COVID-19 mobile vaccine program (MMC-MVP) has provided lifesaving COVID-19 vaccines, free of charge, to communities throughout Middle Tennessee. Mobile deployment is vital for those forced to travel long distances to get vaccinated and who have limited access to medical providers or vaccine clinics, lack access to public transportation, or may be homebound. The MMC-MVP, established on 13 April 2021, via funding from the Bloomberg Foundation, is sourced with infectious disease experts, nurse practitioners, and community engagement personnel to provide COVID-19 vaccinations and information in a culturally competent manner to diverse communities in Middle Tennessee. To provide broader access to COVID-19 vaccinations and vaccine-related information, the MMC-MVP partnered with the Tennessee Community Engagement Alliance, Vanderbilt University School of Nursing COVID-19 vaccine strike teams, non-academic, community-based organizations, and faith-based organizations. During the September 2021 COVID-19 surge in Tennessee, the MMC-MVP provided nearly 5000 free COVID-19 vaccinations to targeted, underserved communities. The MMC-MVP has provided vaccine equity in communities with the highest risk for acquiring COVID-19 and with greatest need in this pandemic.","container-title":"Vaccines","DOI":"10.3390/vaccines10020211","ISSN":"2076-393X","issue":"2","journalAbbreviation":"Vaccines (Basel)","language":"eng","note":"PMID: 35214670\nPMCID: PMC8878662","page":"211","source":"PubMed","title":"Meharry Medical College Mobile Vaccination Program: Implications for Increasing COVID-19 Vaccine Uptake among Minority Communities in Middle Tennessee","title-short":"Meharry Medical College Mobile Vaccination Program","volume":"10","author":[{"family":"Alcendor","given":"Donald J."},{"family":"Juarez","given":"Paul D."},{"family":"Matthews-Juarez","given":"Patricia"},{"family":"Simon","given":"Sheena"},{"family":"Nash","given":"Catherine"},{"family":"Lewis","given":"Kirollos"},{"family":"Smoot","given":"Duane"}],"issued":{"date-parts":[["2022",1,29]]}}}],"schema":"https://github.com/citation-style-language/schema/raw/master/csl-citation.json"} </w:instrText>
            </w:r>
            <w:r>
              <w:rPr>
                <w:i/>
                <w:sz w:val="14"/>
                <w:szCs w:val="14"/>
              </w:rPr>
              <w:fldChar w:fldCharType="separate"/>
            </w:r>
            <w:r w:rsidRPr="0086135B">
              <w:rPr>
                <w:sz w:val="14"/>
              </w:rPr>
              <w:t>(25)</w:t>
            </w:r>
            <w:r>
              <w:rPr>
                <w:i/>
                <w:sz w:val="14"/>
                <w:szCs w:val="14"/>
              </w:rPr>
              <w:fldChar w:fldCharType="end"/>
            </w:r>
          </w:p>
        </w:tc>
        <w:tc>
          <w:tcPr>
            <w:tcW w:w="11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53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No</w:t>
            </w:r>
          </w:p>
        </w:tc>
        <w:tc>
          <w:tcPr>
            <w:tcW w:w="126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29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highlight w:val="white"/>
              </w:rPr>
              <w:t>Data gathered to address research question lacking as does not address hypothesis regarding impact on spread of COVID-19 and reduction of morbidity and mortality; vaccine coverage provided, but not COVID-19/hospitalization rates to measure impact; target population only determined via zip code based on vaccination rates and SDOHs; methods vague.</w:t>
            </w:r>
          </w:p>
        </w:tc>
      </w:tr>
      <w:tr w:rsidR="00D34CC9" w:rsidTr="005964B4">
        <w:trPr>
          <w:trHeight w:val="480"/>
        </w:trPr>
        <w:tc>
          <w:tcPr>
            <w:tcW w:w="80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 xml:space="preserve">Nair et al., 2022 </w:t>
            </w:r>
            <w:r>
              <w:rPr>
                <w:i/>
                <w:sz w:val="14"/>
                <w:szCs w:val="14"/>
              </w:rPr>
              <w:fldChar w:fldCharType="begin"/>
            </w:r>
            <w:r>
              <w:rPr>
                <w:i/>
                <w:sz w:val="14"/>
                <w:szCs w:val="14"/>
              </w:rPr>
              <w:instrText xml:space="preserve"> ADDIN ZOTERO_ITEM CSL_CITATION {"citationID":"y8Ko7S3e","properties":{"formattedCitation":"(39)","plainCitation":"(39)","noteIndex":0},"citationItems":[{"id":327,"uris":["http://zotero.org/groups/4911489/items/PFRCHIQJ"],"itemData":{"id":327,"type":"article-journal","abstract":"BACKGROUND: Vaccine hesitancy presents a major challenge during the COVID-19 pandemic. It is crucial to address the factors contributing to vaccine hesitancy necessary to control the associated morbidity and mortality. This study aimed to investigate the impact of professional medical guidance on the likelihood of receiving the COVID-19 vaccine in immigrants of USA and Canada.\nMATERIALS AND METHODS: A total of 92 immigrants in the USA and Canada who predominantly spoke Malayalam were recruited using social media platforms. An online survey was administered investigating participants' confidence in receiving the COVID-19 vaccine. Following, a short webinar was conducted by a medical professional explaining the efficacy and safety of the vaccine. A postwebinar survey was immediately given assessing the confidence and likelihood of receiving the vaccine. SPSS was used to generate descriptive statistics and Pearson Chi-square analysis where appropriate.\nRESULTS: Results revealed that participants who attended the webinar reported greater confidence in receiving the COVID-19 vaccine. There was a statistically significant difference between pre- and postwebinar confidence scores for the COVID-19 vaccine, χ2 (12, n = 80) = 43.34, P &lt; 0.01.\nCONCLUSION: Results from the current study demonstrate the successful delivery of professional medical guidance to the general public through online small-group sessions to help address the misconceptions surrounding the COVID-19 vaccine and combat vaccine hesitancy among vulnerable populations. Future studies should focus on interventions addressing vaccine hesitancy in larger and diverse populations and analyze other barriers to vaccination.","container-title":"Journal of Education and Health Promotion","DOI":"10.4103/jehp.jehp_792_21","ISSN":"2277-9531","journalAbbreviation":"J Educ Health Promot","language":"eng","note":"PMID: 35677278\nPMCID: PMC9170208","page":"112","source":"PubMed","title":"COVID-19 vaccine hesitancy and influence of professional medical guidance","volume":"11","author":[{"family":"Nair","given":"Govind"},{"family":"Venkatesan","given":"Kirthika"},{"family":"Nair","given":"Arjun"},{"family":"Firoz","given":"Irene N."},{"family":"Haroon","given":"Nisha Nigil"}],"issued":{"date-parts":[["2022"]]}}}],"schema":"https://github.com/citation-style-language/schema/raw/master/csl-citation.json"} </w:instrText>
            </w:r>
            <w:r>
              <w:rPr>
                <w:i/>
                <w:sz w:val="14"/>
                <w:szCs w:val="14"/>
              </w:rPr>
              <w:fldChar w:fldCharType="separate"/>
            </w:r>
            <w:r w:rsidRPr="0086135B">
              <w:rPr>
                <w:sz w:val="14"/>
              </w:rPr>
              <w:t>(39)</w:t>
            </w:r>
            <w:r>
              <w:rPr>
                <w:i/>
                <w:sz w:val="14"/>
                <w:szCs w:val="14"/>
              </w:rPr>
              <w:fldChar w:fldCharType="end"/>
            </w:r>
          </w:p>
        </w:tc>
        <w:tc>
          <w:tcPr>
            <w:tcW w:w="1170" w:type="dxa"/>
            <w:tcBorders>
              <w:top w:val="single" w:sz="6" w:space="0" w:color="969696"/>
              <w:left w:val="nil"/>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nil"/>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nil"/>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530" w:type="dxa"/>
            <w:tcBorders>
              <w:top w:val="single" w:sz="6" w:space="0" w:color="969696"/>
              <w:left w:val="nil"/>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nil"/>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nil"/>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260" w:type="dxa"/>
            <w:tcBorders>
              <w:top w:val="single" w:sz="6" w:space="0" w:color="969696"/>
              <w:left w:val="nil"/>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2970" w:type="dxa"/>
            <w:tcBorders>
              <w:top w:val="single" w:sz="6" w:space="0" w:color="969696"/>
              <w:left w:val="nil"/>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Recruitment targeted Malayalam language speakers although research question broadly addressed ‘immigrant’ population; demographic information regarding immigration status or ethnicity missing in survey; most respondents who indicated location of residency were from Canada.</w:t>
            </w:r>
          </w:p>
        </w:tc>
      </w:tr>
      <w:tr w:rsidR="00D34CC9" w:rsidTr="005964B4">
        <w:trPr>
          <w:trHeight w:val="480"/>
        </w:trPr>
        <w:tc>
          <w:tcPr>
            <w:tcW w:w="80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 xml:space="preserve">Shah et al., 2023 </w:t>
            </w:r>
            <w:r>
              <w:rPr>
                <w:i/>
                <w:sz w:val="14"/>
                <w:szCs w:val="14"/>
              </w:rPr>
              <w:fldChar w:fldCharType="begin"/>
            </w:r>
            <w:r>
              <w:rPr>
                <w:i/>
                <w:sz w:val="14"/>
                <w:szCs w:val="14"/>
              </w:rPr>
              <w:instrText xml:space="preserve"> ADDIN ZOTERO_ITEM CSL_CITATION {"citationID":"bO7ygY5C","properties":{"formattedCitation":"(32)","plainCitation":"(32)","noteIndex":0},"citationItems":[{"id":298,"uris":["http://zotero.org/groups/4911489/items/BL9J9FCL"],"itemData":{"id":298,"type":"article-journal","abstract":"To address disparities in COVID-19 outcomes among Latinos with limited English proficiency in Maryland, our team developed a culturally congruent intervention that coupled a statewide social marketing campaign with community-based COVID-19 services. In the first year, we reached 305 122 people through social media advertisements and had 9607 visitors to the Web site. Social marketing campaigns represent an opportunity to promote COVID-19 testing and vaccine uptake among Latino populations, especially when they are paired with community services that simultaneously address structural barriers to care. (Am J Public Health. 2023;113(3):263-266. https://doi.org/10.2105/10.2105/AJPH.2022.307191).","container-title":"American Journal of Public Health","DOI":"10.2105/AJPH.2022.307191","ISSN":"1541-0048","issue":"3","journalAbbreviation":"Am J Public Health","language":"eng","note":"PMID: 36657094\nPMCID: PMC9932371","page":"263-266","source":"PubMed","title":"A Community-Engaged Social Marketing Campaign to Promote Equitable Access to COVID-19 Services Among Latino Immigrants","volume":"113","author":[{"family":"Shah","given":"Harita S."},{"family":"Miller","given":"Alejandra Flores"},{"family":"Yang","given":"Cui"},{"family":"Grieb","given":"Suzanne M."},{"family":"Lipke","given":"Mitchell"},{"family":"Bigelow","given":"Benjamin F."},{"family":"Phillips","given":"Katherine H."},{"family":"Palomino","given":"Pedro"},{"family":"Page","given":"Kathleen R."}],"issued":{"date-parts":[["2023",3]]}}}],"schema":"https://github.com/citation-style-language/schema/raw/master/csl-citation.json"} </w:instrText>
            </w:r>
            <w:r>
              <w:rPr>
                <w:i/>
                <w:sz w:val="14"/>
                <w:szCs w:val="14"/>
              </w:rPr>
              <w:fldChar w:fldCharType="separate"/>
            </w:r>
            <w:r w:rsidRPr="0086135B">
              <w:rPr>
                <w:sz w:val="14"/>
              </w:rPr>
              <w:t>(32)</w:t>
            </w:r>
            <w:r>
              <w:rPr>
                <w:i/>
                <w:sz w:val="14"/>
                <w:szCs w:val="14"/>
              </w:rPr>
              <w:fldChar w:fldCharType="end"/>
            </w:r>
          </w:p>
        </w:tc>
        <w:tc>
          <w:tcPr>
            <w:tcW w:w="1170" w:type="dxa"/>
            <w:tcBorders>
              <w:top w:val="single" w:sz="6" w:space="0" w:color="969696"/>
              <w:left w:val="nil"/>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nil"/>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nil"/>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530" w:type="dxa"/>
            <w:tcBorders>
              <w:top w:val="single" w:sz="6" w:space="0" w:color="969696"/>
              <w:left w:val="nil"/>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nil"/>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nil"/>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260" w:type="dxa"/>
            <w:tcBorders>
              <w:top w:val="single" w:sz="6" w:space="0" w:color="969696"/>
              <w:left w:val="nil"/>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2970" w:type="dxa"/>
            <w:tcBorders>
              <w:top w:val="single" w:sz="6" w:space="0" w:color="969696"/>
              <w:left w:val="nil"/>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Vague research question; sampling strategy and demographic data of survey respondents not provided.</w:t>
            </w:r>
          </w:p>
        </w:tc>
      </w:tr>
      <w:tr w:rsidR="00D34CC9" w:rsidTr="005964B4">
        <w:trPr>
          <w:trHeight w:val="240"/>
        </w:trPr>
        <w:tc>
          <w:tcPr>
            <w:tcW w:w="13130" w:type="dxa"/>
            <w:gridSpan w:val="9"/>
            <w:tcBorders>
              <w:top w:val="single" w:sz="6" w:space="0" w:color="969696"/>
              <w:left w:val="single" w:sz="6" w:space="0" w:color="969696"/>
              <w:bottom w:val="single" w:sz="6" w:space="0" w:color="969696"/>
              <w:right w:val="single" w:sz="6" w:space="0" w:color="969696"/>
            </w:tcBorders>
            <w:shd w:val="clear" w:color="auto" w:fill="F3F3F3"/>
            <w:tcMar>
              <w:top w:w="40" w:type="dxa"/>
              <w:left w:w="40" w:type="dxa"/>
              <w:bottom w:w="40" w:type="dxa"/>
              <w:right w:w="40" w:type="dxa"/>
            </w:tcMar>
            <w:vAlign w:val="bottom"/>
          </w:tcPr>
          <w:p w:rsidR="00D34CC9" w:rsidRDefault="00D34CC9" w:rsidP="005964B4">
            <w:pPr>
              <w:widowControl w:val="0"/>
              <w:rPr>
                <w:b/>
                <w:sz w:val="16"/>
                <w:szCs w:val="16"/>
              </w:rPr>
            </w:pPr>
            <w:r>
              <w:rPr>
                <w:b/>
                <w:sz w:val="16"/>
                <w:szCs w:val="16"/>
              </w:rPr>
              <w:t>Other vaccines</w:t>
            </w:r>
          </w:p>
        </w:tc>
      </w:tr>
      <w:tr w:rsidR="00D34CC9" w:rsidTr="005964B4">
        <w:tc>
          <w:tcPr>
            <w:tcW w:w="80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proofErr w:type="spellStart"/>
            <w:r>
              <w:rPr>
                <w:i/>
                <w:sz w:val="14"/>
                <w:szCs w:val="14"/>
              </w:rPr>
              <w:t>Aragones</w:t>
            </w:r>
            <w:proofErr w:type="spellEnd"/>
            <w:r>
              <w:rPr>
                <w:i/>
                <w:sz w:val="14"/>
                <w:szCs w:val="14"/>
              </w:rPr>
              <w:t xml:space="preserve"> et al., 2015 </w:t>
            </w:r>
            <w:r>
              <w:rPr>
                <w:i/>
                <w:sz w:val="14"/>
                <w:szCs w:val="14"/>
              </w:rPr>
              <w:fldChar w:fldCharType="begin"/>
            </w:r>
            <w:r>
              <w:rPr>
                <w:i/>
                <w:sz w:val="14"/>
                <w:szCs w:val="14"/>
              </w:rPr>
              <w:instrText xml:space="preserve"> ADDIN ZOTERO_ITEM CSL_CITATION {"citationID":"nPCs3uGb","properties":{"formattedCitation":"(41)","plainCitation":"(41)","noteIndex":0},"citationItems":[{"id":269,"uris":["http://zotero.org/groups/4911489/items/WY9C4HUK"],"itemData":{"id":269,"type":"article-journal","abstract":"OBJECTIVE: Latino populations, particularly Mexican-Americans who comprise 65% of the Latinos in the U.S., are disproportionately affected by HPV-related diseases. The HPV vaccination completion rates remain low, well below the Healthy People 2020 goal. In this study we assessed the effect of parental education and a text messaging reminder service on HPV vaccine completion rates among eligible children of Mexican American parents.\nSTUDY DESIGN: Nonequivalent group study of Mexican parents of HPV vaccine eligible children attended the Health Window program at the Mexican Consulate in New York City, a non-clinical, trusted community setting, during 2012-2013. 69 parents received HPV education onsite, 45 of whom also received a series of text message vaccination reminders. We measured HPV vaccination completion of the youngest eligible children of Mexican parents as the main outcome.\nRESULTS: 98% of those in the education plus text messaging group reported getting the first dose of the vaccine for their child and 87% among those in the educational group only (p = 0.11). 88% of those receiving the 1st dose in the text messaging group reported completing the three doses versus 40% in the educational group only (p = 0.004).\nCONCLUSIONS: Parental text messaging plus education, implemented in a community based setting, was strongly associated with vaccine completion rates among vaccine-eligible Mexican American children. Although pilot in nature, the study achieved an 88% series completion rate in the children of those who received the text messages, significantly higher than current vaccination levels.","container-title":"Preventive Medicine Reports","DOI":"10.1016/j.pmedr.2015.06.015","ISSN":"2211-3355","journalAbbreviation":"Prev Med Rep","language":"eng","note":"PMID: 26844117\nPMCID: PMC4721322","page":"554-558","source":"PubMed","title":"Parental education and text messaging reminders as effective community based tools to increase HPV vaccination rates among Mexican American children","volume":"2","author":[{"family":"Aragones","given":"Abraham"},{"family":"Bruno","given":"Denise M."},{"family":"Ehrenberg","given":"Mariane"},{"family":"Tonda-Salcedo","given":"Josana"},{"family":"Gany","given":"Francesca M."}],"issued":{"date-parts":[["2015"]]}}}],"schema":"https://github.com/citation-style-language/schema/raw/master/csl-citation.json"} </w:instrText>
            </w:r>
            <w:r>
              <w:rPr>
                <w:i/>
                <w:sz w:val="14"/>
                <w:szCs w:val="14"/>
              </w:rPr>
              <w:fldChar w:fldCharType="separate"/>
            </w:r>
            <w:r w:rsidRPr="0086135B">
              <w:rPr>
                <w:sz w:val="14"/>
              </w:rPr>
              <w:t>(41)</w:t>
            </w:r>
            <w:r>
              <w:rPr>
                <w:i/>
                <w:sz w:val="14"/>
                <w:szCs w:val="14"/>
              </w:rPr>
              <w:fldChar w:fldCharType="end"/>
            </w:r>
          </w:p>
        </w:tc>
        <w:tc>
          <w:tcPr>
            <w:tcW w:w="11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53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26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2970" w:type="dxa"/>
            <w:shd w:val="clear" w:color="auto" w:fill="auto"/>
            <w:tcMar>
              <w:top w:w="100" w:type="dxa"/>
              <w:left w:w="100" w:type="dxa"/>
              <w:bottom w:w="100" w:type="dxa"/>
              <w:right w:w="100" w:type="dxa"/>
            </w:tcMar>
          </w:tcPr>
          <w:p w:rsidR="00D34CC9" w:rsidRDefault="00D34CC9" w:rsidP="005964B4">
            <w:pPr>
              <w:widowControl w:val="0"/>
              <w:spacing w:line="240" w:lineRule="auto"/>
              <w:rPr>
                <w:i/>
                <w:sz w:val="14"/>
                <w:szCs w:val="14"/>
              </w:rPr>
            </w:pPr>
            <w:r>
              <w:rPr>
                <w:i/>
                <w:sz w:val="14"/>
                <w:szCs w:val="14"/>
                <w:highlight w:val="white"/>
              </w:rPr>
              <w:t>Self-reported vaccine uptake only although same process was used for both intervention groups.</w:t>
            </w:r>
          </w:p>
        </w:tc>
      </w:tr>
      <w:tr w:rsidR="00D34CC9" w:rsidTr="005964B4">
        <w:tc>
          <w:tcPr>
            <w:tcW w:w="80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vAlign w:val="bottom"/>
          </w:tcPr>
          <w:p w:rsidR="00D34CC9" w:rsidRDefault="00D34CC9" w:rsidP="005964B4">
            <w:pPr>
              <w:widowControl w:val="0"/>
              <w:rPr>
                <w:i/>
                <w:sz w:val="14"/>
                <w:szCs w:val="14"/>
              </w:rPr>
            </w:pPr>
            <w:r>
              <w:rPr>
                <w:i/>
                <w:sz w:val="14"/>
                <w:szCs w:val="14"/>
              </w:rPr>
              <w:t xml:space="preserve">Chu et al., 2021 </w:t>
            </w:r>
            <w:r>
              <w:rPr>
                <w:i/>
                <w:sz w:val="14"/>
                <w:szCs w:val="14"/>
              </w:rPr>
              <w:fldChar w:fldCharType="begin"/>
            </w:r>
            <w:r>
              <w:rPr>
                <w:i/>
                <w:sz w:val="14"/>
                <w:szCs w:val="14"/>
              </w:rPr>
              <w:instrText xml:space="preserve"> ADDIN ZOTERO_ITEM CSL_CITATION {"citationID":"AiysOziL","properties":{"formattedCitation":"(43)","plainCitation":"(43)","noteIndex":0},"citationItems":[{"id":275,"uris":["http://zotero.org/groups/4911489/items/YPZIGRYI"],"itemData":{"id":275,"type":"article-journal","abstract":"OBJECTIVE: HPV vaccine uptake in U.S. East African adolescents is low. We developed and evaluated a culturally-targeted interactive educational intervention for East African immigrant mothers to increase HPV-vaccine-related knowledge, attitudes, and intentions to vaccinate adolescent children.\nMETHODS: Eligible mothers had ≥ 1 11-17-year-old child and reported all children's HPV vaccination status as unvaccinated or unknown. The intervention was delivered via 10 dinners in the Seattle metropolitan area (8 with the Somali community, 2 with the Ethiopian community). Educational presentations and pre/post-tests on knowledge, attitudes, and intentions were conducted in the participants' native language by a co-ethnic physician. Pre/post differences in responses were evaluated with McNemar's tests and GEE models. HPV vaccination uptake 6-months post-intervention was evaluated using state immunization registry data.\nRESULTS: Of 115 participating mothers, most (84%) were Somali and &lt; 40 years of age (60%). Median years of formal education was 8 (range 0-16), and 61% reported a household income &lt;$25,000. Knowledge of HPV/HPV-vaccines was low pre-intervention, with correct responses ranging from 4% to 39% (61%-91% of responses were \"not sure\"); correct post-intervention responses ranged from 29% to 97%. Pre-intervention, only 12% of mothers thought they had enough information to make a decision about vaccination, compared to 90% post-intervention. Pre-intervention, only 16% of mothers reported that they were somewhat or very likely to vaccinate their child, compared to 83% post-intervention. All pre/post comparisons were statistically significantly different (p &lt; 0.0001). Although mothers were more likely to report correct HPV-related knowledge and positive vaccine attitudes and intentions post-intervention, only two mothers' children initiated HPV vaccination within 6 months after the intervention.\nCONCLUSIONS: Results illustrate that a culturally targeted educational intervention effectively increased East African mothers' HPV vaccine-related knowledge, attitudes, and intentions to vaccinate their adolescent children. Future research should identify additional intervention components that can bridge the gap between intention and behavior to facilitate HPV vaccine uptake.","container-title":"Vaccine","DOI":"10.1016/j.vaccine.2021.05.029","ISSN":"1873-2518","issue":"28","journalAbbreviation":"Vaccine","language":"eng","note":"PMID: 34053792\nPMCID: PMC9984200","page":"3767-3776","source":"PubMed","title":"The impact of an educational forum intervention on East African mothers' HPV vaccine-related knowledge, attitudes, and intentions to vaccinate their adolescent children","volume":"39","author":[{"family":"Chu","given":"Huong"},{"family":"Ko","given":"Linda K."},{"family":"Ibrahim","given":"Anisa"},{"family":"Bille Mohamed","given":"Farah"},{"family":"Lin","given":"John"},{"family":"Shankar","given":"Megha"},{"family":"Amsalu","given":"Fanaye"},{"family":"Ali","given":"Ahmed A."},{"family":"Richardson","given":"Barbra A."},{"family":"Taylor","given":"Victoria M."},{"family":"Winer","given":"Rachel L."}],"issued":{"date-parts":[["2021",6,23]]}}}],"schema":"https://github.com/citation-style-language/schema/raw/master/csl-citation.json"} </w:instrText>
            </w:r>
            <w:r>
              <w:rPr>
                <w:i/>
                <w:sz w:val="14"/>
                <w:szCs w:val="14"/>
              </w:rPr>
              <w:fldChar w:fldCharType="separate"/>
            </w:r>
            <w:r w:rsidRPr="0086135B">
              <w:rPr>
                <w:sz w:val="14"/>
              </w:rPr>
              <w:t>(43)</w:t>
            </w:r>
            <w:r>
              <w:rPr>
                <w:i/>
                <w:sz w:val="14"/>
                <w:szCs w:val="14"/>
              </w:rPr>
              <w:fldChar w:fldCharType="end"/>
            </w:r>
          </w:p>
        </w:tc>
        <w:tc>
          <w:tcPr>
            <w:tcW w:w="1170" w:type="dxa"/>
            <w:tcBorders>
              <w:top w:val="single" w:sz="6" w:space="0" w:color="969696"/>
              <w:left w:val="nil"/>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nil"/>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nil"/>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530" w:type="dxa"/>
            <w:tcBorders>
              <w:top w:val="single" w:sz="6" w:space="0" w:color="969696"/>
              <w:left w:val="nil"/>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nil"/>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nil"/>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260" w:type="dxa"/>
            <w:tcBorders>
              <w:top w:val="single" w:sz="6" w:space="0" w:color="969696"/>
              <w:left w:val="nil"/>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2970" w:type="dxa"/>
            <w:tcBorders>
              <w:top w:val="single" w:sz="6" w:space="0" w:color="969696"/>
              <w:left w:val="nil"/>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Confounding variables not well addressed.</w:t>
            </w:r>
          </w:p>
        </w:tc>
      </w:tr>
      <w:tr w:rsidR="00D34CC9" w:rsidTr="005964B4">
        <w:tc>
          <w:tcPr>
            <w:tcW w:w="80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vAlign w:val="bottom"/>
          </w:tcPr>
          <w:p w:rsidR="00D34CC9" w:rsidRDefault="00D34CC9" w:rsidP="005964B4">
            <w:pPr>
              <w:widowControl w:val="0"/>
              <w:rPr>
                <w:i/>
                <w:sz w:val="14"/>
                <w:szCs w:val="14"/>
              </w:rPr>
            </w:pPr>
            <w:proofErr w:type="spellStart"/>
            <w:r>
              <w:rPr>
                <w:i/>
                <w:sz w:val="14"/>
                <w:szCs w:val="14"/>
              </w:rPr>
              <w:t>Coady</w:t>
            </w:r>
            <w:proofErr w:type="spellEnd"/>
            <w:r>
              <w:rPr>
                <w:i/>
                <w:sz w:val="14"/>
                <w:szCs w:val="14"/>
              </w:rPr>
              <w:t xml:space="preserve"> et al., 2008 </w:t>
            </w:r>
            <w:r>
              <w:rPr>
                <w:i/>
                <w:sz w:val="14"/>
                <w:szCs w:val="14"/>
              </w:rPr>
              <w:fldChar w:fldCharType="begin"/>
            </w:r>
            <w:r>
              <w:rPr>
                <w:i/>
                <w:sz w:val="14"/>
                <w:szCs w:val="14"/>
              </w:rPr>
              <w:instrText xml:space="preserve"> ADDIN ZOTERO_ITEM CSL_CITATION {"citationID":"NrqDgJns","properties":{"formattedCitation":"(44)","plainCitation":"(44)","noteIndex":0},"citationItems":[{"id":223,"uris":["http://zotero.org/groups/4911489/items/FQRJPA8Q"],"itemData":{"id":223,"type":"article-journal","abstract":"OBJECTIVES: We sought to determine whether the work of a community-based participatory research partnership increased interest in influenza vaccination among hard-to-reach individuals in urban settings.\nMETHODS: A partnership of researchers and community members carried out interventions for increasing acceptance of influenza vaccination in disadvantaged urban neighborhoods, focusing on hard-to-reach populations (e.g., substance abusers, immigrants, elderly, sex workers, and homeless persons) in East Harlem and the Bronx in New York City. Activities targeted the individual, community organization, and neighborhood levels and included dissemination of information, presentations at meetings, and provision of street-based and door-to-door vaccination during 2 influenza vaccine seasons. Participants were recruited via multiple modalities. Multivariable analyses were performed to compare interest in receiving vaccination pre- and postintervention.\nRESULTS: There was increased interest in receiving the influenza vaccine postintervention (P&lt;.01). Being a member of a hard-to-reach population (P=.03), having ever received an influenza vaccine (P&lt;.01), and being in a priority group for vaccination (P&lt;.01) were also associated with greater interest in receiving the vaccine.\nCONCLUSIONS: Targeting underserved neighborhoods through a multilevel community-based participatory research intervention significantly increased interest in influenza vaccination, particularly among hard-to-reach populations. Such interventions hold promise for increasing vaccination rates annually and in pandemic situations.","container-title":"American Journal of Public Health","DOI":"10.2105/AJPH.2007.119586","ISSN":"1541-0048","issue":"7","journalAbbreviation":"Am J Public Health","language":"eng","note":"PMID: 18511725\nPMCID: PMC2424104","page":"1314-1321","source":"PubMed","title":"Project VIVA: a multilevel community-based intervention to increase influenza vaccination rates among hard-to-reach populations in New York City","title-short":"Project VIVA","volume":"98","author":[{"family":"Coady","given":"Micaela H."},{"family":"Galea","given":"Sandro"},{"family":"Blaney","given":"Shannon"},{"family":"Ompad","given":"Danielle C."},{"family":"Sisco","given":"Sarah"},{"family":"Vlahov","given":"David"},{"literal":"Project Viva Intervention Working Group"}],"issued":{"date-parts":[["2008",7]]}}}],"schema":"https://github.com/citation-style-language/schema/raw/master/csl-citation.json"} </w:instrText>
            </w:r>
            <w:r>
              <w:rPr>
                <w:i/>
                <w:sz w:val="14"/>
                <w:szCs w:val="14"/>
              </w:rPr>
              <w:fldChar w:fldCharType="separate"/>
            </w:r>
            <w:r w:rsidRPr="0086135B">
              <w:rPr>
                <w:sz w:val="14"/>
              </w:rPr>
              <w:t>(44)</w:t>
            </w:r>
            <w:r>
              <w:rPr>
                <w:i/>
                <w:sz w:val="14"/>
                <w:szCs w:val="14"/>
              </w:rPr>
              <w:fldChar w:fldCharType="end"/>
            </w:r>
          </w:p>
        </w:tc>
        <w:tc>
          <w:tcPr>
            <w:tcW w:w="11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53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26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29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Only 37% of participants were members of hard to reach populations.</w:t>
            </w:r>
          </w:p>
        </w:tc>
      </w:tr>
      <w:tr w:rsidR="00D34CC9" w:rsidTr="005964B4">
        <w:tc>
          <w:tcPr>
            <w:tcW w:w="80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 xml:space="preserve">Hoppe &amp; </w:t>
            </w:r>
            <w:r>
              <w:rPr>
                <w:i/>
                <w:sz w:val="14"/>
                <w:szCs w:val="14"/>
              </w:rPr>
              <w:lastRenderedPageBreak/>
              <w:t xml:space="preserve">Eckert, 2011 </w:t>
            </w:r>
            <w:r>
              <w:rPr>
                <w:i/>
                <w:sz w:val="14"/>
                <w:szCs w:val="14"/>
              </w:rPr>
              <w:fldChar w:fldCharType="begin"/>
            </w:r>
            <w:r>
              <w:rPr>
                <w:i/>
                <w:sz w:val="14"/>
                <w:szCs w:val="14"/>
              </w:rPr>
              <w:instrText xml:space="preserve"> ADDIN ZOTERO_ITEM CSL_CITATION {"citationID":"RsYyJ3z9","properties":{"formattedCitation":"(46)","plainCitation":"(46)","noteIndex":0},"citationItems":[{"id":280,"uris":["http://zotero.org/groups/4911489/items/CGWGBAUU"],"itemData":{"id":280,"type":"article-journal","abstract":"OBJECTIVE: To report on a multifaceted approach to increase uptake of the H1N1 vaccine in our ethnically diverse obstetrical population.\nMETHODS: A review of our obstetric clinic vaccine registry and the approaches used to increase vaccine uptake. We created a real-time vaccine registry, educated patients in their own language via educational videos and use of cultural case workers, facilitated patient appointments and transportation, educated staff, and used other interventions to enhance immunization uptake.\nRESULTS: Within the first month of H1N1 availability, we vaccinated 120 of our total 157 obstetrics patients. Our overall coverage rate was 76% (number vaccinated/total number eligible.) Of the enrolled patients, the vaccine acceptance rates were similar in our English (59 (78%) of 76) versus non-English (59 (75%) of 79) speaking patients.\nCONCLUSIONS: High vaccine coverage is possible in an ethnically diverse, highly immigrant obstetrics population.","container-title":"Infectious Diseases in Obstetrics and Gynecology","DOI":"10.1155/2011/746214","ISSN":"1098-0997","journalAbbreviation":"Infect Dis Obstet Gynecol","language":"eng","note":"PMID: 21760700\nPMCID: PMC3132504","page":"746214","source":"PubMed","title":"Achieving high coverage of H1N1 influenza vaccine in an ethnically diverse obstetric population: success of a multifaceted approach","title-short":"Achieving high coverage of H1N1 influenza vaccine in an ethnically diverse obstetric population","volume":"2011","author":[{"family":"Hoppe","given":"Kara K."},{"family":"Eckert","given":"Linda O."}],"issued":{"date-parts":[["2011"]]}}}],"schema":"https://github.com/citation-style-language/schema/raw/master/csl-citation.json"} </w:instrText>
            </w:r>
            <w:r>
              <w:rPr>
                <w:i/>
                <w:sz w:val="14"/>
                <w:szCs w:val="14"/>
              </w:rPr>
              <w:fldChar w:fldCharType="separate"/>
            </w:r>
            <w:r w:rsidRPr="0086135B">
              <w:rPr>
                <w:sz w:val="14"/>
              </w:rPr>
              <w:t>(46)</w:t>
            </w:r>
            <w:r>
              <w:rPr>
                <w:i/>
                <w:sz w:val="14"/>
                <w:szCs w:val="14"/>
              </w:rPr>
              <w:fldChar w:fldCharType="end"/>
            </w:r>
          </w:p>
        </w:tc>
        <w:tc>
          <w:tcPr>
            <w:tcW w:w="11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lastRenderedPageBreak/>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53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26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29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highlight w:val="white"/>
              </w:rPr>
              <w:t xml:space="preserve">General research question relating to </w:t>
            </w:r>
            <w:r>
              <w:rPr>
                <w:i/>
                <w:sz w:val="14"/>
                <w:szCs w:val="14"/>
                <w:highlight w:val="white"/>
              </w:rPr>
              <w:lastRenderedPageBreak/>
              <w:t>reporting/describing an intervention; only results from single clinic; multiple interventions simultaneously, not able to delineate relative importance of each variable on vaccination rates.</w:t>
            </w:r>
          </w:p>
        </w:tc>
      </w:tr>
      <w:tr w:rsidR="00D34CC9" w:rsidTr="005964B4">
        <w:tc>
          <w:tcPr>
            <w:tcW w:w="80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lastRenderedPageBreak/>
              <w:t xml:space="preserve">Kong et al., 2020 </w:t>
            </w:r>
            <w:r>
              <w:rPr>
                <w:i/>
                <w:sz w:val="14"/>
                <w:szCs w:val="14"/>
              </w:rPr>
              <w:fldChar w:fldCharType="begin"/>
            </w:r>
            <w:r>
              <w:rPr>
                <w:i/>
                <w:sz w:val="14"/>
                <w:szCs w:val="14"/>
              </w:rPr>
              <w:instrText xml:space="preserve"> ADDIN ZOTERO_ITEM CSL_CITATION {"citationID":"cA4n6TD5","properties":{"formattedCitation":"(47)","plainCitation":"(47)","noteIndex":0},"citationItems":[{"id":193,"uris":["http://zotero.org/groups/4911489/items/GS4RIS56"],"itemData":{"id":193,"type":"article-journal","abstract":"OBJECTIVE: This report describes a mobile outreach influenza immunisation program for vulnerable populations in a resource-rich setting. It explores vaccine recipients' demographics, comorbidities and vaccination histories, and the factors influencing their decision to receive vaccine during outreach.\nMETHODS: Teams of nurse immunisers visited and provided influenza vaccines to clients from 21 sites (18 community centres for migrants, refugees and the homeless; and three outpatient clinics). Risk factors for severe influenza, vaccination histories and perceived barriers and facilitators to vaccines were collected from vaccine recipients.\nRESULTS: A total of 1,032 vaccine recipients participated in the survey with responses collected from April to October 2018. Of these, 54% reported at least one risk factor for severe influenza. Sixty per cent of recipients had not received an influenza vaccine in 2017, with most of them reporting 'not worried about influenza' as a reason. Pregnant participants most frequently reported a healthcare provider's recommendation as the reason to receive the vaccine.\nCONCLUSION: An outreach program comprising of a means of taking vaccines to the population was a successful strategy to deliver influenza vaccines to high-risk populations. It needs to be considered in the full range of delivery models to improve influenza vaccine coverage, even in resource-rich settings. Implication for public health: Strategies reaching out to vulnerable populations are crucial to maximise vaccine uptake.","container-title":"Australian and New Zealand Journal of Public Health","DOI":"10.1111/1753-6405.12964","ISSN":"1753-6405","issue":"2","journalAbbreviation":"Aust N Z J Public Health","language":"eng","note":"PMID: 32101355","page":"163-168","source":"PubMed","title":"Factors influencing the uptake of influenza vaccine vary among different groups in the hard-to-reach population","volume":"44","author":[{"family":"Kong","given":"Khai Lin"},{"family":"Chu","given":"Sandy"},{"family":"Giles","given":"Michelle L."}],"issued":{"date-parts":[["2020",4]]}}}],"schema":"https://github.com/citation-style-language/schema/raw/master/csl-citation.json"} </w:instrText>
            </w:r>
            <w:r>
              <w:rPr>
                <w:i/>
                <w:sz w:val="14"/>
                <w:szCs w:val="14"/>
              </w:rPr>
              <w:fldChar w:fldCharType="separate"/>
            </w:r>
            <w:r w:rsidRPr="0086135B">
              <w:rPr>
                <w:sz w:val="14"/>
              </w:rPr>
              <w:t>(47)</w:t>
            </w:r>
            <w:r>
              <w:rPr>
                <w:i/>
                <w:sz w:val="14"/>
                <w:szCs w:val="14"/>
              </w:rPr>
              <w:fldChar w:fldCharType="end"/>
            </w:r>
          </w:p>
        </w:tc>
        <w:tc>
          <w:tcPr>
            <w:tcW w:w="11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53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26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29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highlight w:val="white"/>
              </w:rPr>
            </w:pPr>
            <w:r>
              <w:rPr>
                <w:i/>
                <w:sz w:val="14"/>
                <w:szCs w:val="14"/>
              </w:rPr>
              <w:t xml:space="preserve">General research question of describing an </w:t>
            </w:r>
            <w:proofErr w:type="spellStart"/>
            <w:r>
              <w:rPr>
                <w:i/>
                <w:sz w:val="14"/>
                <w:szCs w:val="14"/>
              </w:rPr>
              <w:t>immunisation</w:t>
            </w:r>
            <w:proofErr w:type="spellEnd"/>
            <w:r>
              <w:rPr>
                <w:i/>
                <w:sz w:val="14"/>
                <w:szCs w:val="14"/>
              </w:rPr>
              <w:t xml:space="preserve"> program; explores vaccine recipients’ demographics, comorbidities and vaccination histories, and the factors influencing their decision to receive vaccine during outreach; unclear if intervention applied as intended.</w:t>
            </w:r>
          </w:p>
        </w:tc>
      </w:tr>
      <w:tr w:rsidR="00D34CC9" w:rsidTr="005964B4">
        <w:tc>
          <w:tcPr>
            <w:tcW w:w="80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vAlign w:val="bottom"/>
          </w:tcPr>
          <w:p w:rsidR="00D34CC9" w:rsidRDefault="00D34CC9" w:rsidP="005964B4">
            <w:pPr>
              <w:widowControl w:val="0"/>
              <w:rPr>
                <w:i/>
                <w:sz w:val="14"/>
                <w:szCs w:val="14"/>
              </w:rPr>
            </w:pPr>
            <w:r>
              <w:rPr>
                <w:i/>
                <w:sz w:val="14"/>
                <w:szCs w:val="14"/>
              </w:rPr>
              <w:t xml:space="preserve">Milne et al., 2006 </w:t>
            </w:r>
            <w:r>
              <w:rPr>
                <w:i/>
                <w:sz w:val="14"/>
                <w:szCs w:val="14"/>
              </w:rPr>
              <w:fldChar w:fldCharType="begin"/>
            </w:r>
            <w:r>
              <w:rPr>
                <w:i/>
                <w:sz w:val="14"/>
                <w:szCs w:val="14"/>
              </w:rPr>
              <w:instrText xml:space="preserve"> ADDIN ZOTERO_ITEM CSL_CITATION {"citationID":"e3Jq5pfz","properties":{"formattedCitation":"(51)","plainCitation":"(51)","noteIndex":0},"citationItems":[{"id":302,"uris":["http://zotero.org/groups/4911489/items/J47VX2UH"],"itemData":{"id":302,"type":"article-journal","abstract":"OBJECTIVES: To assess immunisation needs, primary health care (PHC) use and trial a school-based immunisation service for refugee and migrant young people attending an Intensive English Centre (IEC) high school in Western Sydney.\nMETHODS: We surveyed students attending an IEC in Western Sydney, assessing self-reported immunisation status and use of PHC services via questionnaires translated in six languages. Those students who were not immunised for hepatitis B and measles-mumps-rubella (MMR) were provided the first and second dose of a three-dose hepatitis B immunisation schedule and a single dose of MMR vaccine. We compared the immunisation requirements for MMR and hepatitis B with utilisation of PHC.\nRESULTS: One-hundred and sixty-five students (85%) returned the questionnaire. Forty-nine students (30%) reported previous immunisation with MMR and 29 (18%) with hepatitis B. As part of the school immunisation program, 142 (74%) received MMR vaccine, 151 (78%) received the first dose of hepatitis B vaccine, 144 (95%) received the second dose of hepatitis B, and 34 (23%) received the third hepatitis B dose elsewhere. Sixty-six students (40%) reported seeing a doctor in the past year. Students who had not seen a doctor in the previous year were significantly more likely to request immunisation (p &lt; 0.01).\nCONCLUSIONS AND IMPLICATIONS: Refugee and migrant young people attending an IEC in Western Sydney report low immunisation rates. Our study highlights the urgent need for education and health to work together to provide specialised immunisation services for refugee and migrant young people.","container-title":"Australian and New Zealand Journal of Public Health","DOI":"10.1111/j.1467-842x.2006.tb00780.x","ISSN":"1326-0200","issue":"6","journalAbbreviation":"Aust N Z J Public Health","language":"eng","note":"PMID: 17209267","page":"526-528","source":"PubMed","title":"Immunisation of refugee and migrant young people: can schools do the job?","title-short":"Immunisation of refugee and migrant young people","volume":"30","author":[{"family":"Milne","given":"Bronwyn"},{"family":"Raman","given":"Shanti"},{"family":"Thomas","given":"Paul"},{"family":"Shah","given":"Smita"}],"issued":{"date-parts":[["2006",12]]}}}],"schema":"https://github.com/citation-style-language/schema/raw/master/csl-citation.json"} </w:instrText>
            </w:r>
            <w:r>
              <w:rPr>
                <w:i/>
                <w:sz w:val="14"/>
                <w:szCs w:val="14"/>
              </w:rPr>
              <w:fldChar w:fldCharType="separate"/>
            </w:r>
            <w:r w:rsidRPr="0086135B">
              <w:rPr>
                <w:sz w:val="14"/>
              </w:rPr>
              <w:t>(51)</w:t>
            </w:r>
            <w:r>
              <w:rPr>
                <w:i/>
                <w:sz w:val="14"/>
                <w:szCs w:val="14"/>
              </w:rPr>
              <w:fldChar w:fldCharType="end"/>
            </w:r>
          </w:p>
        </w:tc>
        <w:tc>
          <w:tcPr>
            <w:tcW w:w="11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53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26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29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General and broad research question; difficult to ascertain if measurements well matched to research question.</w:t>
            </w:r>
          </w:p>
        </w:tc>
      </w:tr>
      <w:tr w:rsidR="00D34CC9" w:rsidTr="005964B4">
        <w:tc>
          <w:tcPr>
            <w:tcW w:w="80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proofErr w:type="spellStart"/>
            <w:r>
              <w:rPr>
                <w:i/>
                <w:sz w:val="14"/>
                <w:szCs w:val="14"/>
              </w:rPr>
              <w:t>Phares</w:t>
            </w:r>
            <w:proofErr w:type="spellEnd"/>
            <w:r>
              <w:rPr>
                <w:i/>
                <w:sz w:val="14"/>
                <w:szCs w:val="14"/>
              </w:rPr>
              <w:t xml:space="preserve"> et al., 2016 </w:t>
            </w:r>
            <w:r>
              <w:rPr>
                <w:i/>
                <w:sz w:val="14"/>
                <w:szCs w:val="14"/>
              </w:rPr>
              <w:fldChar w:fldCharType="begin"/>
            </w:r>
            <w:r>
              <w:rPr>
                <w:i/>
                <w:sz w:val="14"/>
                <w:szCs w:val="14"/>
              </w:rPr>
              <w:instrText xml:space="preserve"> ADDIN ZOTERO_ITEM CSL_CITATION {"citationID":"qJENz7n5","properties":{"formattedCitation":"(54)","plainCitation":"(54)","noteIndex":0},"citationItems":[{"id":321,"uris":["http://zotero.org/groups/4911489/items/BPNHVBHB"],"itemData":{"id":321,"type":"article-journal","abstract":"BACKGROUND: During 2005-2012, surveillance in Maela refugee camp, Thailand, identified four cholera outbreaks, with rates up to 10.7 cases per 1000 refugees. In 2013, the Thailand Ministry of Public Health sponsored a two-dose oral cholera vaccine (OCV) campaign for the approximately 46,000 refugees living in Maela.\nMETHODS: We enumerated the target population (refugees living in Maela who are ≥1 year old and not pregnant) in a census three months before the campaign and issued barcoded OCV cards to each individual. We conducted the campaign using a fixed-post strategy during two eight-day rounds plus one two-day round for persons who had missed their second dose and recorded vaccine status for each individual. To identify factors associated with no vaccination (versus at least one dose) and those associated with adverse events following immunization (AEFI), we used separate marginal log-binomial regression models with robust variance estimates to account for household clustering.\nRESULTS: A total of 63,057 OCV doses were administered to a target population of 43,485 refugees. An estimated 35,399 (81%) refugees received at least one dose and 27,658 (64%) received two doses. A total of 993 additional doses (1.5%) were wasted including 297 that were spat out. Only 0.05% of refugees, mostly children, could not be vaccinated due to repeated spitting. Characteristics associated with no vaccination (versus at least one dose) included age ≥15 years (versus 1-14 years), Karen ethnicity (versus any other ethnicity) and, only among adults 15-64 years old, male sex. Passive surveillance identified 84 refugees who experienced 108 AEFI including three serious but coincidental events. The most frequent AEFI were nausea (49%), dizziness (38%), and fever (30%). Overall, AEFI were more prevalent among young children and older adults.\nCONCLUSIONS: Our results suggest that mass vaccination in refugee camps with a two-dose OCV is readily achievable and AEFI are few.","container-title":"Vaccine","DOI":"10.1016/j.vaccine.2015.10.112","ISSN":"1873-2518","issue":"1","journalAbbreviation":"Vaccine","language":"eng","note":"PMID: 26549363","page":"128-133","source":"PubMed","title":"Mass vaccination with a two-dose oral cholera vaccine in a long-standing refugee camp, Thailand","volume":"34","author":[{"family":"Phares","given":"Christina R."},{"family":"Date","given":"Kashmira"},{"family":"Travers","given":"Philippe"},{"family":"Déglise","given":"Carole"},{"family":"Wongjindanon","given":"Nuttapong"},{"family":"Ortega","given":"Luis"},{"family":"Bhuket","given":"Ponchanok Rattanadilok Na"}],"issued":{"date-parts":[["2016",1,2]]}}}],"schema":"https://github.com/citation-style-language/schema/raw/master/csl-citation.json"} </w:instrText>
            </w:r>
            <w:r>
              <w:rPr>
                <w:i/>
                <w:sz w:val="14"/>
                <w:szCs w:val="14"/>
              </w:rPr>
              <w:fldChar w:fldCharType="separate"/>
            </w:r>
            <w:r w:rsidRPr="0086135B">
              <w:rPr>
                <w:sz w:val="14"/>
              </w:rPr>
              <w:t>(54)</w:t>
            </w:r>
            <w:r>
              <w:rPr>
                <w:i/>
                <w:sz w:val="14"/>
                <w:szCs w:val="14"/>
              </w:rPr>
              <w:fldChar w:fldCharType="end"/>
            </w:r>
          </w:p>
        </w:tc>
        <w:tc>
          <w:tcPr>
            <w:tcW w:w="11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53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26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29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General research objective; describing the campaign including estimated coverage, factors associated with vaccine uptake, vaccine wastage, adverse events following immunization (AEFI), and factors associated with AEFI.</w:t>
            </w:r>
          </w:p>
        </w:tc>
      </w:tr>
      <w:tr w:rsidR="00D34CC9" w:rsidTr="005964B4">
        <w:tc>
          <w:tcPr>
            <w:tcW w:w="80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 xml:space="preserve">Pollack et al., 2011 </w:t>
            </w:r>
            <w:r>
              <w:rPr>
                <w:i/>
                <w:sz w:val="14"/>
                <w:szCs w:val="14"/>
              </w:rPr>
              <w:fldChar w:fldCharType="begin"/>
            </w:r>
            <w:r>
              <w:rPr>
                <w:i/>
                <w:sz w:val="14"/>
                <w:szCs w:val="14"/>
              </w:rPr>
              <w:instrText xml:space="preserve"> ADDIN ZOTERO_ITEM CSL_CITATION {"citationID":"lrmYNCM3","properties":{"formattedCitation":"(55)","plainCitation":"(55)","noteIndex":0},"citationItems":[{"id":292,"uris":["http://zotero.org/groups/4911489/items/59L3JMMP"],"itemData":{"id":292,"type":"article-journal","abstract":"Chronic hepatitis B affects Asian Americans at a much higher rate than the general US population. Appropriate care can limit morbidity and mortality from hepatitis B. However, access to care for many Asian Americans and other immigrant groups is limited by their lack of knowledge about the disease, as well as cultural, linguistic, and financial challenges. This article describes the results of BfreeNYC, a New York City pilot program that, from 2004 to 2008, provided hepatitis B community education and awareness, free screening and vaccinations, and free or low-cost treatment primarily to immigrants from Asia, but also to residents from other racial and ethnic minority groups. The program was the largest citywide screening program in the United States, reaching nearly 9,000 people, and the only one providing comprehensive care to those who were infected. During the program, new hepatitis B cases reported annually from predominantly Asian neighborhoods in the city increased 34 percent. More than two thousand people were vaccinated; 57 percent of the 1,162 patients who tested positive for hepatitis B and were evaluated by program clinical services were still in care at the end of the program. Our analysis found that the program was effective in reaching the target population and providing care. Although follow-up care data will be needed to demonstrate long-term costeffectiveness, the program may serve as a useful prototype for addressing hepatitis B disparities in communities across the United States.","container-title":"Health Affairs (Project Hope)","DOI":"10.1377/hlthaff.2011.0700","ISSN":"0278-2715","issue":"10","journalAbbreviation":"Health Aff (Millwood)","note":"PMID: 21976342\nPMCID: PMC3333793","page":"1974-1983","source":"PubMed Central","title":"A Comprehensive Screening And Treatment Model For Reducing Disparities In Hepatitis B","volume":"30","author":[{"family":"Pollack","given":"Henry"},{"family":"Wang","given":"Su"},{"family":"Wyatt","given":"Laura"},{"family":"Peng","given":"Chia-hui"},{"family":"Wan","given":"Kejia"},{"family":"Trinh-Shevrin","given":"Chau"},{"family":"Chun","given":"Kay"},{"family":"Kwon","given":"Simona"}],"issued":{"date-parts":[["2011",10]]}}}],"schema":"https://github.com/citation-style-language/schema/raw/master/csl-citation.json"} </w:instrText>
            </w:r>
            <w:r>
              <w:rPr>
                <w:i/>
                <w:sz w:val="14"/>
                <w:szCs w:val="14"/>
              </w:rPr>
              <w:fldChar w:fldCharType="separate"/>
            </w:r>
            <w:r w:rsidRPr="0086135B">
              <w:rPr>
                <w:sz w:val="14"/>
              </w:rPr>
              <w:t>(55)</w:t>
            </w:r>
            <w:r>
              <w:rPr>
                <w:i/>
                <w:sz w:val="14"/>
                <w:szCs w:val="14"/>
              </w:rPr>
              <w:fldChar w:fldCharType="end"/>
            </w:r>
          </w:p>
        </w:tc>
        <w:tc>
          <w:tcPr>
            <w:tcW w:w="11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53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26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29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General research question; describes a pilot program; quantitative analysis on the program’s effectiveness and key lessons learned.</w:t>
            </w:r>
          </w:p>
        </w:tc>
      </w:tr>
      <w:tr w:rsidR="00D34CC9" w:rsidTr="005964B4">
        <w:tc>
          <w:tcPr>
            <w:tcW w:w="80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 xml:space="preserve">Ponce-Gonzalez et al., 2021 </w:t>
            </w:r>
            <w:r>
              <w:rPr>
                <w:i/>
                <w:sz w:val="14"/>
                <w:szCs w:val="14"/>
              </w:rPr>
              <w:fldChar w:fldCharType="begin"/>
            </w:r>
            <w:r>
              <w:rPr>
                <w:i/>
                <w:sz w:val="14"/>
                <w:szCs w:val="14"/>
              </w:rPr>
              <w:instrText xml:space="preserve"> ADDIN ZOTERO_ITEM CSL_CITATION {"citationID":"sgYIp83P","properties":{"formattedCitation":"(56)","plainCitation":"(56)","noteIndex":0},"citationItems":[{"id":294,"uris":["http://zotero.org/groups/4911489/items/BQ92GCRP"],"itemData":{"id":294,"type":"article-journal","abstract":"Objectives:\nTo evaluate the impact of a Community Health Worker (CHW)-led influenza campaign on knowledge and attitudes about vaccination in Latinx migrant and refugee populations.\n\nMethods:\nTwelve online workshops were conducted with 183 participants and 24 CHWs between January 12 and May 12, 2021. Participants were Latinx families living in underserved communities throughout Washington state. The initiative also included radio, animated videos, advertisements, social media, and educational materials.\n\nResults:\nAnalysis of pre and post workshop surveys from 155 participants showed statistically significant improvements in all questions about the definition of influenza, symptoms, and risks: and in 7 of 9 questions about treatments and vaccines. Analysis of 2 open-ended questions showed increases in words key to understanding influenza, such as “virus,” “illness,” “death,” and “contagious.” There were significant increases in rates of participants identifying vaccination and antibiotics as cures for influenza.\n\nConclusions:\nCHW-led workshops can be an effective way to increase knowledge about influenza and influenza vaccine. Future curriculum should emphasize the difference between viruses and bacteria, and the use of vaccination for prevention as opposed to treatment for illness.","container-title":"Journal of Primary Care &amp; Community Health","DOI":"10.1177/21501327211055627","ISSN":"2150-1319","journalAbbreviation":"J Prim Care Community Health","note":"PMID: 34814785\nPMCID: PMC8640325","page":"21501327211055627","source":"PubMed Central","title":"A Multicomponent Health Education Campaign Led by Community Health Workers to Increase Influenza Vaccination among Migrants and Refugees","volume":"12","author":[{"family":"Ponce-Gonzalez","given":"Ileana Maria"},{"family":"Perez","given":"Kathleen"},{"family":"Cheadle","given":"Allen D."},{"family":"Jade","given":"Morgan"},{"family":"Iverson","given":"Barry"},{"family":"Parchman","given":"Michael Leo"}],"issued":{"date-parts":[["2021",11,23]]}}}],"schema":"https://github.com/citation-style-language/schema/raw/master/csl-citation.json"} </w:instrText>
            </w:r>
            <w:r>
              <w:rPr>
                <w:i/>
                <w:sz w:val="14"/>
                <w:szCs w:val="14"/>
              </w:rPr>
              <w:fldChar w:fldCharType="separate"/>
            </w:r>
            <w:r w:rsidRPr="0086135B">
              <w:rPr>
                <w:sz w:val="14"/>
              </w:rPr>
              <w:t>(56)</w:t>
            </w:r>
            <w:r>
              <w:rPr>
                <w:i/>
                <w:sz w:val="14"/>
                <w:szCs w:val="14"/>
              </w:rPr>
              <w:fldChar w:fldCharType="end"/>
            </w:r>
          </w:p>
        </w:tc>
        <w:tc>
          <w:tcPr>
            <w:tcW w:w="1170" w:type="dxa"/>
            <w:tcBorders>
              <w:top w:val="single" w:sz="6" w:space="0" w:color="969696"/>
              <w:left w:val="nil"/>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nil"/>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nil"/>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530" w:type="dxa"/>
            <w:tcBorders>
              <w:top w:val="single" w:sz="6" w:space="0" w:color="969696"/>
              <w:left w:val="nil"/>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nil"/>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nil"/>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260" w:type="dxa"/>
            <w:tcBorders>
              <w:top w:val="single" w:sz="6" w:space="0" w:color="969696"/>
              <w:left w:val="nil"/>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2970" w:type="dxa"/>
            <w:tcBorders>
              <w:top w:val="single" w:sz="6" w:space="0" w:color="969696"/>
              <w:left w:val="nil"/>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Pre- and post-workshop surveys.</w:t>
            </w:r>
          </w:p>
        </w:tc>
      </w:tr>
      <w:tr w:rsidR="00D34CC9" w:rsidTr="005964B4">
        <w:trPr>
          <w:trHeight w:val="125"/>
        </w:trPr>
        <w:tc>
          <w:tcPr>
            <w:tcW w:w="13130" w:type="dxa"/>
            <w:gridSpan w:val="9"/>
            <w:tcBorders>
              <w:top w:val="single" w:sz="6" w:space="0" w:color="969696"/>
              <w:left w:val="single" w:sz="6" w:space="0" w:color="969696"/>
              <w:bottom w:val="single" w:sz="6" w:space="0" w:color="969696"/>
              <w:right w:val="single" w:sz="6" w:space="0" w:color="969696"/>
            </w:tcBorders>
            <w:shd w:val="clear" w:color="auto" w:fill="F3F3F3"/>
            <w:tcMar>
              <w:top w:w="40" w:type="dxa"/>
              <w:left w:w="40" w:type="dxa"/>
              <w:bottom w:w="40" w:type="dxa"/>
              <w:right w:w="40" w:type="dxa"/>
            </w:tcMar>
          </w:tcPr>
          <w:p w:rsidR="00D34CC9" w:rsidRDefault="00D34CC9" w:rsidP="005964B4">
            <w:pPr>
              <w:jc w:val="center"/>
              <w:rPr>
                <w:sz w:val="16"/>
                <w:szCs w:val="16"/>
              </w:rPr>
            </w:pPr>
            <w:r>
              <w:rPr>
                <w:b/>
                <w:sz w:val="16"/>
                <w:szCs w:val="16"/>
              </w:rPr>
              <w:t>Quantitative Descriptive Studies</w:t>
            </w:r>
          </w:p>
        </w:tc>
      </w:tr>
      <w:tr w:rsidR="00D34CC9" w:rsidTr="005964B4">
        <w:trPr>
          <w:trHeight w:val="624"/>
        </w:trPr>
        <w:tc>
          <w:tcPr>
            <w:tcW w:w="800" w:type="dxa"/>
            <w:shd w:val="clear" w:color="auto" w:fill="BFBFBF" w:themeFill="background1" w:themeFillShade="BF"/>
            <w:tcMar>
              <w:top w:w="100" w:type="dxa"/>
              <w:left w:w="100" w:type="dxa"/>
              <w:bottom w:w="100" w:type="dxa"/>
              <w:right w:w="100" w:type="dxa"/>
            </w:tcMar>
          </w:tcPr>
          <w:p w:rsidR="00D34CC9" w:rsidRDefault="00D34CC9" w:rsidP="005964B4">
            <w:pPr>
              <w:widowControl w:val="0"/>
              <w:spacing w:line="240" w:lineRule="auto"/>
              <w:rPr>
                <w:b/>
                <w:sz w:val="14"/>
                <w:szCs w:val="14"/>
              </w:rPr>
            </w:pPr>
            <w:r>
              <w:rPr>
                <w:b/>
                <w:sz w:val="14"/>
                <w:szCs w:val="14"/>
              </w:rPr>
              <w:t>Study</w:t>
            </w:r>
          </w:p>
        </w:tc>
        <w:tc>
          <w:tcPr>
            <w:tcW w:w="1170" w:type="dxa"/>
            <w:shd w:val="clear" w:color="auto" w:fill="BFBFBF" w:themeFill="background1" w:themeFillShade="BF"/>
            <w:tcMar>
              <w:top w:w="100" w:type="dxa"/>
              <w:left w:w="100" w:type="dxa"/>
              <w:bottom w:w="100" w:type="dxa"/>
              <w:right w:w="100" w:type="dxa"/>
            </w:tcMar>
          </w:tcPr>
          <w:p w:rsidR="00D34CC9" w:rsidRDefault="00D34CC9" w:rsidP="005964B4">
            <w:pPr>
              <w:widowControl w:val="0"/>
              <w:spacing w:line="240" w:lineRule="auto"/>
              <w:rPr>
                <w:b/>
                <w:sz w:val="14"/>
                <w:szCs w:val="14"/>
              </w:rPr>
            </w:pPr>
            <w:r>
              <w:rPr>
                <w:b/>
                <w:sz w:val="14"/>
                <w:szCs w:val="14"/>
              </w:rPr>
              <w:t xml:space="preserve">Screening Question-S1. Are there clear research questions? </w:t>
            </w:r>
          </w:p>
        </w:tc>
        <w:tc>
          <w:tcPr>
            <w:tcW w:w="1350" w:type="dxa"/>
            <w:shd w:val="clear" w:color="auto" w:fill="BFBFBF" w:themeFill="background1" w:themeFillShade="BF"/>
            <w:tcMar>
              <w:top w:w="100" w:type="dxa"/>
              <w:left w:w="100" w:type="dxa"/>
              <w:bottom w:w="100" w:type="dxa"/>
              <w:right w:w="100" w:type="dxa"/>
            </w:tcMar>
          </w:tcPr>
          <w:p w:rsidR="00D34CC9" w:rsidRDefault="00D34CC9" w:rsidP="005964B4">
            <w:pPr>
              <w:widowControl w:val="0"/>
              <w:spacing w:line="240" w:lineRule="auto"/>
              <w:rPr>
                <w:b/>
                <w:sz w:val="14"/>
                <w:szCs w:val="14"/>
              </w:rPr>
            </w:pPr>
            <w:r>
              <w:rPr>
                <w:b/>
                <w:sz w:val="14"/>
                <w:szCs w:val="14"/>
              </w:rPr>
              <w:t xml:space="preserve">Screening Question-S2. Do the collected data allow to address the research questions? </w:t>
            </w:r>
          </w:p>
        </w:tc>
        <w:tc>
          <w:tcPr>
            <w:tcW w:w="1350" w:type="dxa"/>
            <w:tcBorders>
              <w:top w:val="single" w:sz="6" w:space="0" w:color="969696"/>
              <w:left w:val="single" w:sz="6" w:space="0" w:color="969696"/>
              <w:bottom w:val="single" w:sz="6" w:space="0" w:color="969696"/>
              <w:right w:val="single" w:sz="6" w:space="0" w:color="969696"/>
            </w:tcBorders>
            <w:shd w:val="clear" w:color="auto" w:fill="BFBFBF" w:themeFill="background1" w:themeFillShade="BF"/>
            <w:tcMar>
              <w:top w:w="40" w:type="dxa"/>
              <w:left w:w="40" w:type="dxa"/>
              <w:bottom w:w="40" w:type="dxa"/>
              <w:right w:w="40" w:type="dxa"/>
            </w:tcMar>
          </w:tcPr>
          <w:p w:rsidR="00D34CC9" w:rsidRDefault="00D34CC9" w:rsidP="005964B4">
            <w:pPr>
              <w:widowControl w:val="0"/>
              <w:spacing w:line="240" w:lineRule="auto"/>
              <w:rPr>
                <w:b/>
                <w:sz w:val="14"/>
                <w:szCs w:val="14"/>
              </w:rPr>
            </w:pPr>
            <w:r>
              <w:rPr>
                <w:b/>
                <w:sz w:val="14"/>
                <w:szCs w:val="14"/>
              </w:rPr>
              <w:t>4. Quantitative Descriptive Studies-4.1. Is the sampling strategy relevant to address the research question?</w:t>
            </w:r>
          </w:p>
        </w:tc>
        <w:tc>
          <w:tcPr>
            <w:tcW w:w="1530" w:type="dxa"/>
            <w:tcBorders>
              <w:top w:val="single" w:sz="6" w:space="0" w:color="969696"/>
              <w:left w:val="single" w:sz="6" w:space="0" w:color="969696"/>
              <w:bottom w:val="single" w:sz="6" w:space="0" w:color="969696"/>
              <w:right w:val="single" w:sz="6" w:space="0" w:color="969696"/>
            </w:tcBorders>
            <w:shd w:val="clear" w:color="auto" w:fill="BFBFBF" w:themeFill="background1" w:themeFillShade="BF"/>
            <w:tcMar>
              <w:top w:w="40" w:type="dxa"/>
              <w:left w:w="40" w:type="dxa"/>
              <w:bottom w:w="40" w:type="dxa"/>
              <w:right w:w="40" w:type="dxa"/>
            </w:tcMar>
          </w:tcPr>
          <w:p w:rsidR="00D34CC9" w:rsidRDefault="00D34CC9" w:rsidP="005964B4">
            <w:pPr>
              <w:widowControl w:val="0"/>
              <w:spacing w:line="240" w:lineRule="auto"/>
              <w:rPr>
                <w:b/>
                <w:sz w:val="14"/>
                <w:szCs w:val="14"/>
              </w:rPr>
            </w:pPr>
            <w:r>
              <w:rPr>
                <w:b/>
                <w:sz w:val="14"/>
                <w:szCs w:val="14"/>
              </w:rPr>
              <w:t>4. Quantitative Descriptive Studies-4.2. Is the sample representative of the target population?</w:t>
            </w:r>
          </w:p>
        </w:tc>
        <w:tc>
          <w:tcPr>
            <w:tcW w:w="1350" w:type="dxa"/>
            <w:tcBorders>
              <w:top w:val="single" w:sz="6" w:space="0" w:color="969696"/>
              <w:left w:val="single" w:sz="6" w:space="0" w:color="969696"/>
              <w:bottom w:val="single" w:sz="6" w:space="0" w:color="969696"/>
              <w:right w:val="single" w:sz="6" w:space="0" w:color="969696"/>
            </w:tcBorders>
            <w:shd w:val="clear" w:color="auto" w:fill="BFBFBF" w:themeFill="background1" w:themeFillShade="BF"/>
            <w:tcMar>
              <w:top w:w="40" w:type="dxa"/>
              <w:left w:w="40" w:type="dxa"/>
              <w:bottom w:w="40" w:type="dxa"/>
              <w:right w:w="40" w:type="dxa"/>
            </w:tcMar>
          </w:tcPr>
          <w:p w:rsidR="00D34CC9" w:rsidRDefault="00D34CC9" w:rsidP="005964B4">
            <w:pPr>
              <w:widowControl w:val="0"/>
              <w:spacing w:line="240" w:lineRule="auto"/>
              <w:rPr>
                <w:b/>
                <w:sz w:val="14"/>
                <w:szCs w:val="14"/>
              </w:rPr>
            </w:pPr>
            <w:r>
              <w:rPr>
                <w:b/>
                <w:sz w:val="14"/>
                <w:szCs w:val="14"/>
              </w:rPr>
              <w:t>4. Quantitative Descriptive Studies-4.3. Are the measurements appropriate?</w:t>
            </w:r>
          </w:p>
        </w:tc>
        <w:tc>
          <w:tcPr>
            <w:tcW w:w="1350" w:type="dxa"/>
            <w:tcBorders>
              <w:top w:val="single" w:sz="6" w:space="0" w:color="969696"/>
              <w:left w:val="single" w:sz="6" w:space="0" w:color="969696"/>
              <w:bottom w:val="single" w:sz="6" w:space="0" w:color="969696"/>
              <w:right w:val="single" w:sz="6" w:space="0" w:color="969696"/>
            </w:tcBorders>
            <w:shd w:val="clear" w:color="auto" w:fill="BFBFBF" w:themeFill="background1" w:themeFillShade="BF"/>
            <w:tcMar>
              <w:top w:w="40" w:type="dxa"/>
              <w:left w:w="40" w:type="dxa"/>
              <w:bottom w:w="40" w:type="dxa"/>
              <w:right w:w="40" w:type="dxa"/>
            </w:tcMar>
          </w:tcPr>
          <w:p w:rsidR="00D34CC9" w:rsidRDefault="00D34CC9" w:rsidP="005964B4">
            <w:pPr>
              <w:widowControl w:val="0"/>
              <w:spacing w:line="240" w:lineRule="auto"/>
              <w:rPr>
                <w:b/>
                <w:sz w:val="14"/>
                <w:szCs w:val="14"/>
              </w:rPr>
            </w:pPr>
            <w:r>
              <w:rPr>
                <w:b/>
                <w:sz w:val="14"/>
                <w:szCs w:val="14"/>
              </w:rPr>
              <w:t>4. Quantitative Descriptive Studies-4.4. Is the risk of nonresponse bias low?</w:t>
            </w:r>
          </w:p>
        </w:tc>
        <w:tc>
          <w:tcPr>
            <w:tcW w:w="1260" w:type="dxa"/>
            <w:tcBorders>
              <w:top w:val="single" w:sz="6" w:space="0" w:color="969696"/>
              <w:left w:val="single" w:sz="6" w:space="0" w:color="969696"/>
              <w:bottom w:val="single" w:sz="6" w:space="0" w:color="969696"/>
              <w:right w:val="single" w:sz="6" w:space="0" w:color="969696"/>
            </w:tcBorders>
            <w:shd w:val="clear" w:color="auto" w:fill="BFBFBF" w:themeFill="background1" w:themeFillShade="BF"/>
            <w:tcMar>
              <w:top w:w="40" w:type="dxa"/>
              <w:left w:w="40" w:type="dxa"/>
              <w:bottom w:w="40" w:type="dxa"/>
              <w:right w:w="40" w:type="dxa"/>
            </w:tcMar>
          </w:tcPr>
          <w:p w:rsidR="00D34CC9" w:rsidRDefault="00D34CC9" w:rsidP="005964B4">
            <w:pPr>
              <w:widowControl w:val="0"/>
              <w:spacing w:line="240" w:lineRule="auto"/>
              <w:rPr>
                <w:b/>
                <w:sz w:val="14"/>
                <w:szCs w:val="14"/>
              </w:rPr>
            </w:pPr>
            <w:r>
              <w:rPr>
                <w:b/>
                <w:sz w:val="14"/>
                <w:szCs w:val="14"/>
              </w:rPr>
              <w:t>4. Quantitative Descriptive Studies-4.5. Is the statistical analysis appropriate to answer the research question?</w:t>
            </w:r>
          </w:p>
        </w:tc>
        <w:tc>
          <w:tcPr>
            <w:tcW w:w="2970" w:type="dxa"/>
            <w:tcBorders>
              <w:top w:val="single" w:sz="6" w:space="0" w:color="969696"/>
              <w:left w:val="single" w:sz="6" w:space="0" w:color="969696"/>
              <w:bottom w:val="single" w:sz="6" w:space="0" w:color="969696"/>
              <w:right w:val="single" w:sz="6" w:space="0" w:color="969696"/>
            </w:tcBorders>
            <w:shd w:val="clear" w:color="auto" w:fill="BFBFBF" w:themeFill="background1" w:themeFillShade="BF"/>
            <w:tcMar>
              <w:top w:w="40" w:type="dxa"/>
              <w:left w:w="40" w:type="dxa"/>
              <w:bottom w:w="40" w:type="dxa"/>
              <w:right w:w="40" w:type="dxa"/>
            </w:tcMar>
          </w:tcPr>
          <w:p w:rsidR="00D34CC9" w:rsidRDefault="00D34CC9" w:rsidP="005964B4">
            <w:pPr>
              <w:widowControl w:val="0"/>
              <w:spacing w:line="240" w:lineRule="auto"/>
              <w:rPr>
                <w:b/>
                <w:sz w:val="14"/>
                <w:szCs w:val="14"/>
              </w:rPr>
            </w:pPr>
            <w:r>
              <w:rPr>
                <w:b/>
                <w:sz w:val="14"/>
                <w:szCs w:val="14"/>
              </w:rPr>
              <w:t>Comments</w:t>
            </w:r>
          </w:p>
        </w:tc>
      </w:tr>
      <w:tr w:rsidR="00D34CC9" w:rsidTr="005964B4">
        <w:trPr>
          <w:trHeight w:val="250"/>
        </w:trPr>
        <w:tc>
          <w:tcPr>
            <w:tcW w:w="13130" w:type="dxa"/>
            <w:gridSpan w:val="9"/>
            <w:tcBorders>
              <w:top w:val="single" w:sz="6" w:space="0" w:color="969696"/>
              <w:left w:val="single" w:sz="6" w:space="0" w:color="969696"/>
              <w:bottom w:val="single" w:sz="6" w:space="0" w:color="969696"/>
              <w:right w:val="single" w:sz="6" w:space="0" w:color="969696"/>
            </w:tcBorders>
            <w:shd w:val="clear" w:color="auto" w:fill="F3F3F3"/>
            <w:tcMar>
              <w:top w:w="40" w:type="dxa"/>
              <w:left w:w="40" w:type="dxa"/>
              <w:bottom w:w="40" w:type="dxa"/>
              <w:right w:w="40" w:type="dxa"/>
            </w:tcMar>
          </w:tcPr>
          <w:p w:rsidR="00D34CC9" w:rsidRDefault="00D34CC9" w:rsidP="005964B4">
            <w:pPr>
              <w:widowControl w:val="0"/>
              <w:rPr>
                <w:b/>
                <w:sz w:val="16"/>
                <w:szCs w:val="16"/>
              </w:rPr>
            </w:pPr>
            <w:r>
              <w:rPr>
                <w:b/>
                <w:sz w:val="16"/>
                <w:szCs w:val="16"/>
              </w:rPr>
              <w:t>COVID-19 Vaccine</w:t>
            </w:r>
          </w:p>
        </w:tc>
      </w:tr>
      <w:tr w:rsidR="00D34CC9" w:rsidTr="005964B4">
        <w:trPr>
          <w:trHeight w:val="624"/>
        </w:trPr>
        <w:tc>
          <w:tcPr>
            <w:tcW w:w="80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proofErr w:type="spellStart"/>
            <w:r>
              <w:rPr>
                <w:i/>
                <w:sz w:val="14"/>
                <w:szCs w:val="14"/>
              </w:rPr>
              <w:t>Lohr</w:t>
            </w:r>
            <w:proofErr w:type="spellEnd"/>
            <w:r>
              <w:rPr>
                <w:i/>
                <w:sz w:val="14"/>
                <w:szCs w:val="14"/>
              </w:rPr>
              <w:t xml:space="preserve"> et al., 2023 </w:t>
            </w:r>
            <w:r>
              <w:rPr>
                <w:i/>
                <w:sz w:val="14"/>
                <w:szCs w:val="14"/>
              </w:rPr>
              <w:fldChar w:fldCharType="begin"/>
            </w:r>
            <w:r>
              <w:rPr>
                <w:i/>
                <w:sz w:val="14"/>
                <w:szCs w:val="14"/>
              </w:rPr>
              <w:instrText xml:space="preserve"> ADDIN ZOTERO_ITEM CSL_CITATION {"citationID":"lhkk45qL","properties":{"formattedCitation":"(28)","plainCitation":"(28)","noteIndex":0},"citationItems":[{"id":282,"uris":["http://zotero.org/groups/4911489/items/HX974G3U"],"itemData":{"id":282,"type":"article-journal","abstract":"BACKGROUND: Im/migrants (immigrants and migrants, including refugees, asylum seekers, and individuals without legal documentation) experience unique assets and needs in relation to coronavirus disease 2019 (COVID-19). Community-based participatory research (CBPR) is one way to engage im/migrant communities. Rochester Healthy Community Partnership (RHCP) is a CBPR partnership in Rochester, Minnesota. RHCP partners noted that credible COVID-19 information was not available to their communities. In response, RHCP formed a COVID-19 Task Force and adapted the Centers for Disease Control and Prevention's Crisis and Emergency Risk Communication (CERC) framework to create an intervention that prioritized im/migrant groups experiencing health disparities. In the CERC intervention, communication leaders delivered COVID-19 health messages to their social networks and documented related concerns. RHCP relayed these concerns to regional leaders to ensure that im/migrant experiences were included in decision making. Once vaccines were available, RHCP continued to deploy the CERC intervention to promote vaccination equity. The aims of this paper are to (1) describe the implementation of a bidirectional CERC intervention for vaccination equity, and (2) describe a community-engaged and community-based vaccine clinic intervention.\nMETHODS: First, we surveyed participants (n = 37) to assess COVID-19 experiences, acceptability of the CERC intervention, and motivation to receive a COVID-19 vaccination. Second, we collaborated with community partners to hold vaccine clinics. We report descriptive statistics from each intervention.\nRESULTS: When asked about the acceptability of the CERC intervention for vaccine equity, most participants either reported that they 'really liked it' or 'thought it was just ok'. Most participants stated that they would recommend the program to family or friends who have not yet received the COVID-19 vaccine. Almost all participants reported that they felt 'much more' or 'somewhat more' motivated to receive a COVID-19 vaccine after the intervention. We administered 1158 vaccines at the vaccination clinics.\nCONCLUSIONS: We found that participants viewed the CERC intervention for vaccination equity as an acceptable way to disseminate COVID-19-related information. Nearly all participants reported that the intervention convinced them to receive a COVID-19 vaccine. In our experience, community-engaged and community-based clinics are a successful way to administer vaccines to im/migrant communities during a pandemic.","container-title":"BMC public health","DOI":"10.1186/s12889-023-16410-3","ISSN":"1471-2458","issue":"1","journalAbbreviation":"BMC Public Health","language":"eng","note":"PMID: 37558981\nPMCID: PMC10413496","page":"1517","source":"PubMed","title":"Addressing COVID-19 inequities using bidirectional crisis and emergency risk communication and vaccine clinic interventions: a descriptive study","title-short":"Addressing COVID-19 inequities using bidirectional crisis and emergency risk communication and vaccine clinic interventions","volume":"23","author":[{"family":"Lohr","given":"Abby M."},{"family":"Neumbo","given":"Kelao Charmaine"},{"family":"Njeru","given":"Jane W."},{"family":"Molina","given":"Luz"},{"family":"Hasley","given":"Rachel"},{"family":"Ahmed","given":"Yahye"},{"family":"Quirindongo-Cedeno","given":"Onelis"},{"family":"Torres-Herbeck","given":"Gloria A."},{"family":"Goodson","given":"Miriam L."},{"family":"Osman","given":"Ahmed"},{"family":"Weis","given":"Jenny A."},{"family":"Wieland","given":"Mark L."},{"family":"Sia","given":"Irene G."}],"issued":{"date-parts":[["2023",8,10]]}}}],"schema":"https://github.com/citation-style-language/schema/raw/master/csl-citation.json"} </w:instrText>
            </w:r>
            <w:r>
              <w:rPr>
                <w:i/>
                <w:sz w:val="14"/>
                <w:szCs w:val="14"/>
              </w:rPr>
              <w:fldChar w:fldCharType="separate"/>
            </w:r>
            <w:r w:rsidRPr="0049392E">
              <w:rPr>
                <w:sz w:val="14"/>
              </w:rPr>
              <w:t>(28)</w:t>
            </w:r>
            <w:r>
              <w:rPr>
                <w:i/>
                <w:sz w:val="14"/>
                <w:szCs w:val="14"/>
              </w:rPr>
              <w:fldChar w:fldCharType="end"/>
            </w:r>
          </w:p>
        </w:tc>
        <w:tc>
          <w:tcPr>
            <w:tcW w:w="11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53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26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2970" w:type="dxa"/>
            <w:shd w:val="clear" w:color="auto" w:fill="auto"/>
            <w:tcMar>
              <w:top w:w="100" w:type="dxa"/>
              <w:left w:w="100" w:type="dxa"/>
              <w:bottom w:w="100" w:type="dxa"/>
              <w:right w:w="100" w:type="dxa"/>
            </w:tcMar>
          </w:tcPr>
          <w:p w:rsidR="00D34CC9" w:rsidRDefault="00D34CC9" w:rsidP="005964B4">
            <w:pPr>
              <w:widowControl w:val="0"/>
              <w:spacing w:line="240" w:lineRule="auto"/>
              <w:rPr>
                <w:i/>
                <w:sz w:val="14"/>
                <w:szCs w:val="14"/>
                <w:highlight w:val="white"/>
              </w:rPr>
            </w:pPr>
            <w:r>
              <w:rPr>
                <w:i/>
                <w:sz w:val="14"/>
                <w:szCs w:val="14"/>
              </w:rPr>
              <w:t>Descriptive study but includes quantitative evaluation with claim of intervention success; general research question to describe intervention; unclear why specific methods were used.</w:t>
            </w:r>
          </w:p>
        </w:tc>
      </w:tr>
      <w:tr w:rsidR="00D34CC9" w:rsidTr="005964B4">
        <w:trPr>
          <w:trHeight w:val="624"/>
        </w:trPr>
        <w:tc>
          <w:tcPr>
            <w:tcW w:w="80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lastRenderedPageBreak/>
              <w:t xml:space="preserve">Malone et al., 2022 </w:t>
            </w:r>
            <w:r>
              <w:rPr>
                <w:i/>
                <w:sz w:val="14"/>
                <w:szCs w:val="14"/>
              </w:rPr>
              <w:fldChar w:fldCharType="begin"/>
            </w:r>
            <w:r>
              <w:rPr>
                <w:i/>
                <w:sz w:val="14"/>
                <w:szCs w:val="14"/>
              </w:rPr>
              <w:instrText xml:space="preserve"> ADDIN ZOTERO_ITEM CSL_CITATION {"citationID":"1DRQxI0T","properties":{"formattedCitation":"(29)","plainCitation":"(29)","noteIndex":0},"citationItems":[{"id":284,"uris":["http://zotero.org/groups/4911489/items/7IKSGV8R"],"itemData":{"id":284,"type":"article-journal","abstract":"Refugee and immigrant populations are extremely vulnerable to the consequences of the COVID-19 pandemic. COVID-19 vaccination is a critical tool in mitigating these consequences, but these same communities often lack access to COVID-19 vaccines. We describe the efforts of a community-based primary care clinic in Clarkston, Georgia to provide access to COVID-19 vaccines in a culturally sensitive manner to address this health disparity and vaccine hesitancy.","container-title":"American Journal of Public Health","DOI":"10.2105/AJPH.2021.306608","ISSN":"1541-0048","issue":"3","journalAbbreviation":"Am J Public Health","language":"eng","note":"PMID: 35196045\nPMCID: PMC8887164","page":"393-396","source":"PubMed","title":"COVID-19 Vaccine Distribution in a Community With Large Numbers of Immigrants and Refugees","volume":"112","author":[{"family":"Malone","given":"Brett"},{"family":"Kim","given":"Esther"},{"family":"Jennings","given":"Rachel"},{"family":"Pacheco","given":"Rainer A."},{"family":"Kieu","given":"Alex"}],"issued":{"date-parts":[["2022",3]]}}}],"schema":"https://github.com/citation-style-language/schema/raw/master/csl-citation.json"} </w:instrText>
            </w:r>
            <w:r>
              <w:rPr>
                <w:i/>
                <w:sz w:val="14"/>
                <w:szCs w:val="14"/>
              </w:rPr>
              <w:fldChar w:fldCharType="separate"/>
            </w:r>
            <w:r w:rsidRPr="0086135B">
              <w:rPr>
                <w:sz w:val="14"/>
              </w:rPr>
              <w:t>(29)</w:t>
            </w:r>
            <w:r>
              <w:rPr>
                <w:i/>
                <w:sz w:val="14"/>
                <w:szCs w:val="14"/>
              </w:rPr>
              <w:fldChar w:fldCharType="end"/>
            </w:r>
          </w:p>
        </w:tc>
        <w:tc>
          <w:tcPr>
            <w:tcW w:w="11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53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26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2970" w:type="dxa"/>
            <w:shd w:val="clear" w:color="auto" w:fill="auto"/>
            <w:tcMar>
              <w:top w:w="100" w:type="dxa"/>
              <w:left w:w="100" w:type="dxa"/>
              <w:bottom w:w="100" w:type="dxa"/>
              <w:right w:w="100" w:type="dxa"/>
            </w:tcMar>
          </w:tcPr>
          <w:p w:rsidR="00D34CC9" w:rsidRDefault="00D34CC9" w:rsidP="005964B4">
            <w:pPr>
              <w:widowControl w:val="0"/>
              <w:spacing w:line="240" w:lineRule="auto"/>
              <w:rPr>
                <w:i/>
                <w:sz w:val="14"/>
                <w:szCs w:val="14"/>
              </w:rPr>
            </w:pPr>
            <w:r>
              <w:rPr>
                <w:i/>
                <w:sz w:val="14"/>
                <w:szCs w:val="14"/>
              </w:rPr>
              <w:t>Although target population for intervention was immigrants and refugees, demographic data only collected race/ethnicity data; short case presentation.</w:t>
            </w:r>
          </w:p>
        </w:tc>
      </w:tr>
      <w:tr w:rsidR="00D34CC9" w:rsidTr="005964B4">
        <w:trPr>
          <w:trHeight w:val="624"/>
        </w:trPr>
        <w:tc>
          <w:tcPr>
            <w:tcW w:w="80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proofErr w:type="spellStart"/>
            <w:r>
              <w:rPr>
                <w:i/>
                <w:sz w:val="14"/>
                <w:szCs w:val="14"/>
              </w:rPr>
              <w:t>Morisod</w:t>
            </w:r>
            <w:proofErr w:type="spellEnd"/>
            <w:r>
              <w:rPr>
                <w:i/>
                <w:sz w:val="14"/>
                <w:szCs w:val="14"/>
              </w:rPr>
              <w:t xml:space="preserve"> et al., 2023 </w:t>
            </w:r>
            <w:r>
              <w:rPr>
                <w:i/>
                <w:sz w:val="14"/>
                <w:szCs w:val="14"/>
              </w:rPr>
              <w:fldChar w:fldCharType="begin"/>
            </w:r>
            <w:r>
              <w:rPr>
                <w:i/>
                <w:sz w:val="14"/>
                <w:szCs w:val="14"/>
              </w:rPr>
              <w:instrText xml:space="preserve"> ADDIN ZOTERO_ITEM CSL_CITATION {"citationID":"zIR9kvYQ","properties":{"formattedCitation":"(38)","plainCitation":"(38)","noteIndex":0},"citationItems":[{"id":325,"uris":["http://zotero.org/groups/4911489/items/SWP7N54S"],"itemData":{"id":325,"type":"article-journal","abstract":"The COVID-19 pandemic highlighted health inequities for vulnerable populations and the need for more equitable care and access to vaccination. This article described the implementation of a COVID-19 vaccination program for undocumented migrants in a regional academic center of general medicine and public health (Unisanté). The vaccination program's specific components included: triple coordination between the health authorities, the regional center and community partners, a walk-in and free service, no health insurance required, qualified nursing and administrative staff with previous experience with vulnerable populations, translated information materials and interpreters, a guarantee of confidentiality and a widespread communication campaign within the communities. In total, 2'351 undocumented migrants from 97 nationalities received at least one dose of mRNA COVID-19 vaccine (Spikevax) and 2242 were considered fully vaccinated. Although it was hard to assess its global effectiveness, the program vaccinated a significant number of undocumented adult migrants in the Canton of Vaud. The difficulties linked to the pandemic context, the heavy workload for healthcare staff and the limited resources were overcome by strong collaborations between the different actors involved throughout the program. Targeted public health policies, such as vaccination programs for undocumented migrants, are essential to guarantee equitable care, especially in pandemic times.","container-title":"Journal of Immigrant and Minority Health","DOI":"10.1007/s10903-023-01479-0","ISSN":"1557-1920","issue":"4","journalAbbreviation":"J Immigr Minor Health","language":"eng","note":"PMID: 37079242\nPMCID: PMC10116085","page":"953-957","source":"PubMed","title":"COVID-19 Vaccination Program for Undocumented Migrants: Notes from the Field of a Regional Center of General Medicine and Public Health, Canton of Vaud, Switzerland","title-short":"COVID-19 Vaccination Program for Undocumented Migrants","volume":"25","author":[{"family":"Morisod","given":"Kevin"},{"family":"Nikles","given":"Justin"},{"family":"Miauton","given":"Alix"},{"family":"Maussang","given":"Laurence Bouche"},{"family":"Vermeulen","given":"Brigitte Pahud"},{"family":"Bodenmann","given":"Patrick"}],"issued":{"date-parts":[["2023",8]]}}}],"schema":"https://github.com/citation-style-language/schema/raw/master/csl-citation.json"} </w:instrText>
            </w:r>
            <w:r>
              <w:rPr>
                <w:i/>
                <w:sz w:val="14"/>
                <w:szCs w:val="14"/>
              </w:rPr>
              <w:fldChar w:fldCharType="separate"/>
            </w:r>
            <w:r w:rsidRPr="0086135B">
              <w:rPr>
                <w:sz w:val="14"/>
              </w:rPr>
              <w:t>(38)</w:t>
            </w:r>
            <w:r>
              <w:rPr>
                <w:i/>
                <w:sz w:val="14"/>
                <w:szCs w:val="14"/>
              </w:rPr>
              <w:fldChar w:fldCharType="end"/>
            </w:r>
          </w:p>
        </w:tc>
        <w:tc>
          <w:tcPr>
            <w:tcW w:w="11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53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26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2970" w:type="dxa"/>
            <w:shd w:val="clear" w:color="auto" w:fill="auto"/>
            <w:tcMar>
              <w:top w:w="100" w:type="dxa"/>
              <w:left w:w="100" w:type="dxa"/>
              <w:bottom w:w="100" w:type="dxa"/>
              <w:right w:w="100" w:type="dxa"/>
            </w:tcMar>
          </w:tcPr>
          <w:p w:rsidR="00D34CC9" w:rsidRDefault="00D34CC9" w:rsidP="005964B4">
            <w:pPr>
              <w:widowControl w:val="0"/>
              <w:spacing w:line="240" w:lineRule="auto"/>
              <w:rPr>
                <w:i/>
                <w:sz w:val="14"/>
                <w:szCs w:val="14"/>
              </w:rPr>
            </w:pPr>
            <w:r>
              <w:rPr>
                <w:i/>
                <w:sz w:val="14"/>
                <w:szCs w:val="14"/>
              </w:rPr>
              <w:t>General research question; description of the implementation.</w:t>
            </w:r>
          </w:p>
        </w:tc>
      </w:tr>
      <w:tr w:rsidR="00D34CC9" w:rsidTr="005964B4">
        <w:trPr>
          <w:trHeight w:val="33"/>
        </w:trPr>
        <w:tc>
          <w:tcPr>
            <w:tcW w:w="13130" w:type="dxa"/>
            <w:gridSpan w:val="9"/>
            <w:tcBorders>
              <w:top w:val="single" w:sz="6" w:space="0" w:color="969696"/>
              <w:left w:val="single" w:sz="6" w:space="0" w:color="969696"/>
              <w:bottom w:val="single" w:sz="6" w:space="0" w:color="969696"/>
            </w:tcBorders>
            <w:shd w:val="clear" w:color="auto" w:fill="F2F2F2" w:themeFill="background1" w:themeFillShade="F2"/>
            <w:tcMar>
              <w:top w:w="40" w:type="dxa"/>
              <w:left w:w="40" w:type="dxa"/>
              <w:bottom w:w="40" w:type="dxa"/>
              <w:right w:w="40" w:type="dxa"/>
            </w:tcMar>
          </w:tcPr>
          <w:p w:rsidR="00D34CC9" w:rsidRDefault="00D34CC9" w:rsidP="005964B4">
            <w:pPr>
              <w:widowControl w:val="0"/>
              <w:spacing w:line="240" w:lineRule="auto"/>
              <w:rPr>
                <w:i/>
                <w:sz w:val="14"/>
                <w:szCs w:val="14"/>
                <w:highlight w:val="white"/>
              </w:rPr>
            </w:pPr>
            <w:r>
              <w:rPr>
                <w:b/>
                <w:sz w:val="16"/>
                <w:szCs w:val="16"/>
              </w:rPr>
              <w:t>Other Vaccines</w:t>
            </w:r>
          </w:p>
        </w:tc>
      </w:tr>
      <w:tr w:rsidR="00D34CC9" w:rsidTr="005964B4">
        <w:trPr>
          <w:trHeight w:val="624"/>
        </w:trPr>
        <w:tc>
          <w:tcPr>
            <w:tcW w:w="80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Amani et al., 2021</w:t>
            </w:r>
            <w:r>
              <w:rPr>
                <w:i/>
                <w:sz w:val="14"/>
                <w:szCs w:val="14"/>
              </w:rPr>
              <w:fldChar w:fldCharType="begin"/>
            </w:r>
            <w:r>
              <w:rPr>
                <w:i/>
                <w:sz w:val="14"/>
                <w:szCs w:val="14"/>
              </w:rPr>
              <w:instrText xml:space="preserve"> ADDIN ZOTERO_ITEM CSL_CITATION {"citationID":"wTkxmgww","properties":{"formattedCitation":"(40)","plainCitation":"(40)","noteIndex":0},"citationItems":[{"id":319,"uris":["http://zotero.org/groups/4911489/items/3C9EXI8E"],"itemData":{"id":319,"type":"article-journal","container-title":"International Journal of Tropical Medicine","language":"en","page":"41-46","source":"pesquisa.bvsalud.org","title":"Preventive mass vaccination campaign against meningococcal meningitis in refugee camps of cameroun during the covid-19 pandemic: Vaccination coverage, challenges, best practices and lessons learned","title-short":"Preventive mass vaccination campaign against meningococcal meningitis in refugee camps of cameroun during the covid-19 pandemic","author":[{"family":"Amani","given":"A."},{"family":"Bita","given":"A."},{"family":"Nkwele","given":"I. M."},{"family":"Dairou","given":"I. A."},{"family":"Nangmo","given":"A."},{"family":"Ndongo","given":"M. N."},{"family":"Mbonda","given":"A."},{"family":"Ousmanou","given":"H. I."},{"family":"Ndongo","given":"C. B."}],"issued":{"date-parts":[["2021"]]}}}],"schema":"https://github.com/citation-style-language/schema/raw/master/csl-citation.json"} </w:instrText>
            </w:r>
            <w:r>
              <w:rPr>
                <w:i/>
                <w:sz w:val="14"/>
                <w:szCs w:val="14"/>
              </w:rPr>
              <w:fldChar w:fldCharType="separate"/>
            </w:r>
            <w:r w:rsidRPr="0086135B">
              <w:rPr>
                <w:sz w:val="14"/>
              </w:rPr>
              <w:t>(40)</w:t>
            </w:r>
            <w:r>
              <w:rPr>
                <w:i/>
                <w:sz w:val="14"/>
                <w:szCs w:val="14"/>
              </w:rPr>
              <w:fldChar w:fldCharType="end"/>
            </w:r>
          </w:p>
        </w:tc>
        <w:tc>
          <w:tcPr>
            <w:tcW w:w="11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53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26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2970" w:type="dxa"/>
            <w:shd w:val="clear" w:color="auto" w:fill="auto"/>
            <w:tcMar>
              <w:top w:w="100" w:type="dxa"/>
              <w:left w:w="100" w:type="dxa"/>
              <w:bottom w:w="100" w:type="dxa"/>
              <w:right w:w="100" w:type="dxa"/>
            </w:tcMar>
          </w:tcPr>
          <w:p w:rsidR="00D34CC9" w:rsidRDefault="00D34CC9" w:rsidP="005964B4">
            <w:pPr>
              <w:widowControl w:val="0"/>
              <w:spacing w:line="240" w:lineRule="auto"/>
              <w:rPr>
                <w:i/>
                <w:sz w:val="14"/>
                <w:szCs w:val="14"/>
              </w:rPr>
            </w:pPr>
            <w:r>
              <w:rPr>
                <w:i/>
                <w:sz w:val="14"/>
                <w:szCs w:val="14"/>
                <w:highlight w:val="white"/>
              </w:rPr>
              <w:t>Research question is very general, aiming to describe challenges and lessons of vaccination campaign; methods of capturing lessons learnt are unclear.</w:t>
            </w:r>
          </w:p>
        </w:tc>
      </w:tr>
      <w:tr w:rsidR="00D34CC9" w:rsidTr="005964B4">
        <w:trPr>
          <w:trHeight w:val="624"/>
        </w:trPr>
        <w:tc>
          <w:tcPr>
            <w:tcW w:w="80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Brown et al., 2021</w:t>
            </w:r>
            <w:r>
              <w:rPr>
                <w:i/>
                <w:sz w:val="14"/>
                <w:szCs w:val="14"/>
              </w:rPr>
              <w:fldChar w:fldCharType="begin"/>
            </w:r>
            <w:r>
              <w:rPr>
                <w:i/>
                <w:sz w:val="14"/>
                <w:szCs w:val="14"/>
              </w:rPr>
              <w:instrText xml:space="preserve"> ADDIN ZOTERO_ITEM CSL_CITATION {"citationID":"QzXpJ8m5","properties":{"formattedCitation":"(42)","plainCitation":"(42)","noteIndex":0},"citationItems":[{"id":271,"uris":["http://zotero.org/groups/4911489/items/VCJDSLSV"],"itemData":{"id":271,"type":"article-journal","abstract":"Vulnerable populations such as the uninsured, unemployed, and unhoused face significant morbidity and mortality from influenza but are less likely to receive the annual vaccine and have limited access to medical care. We describe an interprofessional, student-run vaccine outreach program (VOP) in Davidson County, Tennessee that lowers barriers to vaccination through free vaccination events in nontraditional community locations. We provide this framework as a model to expand novel, seasonal, or outbreak-oriented vaccine outreach to resource-poor populations. Demographic data were collected from the patients who received an influenza vaccine between 2015 and 2019 through an optional survey to determine whether these events were reaching unhoused, uninsured, and/or unemployed individuals. Of 1,803 patients, 1,733 (96.1%) completed at least one field of the demographic form. Overall, 481 (27.8%) were individuals without homes or living in temporary housing and 673 (38.8%) were unemployed. Most patients, 1,109 (64.0%), did not have health insurance at any point during the prior two years. With the addition of a nurse practitioner student to VOP leadership, the 2018-2019 VOP reached the most unhoused or temporarily-housed (228, 32.3%), unemployed (313, 18.5%), and disabled (60, 8.5%) patients. The VOP can be adapted to meet community needs, funding, and volunteer interest. The VOP model may be applicable to a SARS-CoV-2 vaccine, especially since the economic impact of COVID-19 has increased unemployment rates and housing instability. Healthcare students serve as an eager, underutilized resource who can be leveraged to disseminate vaccines to individuals with limited access to care.","container-title":"Preventive Medicine","DOI":"10.1016/j.ypmed.2021.106460","ISSN":"1096-0260","journalAbbreviation":"Prev Med","language":"eng","note":"PMID: 33609616\nPMCID: PMC8096696","page":"106460","source":"PubMed","title":"Influenza vaccine community outreach: Leveraging an interprofessional healthcare student workforce to immunize marginalized populations","title-short":"Influenza vaccine community outreach","volume":"147","author":[{"family":"Brown","given":"Sarah H."},{"family":"Fisher","given":"Emilie L."},{"family":"Taylor","given":"Alexandra Q."},{"family":"Neuzil","given":"Kevin E."},{"family":"Trump","given":"Samuel W."},{"family":"Sack","given":"Daniel E."},{"family":"Fricker","given":"Gregory P."},{"family":"Miller","given":"Robert F."}],"issued":{"date-parts":[["2021",6]]}}}],"schema":"https://github.com/citation-style-language/schema/raw/master/csl-citation.json"} </w:instrText>
            </w:r>
            <w:r>
              <w:rPr>
                <w:i/>
                <w:sz w:val="14"/>
                <w:szCs w:val="14"/>
              </w:rPr>
              <w:fldChar w:fldCharType="separate"/>
            </w:r>
            <w:r w:rsidRPr="0086135B">
              <w:rPr>
                <w:sz w:val="14"/>
              </w:rPr>
              <w:t>(42)</w:t>
            </w:r>
            <w:r>
              <w:rPr>
                <w:i/>
                <w:sz w:val="14"/>
                <w:szCs w:val="14"/>
              </w:rPr>
              <w:fldChar w:fldCharType="end"/>
            </w:r>
          </w:p>
        </w:tc>
        <w:tc>
          <w:tcPr>
            <w:tcW w:w="11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53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26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2970" w:type="dxa"/>
            <w:shd w:val="clear" w:color="auto" w:fill="auto"/>
            <w:tcMar>
              <w:top w:w="100" w:type="dxa"/>
              <w:left w:w="100" w:type="dxa"/>
              <w:bottom w:w="100" w:type="dxa"/>
              <w:right w:w="100" w:type="dxa"/>
            </w:tcMar>
          </w:tcPr>
          <w:p w:rsidR="00D34CC9" w:rsidRDefault="00D34CC9" w:rsidP="005964B4">
            <w:pPr>
              <w:widowControl w:val="0"/>
              <w:spacing w:line="240" w:lineRule="auto"/>
              <w:rPr>
                <w:i/>
                <w:sz w:val="14"/>
                <w:szCs w:val="14"/>
                <w:highlight w:val="white"/>
              </w:rPr>
            </w:pPr>
            <w:r>
              <w:rPr>
                <w:i/>
                <w:sz w:val="14"/>
                <w:szCs w:val="14"/>
              </w:rPr>
              <w:t>Research question vague and general.</w:t>
            </w:r>
          </w:p>
        </w:tc>
      </w:tr>
      <w:tr w:rsidR="00D34CC9" w:rsidTr="005964B4">
        <w:trPr>
          <w:trHeight w:val="624"/>
        </w:trPr>
        <w:tc>
          <w:tcPr>
            <w:tcW w:w="80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proofErr w:type="spellStart"/>
            <w:r>
              <w:rPr>
                <w:i/>
                <w:sz w:val="14"/>
                <w:szCs w:val="14"/>
              </w:rPr>
              <w:t>Mellou</w:t>
            </w:r>
            <w:proofErr w:type="spellEnd"/>
            <w:r>
              <w:rPr>
                <w:i/>
                <w:sz w:val="14"/>
                <w:szCs w:val="14"/>
              </w:rPr>
              <w:t xml:space="preserve"> et al., 2019 </w:t>
            </w:r>
            <w:r>
              <w:rPr>
                <w:i/>
                <w:sz w:val="14"/>
                <w:szCs w:val="14"/>
              </w:rPr>
              <w:fldChar w:fldCharType="begin"/>
            </w:r>
            <w:r>
              <w:rPr>
                <w:i/>
                <w:sz w:val="14"/>
                <w:szCs w:val="14"/>
              </w:rPr>
              <w:instrText xml:space="preserve"> ADDIN ZOTERO_ITEM CSL_CITATION {"citationID":"ewmw5ASM","properties":{"formattedCitation":"(50)","plainCitation":"(50)","noteIndex":0},"citationItems":[{"id":323,"uris":["http://zotero.org/groups/4911489/items/G3XL76KG"],"itemData":{"id":323,"type":"article-journal","abstract":"After the 2016 Balkan route border closures, vaccination of refugee children in Greece was mainly performed by non-governmental organisations. Activities varied between camps, resulting in heterogeneity of vaccination coverage (VC). In April 2017, the European programme ‘PHILOS - Emergency health response to refugee crisis’ took over vaccination coordination. Interventions were planned for the first time for refugee children in the community and unaccompanied minors at safe zones. From April 2017–April 2018, 57,615 vaccinations were performed against measles-mumps-rubella (MMR) (21,031), diphtheria-tetanus-pertussis (7,341), poliomyelitis (7,652), pneumococcal disease (5,938), Haemophilus influenzae type b (7,179) and hepatitis B (8,474). In April 2018, the vaccination status of children at camps (reception and identification centres and community facilities such as hostels/hotels were excluded) was recorded and VC for each disease, stratified by dose, nationality and camp size, was calculated. More than 80% of the children received the first MMR dose, with VC dropping to 45% for the second dose. For all other vaccines, VC was &lt; 50% for the first dose in children aged 0–4 years and &lt; 25% for the second dose. Despite challenges, PHILOS improved planning and monitoring of vaccination activities; however, further efforts towards improving VC in refugee children are needed.","container-title":"Eurosurveillance","DOI":"10.2807/1560-7917.ES.2019.24.27.1800326","ISSN":"1025-496X","issue":"27","journalAbbreviation":"Euro Surveill","note":"PMID: 31290391\nPMCID: PMC6628755","page":"1800326","source":"PubMed Central","title":"Increasing childhood vaccination coverage of the refugee and migrant population in Greece through the European programme PHILOS, April 2017 to April 2018","volume":"24","author":[{"family":"Mellou","given":"Kassiani"},{"family":"Silvestros","given":"Chrysovalantis"},{"family":"Saranti-Papasaranti","given":"Eirini"},{"family":"Koustenis","given":"Athanasios"},{"family":"Pavlopoulou","given":"Ioanna D."},{"family":"Georgakopoulou","given":"Theano"},{"family":"Botsi","given":"Chryssoula"},{"family":"Terzidis","given":"Agapios"}],"issued":{"date-parts":[["2019",7,4]]}}}],"schema":"https://github.com/citation-style-language/schema/raw/master/csl-citation.json"} </w:instrText>
            </w:r>
            <w:r>
              <w:rPr>
                <w:i/>
                <w:sz w:val="14"/>
                <w:szCs w:val="14"/>
              </w:rPr>
              <w:fldChar w:fldCharType="separate"/>
            </w:r>
            <w:r w:rsidRPr="0086135B">
              <w:rPr>
                <w:sz w:val="14"/>
              </w:rPr>
              <w:t>(50)</w:t>
            </w:r>
            <w:r>
              <w:rPr>
                <w:i/>
                <w:sz w:val="14"/>
                <w:szCs w:val="14"/>
              </w:rPr>
              <w:fldChar w:fldCharType="end"/>
            </w:r>
          </w:p>
        </w:tc>
        <w:tc>
          <w:tcPr>
            <w:tcW w:w="11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53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26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2970" w:type="dxa"/>
            <w:shd w:val="clear" w:color="auto" w:fill="auto"/>
            <w:tcMar>
              <w:top w:w="100" w:type="dxa"/>
              <w:left w:w="100" w:type="dxa"/>
              <w:bottom w:w="100" w:type="dxa"/>
              <w:right w:w="100" w:type="dxa"/>
            </w:tcMar>
          </w:tcPr>
          <w:p w:rsidR="00D34CC9" w:rsidRDefault="00D34CC9" w:rsidP="005964B4">
            <w:pPr>
              <w:widowControl w:val="0"/>
              <w:spacing w:line="240" w:lineRule="auto"/>
              <w:rPr>
                <w:i/>
                <w:sz w:val="14"/>
                <w:szCs w:val="14"/>
                <w:highlight w:val="white"/>
              </w:rPr>
            </w:pPr>
            <w:r>
              <w:rPr>
                <w:i/>
                <w:sz w:val="14"/>
                <w:szCs w:val="14"/>
              </w:rPr>
              <w:t>General research question, assesses campaign with vaccine coverage; describes program and lessons learnt.</w:t>
            </w:r>
          </w:p>
        </w:tc>
      </w:tr>
      <w:tr w:rsidR="00D34CC9" w:rsidTr="005964B4">
        <w:trPr>
          <w:trHeight w:val="624"/>
        </w:trPr>
        <w:tc>
          <w:tcPr>
            <w:tcW w:w="80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 xml:space="preserve">Mitchell et al., 2021 </w:t>
            </w:r>
            <w:r>
              <w:rPr>
                <w:i/>
                <w:sz w:val="14"/>
                <w:szCs w:val="14"/>
              </w:rPr>
              <w:fldChar w:fldCharType="begin"/>
            </w:r>
            <w:r>
              <w:rPr>
                <w:i/>
                <w:sz w:val="14"/>
                <w:szCs w:val="14"/>
              </w:rPr>
              <w:instrText xml:space="preserve"> ADDIN ZOTERO_ITEM CSL_CITATION {"citationID":"DeyjOPam","properties":{"formattedCitation":"(52)","plainCitation":"(52)","noteIndex":0},"citationItems":[{"id":329,"uris":["http://zotero.org/groups/4911489/items/CI9BJWFA"],"itemData":{"id":329,"type":"article-journal","abstract":"BACKGROUND: US-bound refugees undergo required health assessments overseas to identify and treat communicable diseases of public health significance-such as pulmonary tuberculosis-before migration. Immunizations are not required, leaving refugees at risk for vaccine-preventable diseases. In response, the US Centers for Disease Control and Prevention and the US Department of State developed and co-funded a global immunization program for US-bound refugees, implemented in 2012 in collaboration with the International Organization for Migration.\nMETHODS: We describe the Vaccination Program for US-bound Refugees, including vaccination schedule development, program implementation and procedures, and responses to challenges. We estimate 2019 immunization coverage rates using the number of age-eligible refugees who received ≥1 dose of measles-containing vaccine during overseas health assessment, and calculated hepatitis B infection prevalence using hepatitis B surface antigen testing results. We report descriptive data on adverse events following immunization.\nRESULTS: By September 2019, the program was active in &gt;80 countries on five continents. Nearly 320,000 examined refugees had ≥1 documented vaccine doses since program inception. During federal fiscal year 2019, 95% of arriving refugees had ≥1 documented measles-containing vaccine. The program's immunization schedule included eleven vaccines preventing fourteen diseases. In 2015-2019, only two vaccine preventable disease-associated refugee group travel cancellations occurred, compared to 2-8 cancellations annually prior to program initiation. To maintain uniform standards, dedicated staff and program-specific protocols for vaccination and monitoring were introduced.\nCONCLUSIONS: An overseas immunization program was successfully implemented for US-bound refugees. Due to reductions in refugee movement cancellation, lower cost of immunization overseas, and likely reductions in vaccine preventable disease-associated morbidity, we anticipate significant cost savings. Although maintaining uniform standards across diverse settings is challenging, solutions such as introduction of dedicated staff, protocol development, and ongoing technical support have ensured program cohesion, continuity, and advancement. Lessons learned can benefit similar programs implemented in the migration setting.","container-title":"Vaccine","DOI":"10.1016/j.vaccine.2020.10.047","ISSN":"1873-2518","issue":"1","journalAbbreviation":"Vaccine","language":"eng","note":"PMID: 33218780\nPMCID: PMC9590094","page":"68-77","source":"PubMed","title":"An immunization program for US-bound refugees: Development, challenges, and opportunities 2012-present","title-short":"An immunization program for US-bound refugees","volume":"39","author":[{"family":"Mitchell","given":"Tarissa"},{"family":"Dalal","given":"Warren"},{"family":"Klosovsky","given":"Alexander"},{"family":"Yen","given":"Catherine"},{"family":"Phares","given":"Christina"},{"family":"Burkhardt","given":"Margaret"},{"family":"Amin","given":"Farah"},{"family":"Froes","given":"Ivan"},{"family":"Hamadeh","given":"Amira"},{"family":"Lynn","given":"Sai Aung"},{"family":"Quintanilla","given":"Judith"},{"family":"Doney","given":"Annelise Casano"},{"family":"Cetron","given":"Martin"},{"family":"Weinberg","given":"Michelle"}],"issued":{"date-parts":[["2021",1,3]]}}}],"schema":"https://github.com/citation-style-language/schema/raw/master/csl-citation.json"} </w:instrText>
            </w:r>
            <w:r>
              <w:rPr>
                <w:i/>
                <w:sz w:val="14"/>
                <w:szCs w:val="14"/>
              </w:rPr>
              <w:fldChar w:fldCharType="separate"/>
            </w:r>
            <w:r w:rsidRPr="0086135B">
              <w:rPr>
                <w:sz w:val="14"/>
              </w:rPr>
              <w:t>(52)</w:t>
            </w:r>
            <w:r>
              <w:rPr>
                <w:i/>
                <w:sz w:val="14"/>
                <w:szCs w:val="14"/>
              </w:rPr>
              <w:fldChar w:fldCharType="end"/>
            </w:r>
          </w:p>
        </w:tc>
        <w:tc>
          <w:tcPr>
            <w:tcW w:w="11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53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26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29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General research question to describe the program, including vaccination schedule development, program implementation and procedures, and responses to challenges.</w:t>
            </w:r>
          </w:p>
        </w:tc>
      </w:tr>
      <w:tr w:rsidR="00D34CC9" w:rsidTr="005964B4">
        <w:trPr>
          <w:trHeight w:val="624"/>
        </w:trPr>
        <w:tc>
          <w:tcPr>
            <w:tcW w:w="80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 xml:space="preserve">Peterson et al., 2019 </w:t>
            </w:r>
            <w:r>
              <w:rPr>
                <w:i/>
                <w:sz w:val="14"/>
                <w:szCs w:val="14"/>
              </w:rPr>
              <w:fldChar w:fldCharType="begin"/>
            </w:r>
            <w:r>
              <w:rPr>
                <w:i/>
                <w:sz w:val="14"/>
                <w:szCs w:val="14"/>
              </w:rPr>
              <w:instrText xml:space="preserve"> ADDIN ZOTERO_ITEM CSL_CITATION {"citationID":"JpVmY84K","properties":{"formattedCitation":"(53)","plainCitation":"(53)","noteIndex":0},"citationItems":[{"id":290,"uris":["http://zotero.org/groups/4911489/items/5KRADHCR"],"itemData":{"id":290,"type":"article-journal","abstract":"In Minneapolis-St Paul, Minnesota, factors such as cultural and linguistic diversity make it difficult for public health agencies to reach immigrant and racial/ethnic minority populations with health initiatives. Founded in 2006, the Minnesota Immunization Networking Initiative (MINI) is a community project that has provided more than 80 000 free influenza vaccinations to vulnerable populations, including immigrants and racial/ethnic minority groups. MINI administered 5910 vaccinations through 99 community-based vaccination clinics during the 2017-2018 influenza season and surveyed the clients in their own language about influenza vaccination knowledge and practices. Among those surveyed, 2545 (43.1%) were uninsured and 408 (6.9%) received a first-time influenza vaccination at the MINI clinic. A total of 2893 (49.0%) respondents heard about the clinic through their faith community. Lessons learned included the importance of building relationships with community leaders and involving them as full partners, holding clinics in community-based settings to bring vaccinations to clients, and reporting outcomes to partners.","container-title":"Public Health Reports (Washington, D.C.: 1974)","DOI":"10.1177/0033354919834579","ISSN":"1468-2877","issue":"3","journalAbbreviation":"Public Health Rep","language":"eng","note":"PMID: 30912998\nPMCID: PMC6505329","page":"241-248","source":"PubMed","title":"Engaging Communities to Reach Immigrant and Minority Populations: The Minnesota Immunization Networking Initiative (MINI), 2006-2017","title-short":"Engaging Communities to Reach Immigrant and Minority Populations","volume":"134","author":[{"family":"Peterson","given":"Patricia"},{"family":"McNabb","given":"Paula"},{"family":"Maddali","given":"Sai Ramya"},{"family":"Heath","given":"Jennifer"},{"family":"Santibañez","given":"Scott"}],"issued":{"date-parts":[["2019"]]}}}],"schema":"https://github.com/citation-style-language/schema/raw/master/csl-citation.json"} </w:instrText>
            </w:r>
            <w:r>
              <w:rPr>
                <w:i/>
                <w:sz w:val="14"/>
                <w:szCs w:val="14"/>
              </w:rPr>
              <w:fldChar w:fldCharType="separate"/>
            </w:r>
            <w:r w:rsidRPr="005C3CD3">
              <w:rPr>
                <w:sz w:val="14"/>
              </w:rPr>
              <w:t>(53)</w:t>
            </w:r>
            <w:r>
              <w:rPr>
                <w:i/>
                <w:sz w:val="14"/>
                <w:szCs w:val="14"/>
              </w:rPr>
              <w:fldChar w:fldCharType="end"/>
            </w:r>
          </w:p>
        </w:tc>
        <w:tc>
          <w:tcPr>
            <w:tcW w:w="11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53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26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29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 xml:space="preserve">General research objective to describe program and lessons learned from the first decade of this initiative; few methods details included; states </w:t>
            </w:r>
            <w:r w:rsidRPr="007A2213">
              <w:rPr>
                <w:i/>
                <w:sz w:val="14"/>
                <w:szCs w:val="14"/>
              </w:rPr>
              <w:t>not a research study, the data presented are programmatic, descriptive, and not necessarily generalizable</w:t>
            </w:r>
            <w:r>
              <w:rPr>
                <w:i/>
                <w:sz w:val="14"/>
                <w:szCs w:val="14"/>
              </w:rPr>
              <w:t>.</w:t>
            </w:r>
          </w:p>
        </w:tc>
      </w:tr>
      <w:tr w:rsidR="00D34CC9" w:rsidTr="005964B4">
        <w:trPr>
          <w:trHeight w:val="624"/>
        </w:trPr>
        <w:tc>
          <w:tcPr>
            <w:tcW w:w="80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 xml:space="preserve">Sheikh et al., 2014 </w:t>
            </w:r>
            <w:r>
              <w:rPr>
                <w:i/>
                <w:sz w:val="14"/>
                <w:szCs w:val="14"/>
              </w:rPr>
              <w:fldChar w:fldCharType="begin"/>
            </w:r>
            <w:r>
              <w:rPr>
                <w:i/>
                <w:sz w:val="14"/>
                <w:szCs w:val="14"/>
              </w:rPr>
              <w:instrText xml:space="preserve"> ADDIN ZOTERO_ITEM CSL_CITATION {"citationID":"64b2e69U","properties":{"formattedCitation":"(48)","plainCitation":"(48)","noteIndex":0},"citationItems":[{"id":310,"uris":["http://zotero.org/groups/4911489/items/CG8G29IV"],"itemData":{"id":310,"type":"article-journal","container-title":"Morbidity and Mortality Weekly Report","ISSN":"0149-2195","issue":"11","journalAbbreviation":"MMWR Morb Mortal Wkly Rep","note":"PMID: 24647400\nPMCID: PMC4584634","page":"237-241","source":"PubMed Central","title":"Combined Use of Inactivated and Oral Poliovirus Vaccines in Refugee Camps and Surrounding Communities — Kenya, December 2013","volume":"63","author":[{"family":"Sheikh","given":"Mohamed A"},{"family":"Makokha","given":"Frederick"},{"family":"Hussein","given":"M. Abdullahi"},{"family":"Mohamed","given":"Gedi"},{"family":"Mach","given":"Ondrej"},{"family":"Humayun","given":"Kabir"},{"family":"Okiror","given":"Samuel"},{"family":"Abrar","given":"Leila"},{"family":"Nasibov","given":"Orkhan"},{"family":"Burton","given":"John"},{"family":"Unshur","given":"Ahmed"},{"family":"Wannemuehler","given":"Kathleen"},{"family":"Estivariz","given":"Concepcion F."}],"issued":{"date-parts":[["2014",3,21]]}}}],"schema":"https://github.com/citation-style-language/schema/raw/master/csl-citation.json"} </w:instrText>
            </w:r>
            <w:r>
              <w:rPr>
                <w:i/>
                <w:sz w:val="14"/>
                <w:szCs w:val="14"/>
              </w:rPr>
              <w:fldChar w:fldCharType="separate"/>
            </w:r>
            <w:r w:rsidRPr="005C3CD3">
              <w:rPr>
                <w:sz w:val="14"/>
              </w:rPr>
              <w:t>(48)</w:t>
            </w:r>
            <w:r>
              <w:rPr>
                <w:i/>
                <w:sz w:val="14"/>
                <w:szCs w:val="14"/>
              </w:rPr>
              <w:fldChar w:fldCharType="end"/>
            </w:r>
          </w:p>
        </w:tc>
        <w:tc>
          <w:tcPr>
            <w:tcW w:w="11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53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26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29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Research question not provided.</w:t>
            </w:r>
          </w:p>
        </w:tc>
      </w:tr>
      <w:tr w:rsidR="00D34CC9" w:rsidTr="005964B4">
        <w:trPr>
          <w:trHeight w:val="624"/>
        </w:trPr>
        <w:tc>
          <w:tcPr>
            <w:tcW w:w="80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 xml:space="preserve">Vita et al., 2019 </w:t>
            </w:r>
            <w:r>
              <w:rPr>
                <w:i/>
                <w:sz w:val="14"/>
                <w:szCs w:val="14"/>
              </w:rPr>
              <w:fldChar w:fldCharType="begin"/>
            </w:r>
            <w:r>
              <w:rPr>
                <w:i/>
                <w:sz w:val="14"/>
                <w:szCs w:val="14"/>
              </w:rPr>
              <w:instrText xml:space="preserve"> ADDIN ZOTERO_ITEM CSL_CITATION {"citationID":"A8HD5dc0","properties":{"formattedCitation":"(57)","plainCitation":"(57)","noteIndex":0},"citationItems":[{"id":306,"uris":["http://zotero.org/groups/4911489/items/3FA6CSSR"],"itemData":{"id":306,"type":"article-journal","abstract":"INTRODUCTION: Control of vaccine preventable diseases, while constituting a priority of European health policies, is challenged by migrations from countries with suboptimal levels of immunization coverage. We report here two different types of vaccination campaign strategy in one of the bigger Italian asylum seekers' centres. The vaccination service staff of the local national health institute came monthly during the first three years of observation, while in the last year, the vaccinations were offered directly upon arrival of migrants in the asylum seekers' centre.\nMETHODOLOGY: we performed a descriptive cross-sectional study that analysed data collected from the database of the internal healthcare facility and ARVA Target tool, regarding vaccinations performed from 2013 to 2017 in the asylum seekers' centre.\nRESULTS: In the four years of observation period the asylum seekers centre hosted 3941 migrants. Among them, 85% were vaccinated during their stay, for a total of 4252 vaccinations administered, covering 95% of minors and 85% of adults. During the study period, there was an important increase from an average of 10.5% of migrants vaccinated in the first three years to 66% in the last year, when vaccines were delivered directly upon arrival in the centre.\nCONCLUSIONS: To improve the rate of immunization in migrants, the first requirement is a strong collaboration with the local vaccine services and the second,vaccinations must be carried out when migrants arrive at the asylum seekers' centre, avoiding any delay.","container-title":"Journal of Infection in Developing Countries","DOI":"10.3855/jidc.11815","ISSN":"1972-2680","issue":"12","journalAbbreviation":"J Infect Dev Ctries","language":"eng","note":"PMID: 32088704","page":"1159-1164","source":"PubMed","title":"Vaccination campaign strategies in recently arrived migrants: experience of an Italian reception centre","title-short":"Vaccination campaign strategies in recently arrived migrants","volume":"13","author":[{"family":"Vita","given":"Serena"},{"family":"Sinopoli","given":"Maria Teresa"},{"family":"Fontanelli Sulekova","given":"Lucia"},{"family":"Morucci","given":"Luca"},{"family":"Lopalco","given":"Maurizio"},{"family":"Spaziante","given":"Martina"},{"family":"Pacifici","given":"Laura Elena"},{"family":"Bazzardi","given":"Riccardo"},{"family":"Angeletti","given":"Silvia"},{"family":"Ciccozzi","given":"Massimo"},{"family":"Ceccarelli","given":"Giancarlo"}],"issued":{"date-parts":[["2019",12,31]]}}}],"schema":"https://github.com/citation-style-language/schema/raw/master/csl-citation.json"} </w:instrText>
            </w:r>
            <w:r>
              <w:rPr>
                <w:i/>
                <w:sz w:val="14"/>
                <w:szCs w:val="14"/>
              </w:rPr>
              <w:fldChar w:fldCharType="separate"/>
            </w:r>
            <w:r w:rsidRPr="005C3CD3">
              <w:rPr>
                <w:sz w:val="14"/>
              </w:rPr>
              <w:t>(57)</w:t>
            </w:r>
            <w:r>
              <w:rPr>
                <w:i/>
                <w:sz w:val="14"/>
                <w:szCs w:val="14"/>
              </w:rPr>
              <w:fldChar w:fldCharType="end"/>
            </w:r>
          </w:p>
        </w:tc>
        <w:tc>
          <w:tcPr>
            <w:tcW w:w="11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53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26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29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General research objective to report on vaccination campaign.</w:t>
            </w:r>
          </w:p>
        </w:tc>
      </w:tr>
      <w:tr w:rsidR="00D34CC9" w:rsidTr="005964B4">
        <w:trPr>
          <w:trHeight w:val="215"/>
        </w:trPr>
        <w:tc>
          <w:tcPr>
            <w:tcW w:w="13130" w:type="dxa"/>
            <w:gridSpan w:val="9"/>
            <w:tcBorders>
              <w:top w:val="single" w:sz="6" w:space="0" w:color="969696"/>
              <w:left w:val="single" w:sz="6" w:space="0" w:color="969696"/>
              <w:bottom w:val="single" w:sz="6" w:space="0" w:color="969696"/>
              <w:right w:val="single" w:sz="6" w:space="0" w:color="969696"/>
            </w:tcBorders>
            <w:shd w:val="clear" w:color="auto" w:fill="F3F3F3"/>
            <w:tcMar>
              <w:top w:w="40" w:type="dxa"/>
              <w:left w:w="40" w:type="dxa"/>
              <w:bottom w:w="40" w:type="dxa"/>
              <w:right w:w="40" w:type="dxa"/>
            </w:tcMar>
          </w:tcPr>
          <w:p w:rsidR="00D34CC9" w:rsidRDefault="00D34CC9" w:rsidP="005964B4">
            <w:pPr>
              <w:jc w:val="center"/>
              <w:rPr>
                <w:b/>
                <w:sz w:val="16"/>
                <w:szCs w:val="16"/>
              </w:rPr>
            </w:pPr>
            <w:r>
              <w:rPr>
                <w:b/>
                <w:sz w:val="16"/>
                <w:szCs w:val="16"/>
              </w:rPr>
              <w:t xml:space="preserve"> Mixed Methods</w:t>
            </w:r>
          </w:p>
        </w:tc>
      </w:tr>
      <w:tr w:rsidR="00D34CC9" w:rsidTr="005964B4">
        <w:trPr>
          <w:trHeight w:val="624"/>
        </w:trPr>
        <w:tc>
          <w:tcPr>
            <w:tcW w:w="800" w:type="dxa"/>
            <w:tcBorders>
              <w:top w:val="single" w:sz="6" w:space="0" w:color="969696"/>
              <w:left w:val="single" w:sz="6" w:space="0" w:color="969696"/>
              <w:bottom w:val="single" w:sz="6" w:space="0" w:color="969696"/>
              <w:right w:val="single" w:sz="6" w:space="0" w:color="969696"/>
            </w:tcBorders>
            <w:shd w:val="clear" w:color="auto" w:fill="BFBFBF" w:themeFill="background1" w:themeFillShade="BF"/>
            <w:tcMar>
              <w:top w:w="40" w:type="dxa"/>
              <w:left w:w="40" w:type="dxa"/>
              <w:bottom w:w="40" w:type="dxa"/>
              <w:right w:w="40" w:type="dxa"/>
            </w:tcMar>
          </w:tcPr>
          <w:p w:rsidR="00D34CC9" w:rsidRDefault="00D34CC9" w:rsidP="005964B4">
            <w:pPr>
              <w:widowControl w:val="0"/>
              <w:spacing w:line="240" w:lineRule="auto"/>
              <w:rPr>
                <w:b/>
                <w:sz w:val="14"/>
                <w:szCs w:val="14"/>
              </w:rPr>
            </w:pPr>
            <w:r>
              <w:rPr>
                <w:b/>
                <w:sz w:val="14"/>
                <w:szCs w:val="14"/>
              </w:rPr>
              <w:t>Study</w:t>
            </w:r>
          </w:p>
        </w:tc>
        <w:tc>
          <w:tcPr>
            <w:tcW w:w="1170" w:type="dxa"/>
            <w:tcBorders>
              <w:top w:val="single" w:sz="6" w:space="0" w:color="969696"/>
              <w:left w:val="single" w:sz="6" w:space="0" w:color="969696"/>
              <w:bottom w:val="single" w:sz="6" w:space="0" w:color="969696"/>
              <w:right w:val="single" w:sz="6" w:space="0" w:color="969696"/>
            </w:tcBorders>
            <w:shd w:val="clear" w:color="auto" w:fill="BFBFBF" w:themeFill="background1" w:themeFillShade="BF"/>
            <w:tcMar>
              <w:top w:w="40" w:type="dxa"/>
              <w:left w:w="40" w:type="dxa"/>
              <w:bottom w:w="40" w:type="dxa"/>
              <w:right w:w="40" w:type="dxa"/>
            </w:tcMar>
          </w:tcPr>
          <w:p w:rsidR="00D34CC9" w:rsidRDefault="00D34CC9" w:rsidP="005964B4">
            <w:pPr>
              <w:widowControl w:val="0"/>
              <w:spacing w:line="240" w:lineRule="auto"/>
              <w:rPr>
                <w:b/>
                <w:sz w:val="14"/>
                <w:szCs w:val="14"/>
              </w:rPr>
            </w:pPr>
            <w:r>
              <w:rPr>
                <w:b/>
                <w:sz w:val="14"/>
                <w:szCs w:val="14"/>
              </w:rPr>
              <w:t xml:space="preserve">Screening Questions-S1. Are there clear research </w:t>
            </w:r>
            <w:r>
              <w:rPr>
                <w:b/>
                <w:sz w:val="14"/>
                <w:szCs w:val="14"/>
              </w:rPr>
              <w:lastRenderedPageBreak/>
              <w:t xml:space="preserve">questions? </w:t>
            </w:r>
          </w:p>
        </w:tc>
        <w:tc>
          <w:tcPr>
            <w:tcW w:w="1350" w:type="dxa"/>
            <w:tcBorders>
              <w:top w:val="single" w:sz="6" w:space="0" w:color="969696"/>
              <w:left w:val="single" w:sz="6" w:space="0" w:color="969696"/>
              <w:bottom w:val="single" w:sz="6" w:space="0" w:color="969696"/>
              <w:right w:val="single" w:sz="6" w:space="0" w:color="969696"/>
            </w:tcBorders>
            <w:shd w:val="clear" w:color="auto" w:fill="BFBFBF" w:themeFill="background1" w:themeFillShade="BF"/>
            <w:tcMar>
              <w:top w:w="40" w:type="dxa"/>
              <w:left w:w="40" w:type="dxa"/>
              <w:bottom w:w="40" w:type="dxa"/>
              <w:right w:w="40" w:type="dxa"/>
            </w:tcMar>
          </w:tcPr>
          <w:p w:rsidR="00D34CC9" w:rsidRDefault="00D34CC9" w:rsidP="005964B4">
            <w:pPr>
              <w:widowControl w:val="0"/>
              <w:spacing w:line="240" w:lineRule="auto"/>
              <w:rPr>
                <w:b/>
                <w:sz w:val="14"/>
                <w:szCs w:val="14"/>
              </w:rPr>
            </w:pPr>
            <w:r>
              <w:rPr>
                <w:b/>
                <w:sz w:val="14"/>
                <w:szCs w:val="14"/>
              </w:rPr>
              <w:lastRenderedPageBreak/>
              <w:t xml:space="preserve">Screening Questions-S2. Do the collected data allow to address </w:t>
            </w:r>
            <w:r>
              <w:rPr>
                <w:b/>
                <w:sz w:val="14"/>
                <w:szCs w:val="14"/>
              </w:rPr>
              <w:lastRenderedPageBreak/>
              <w:t>the research questions?</w:t>
            </w:r>
          </w:p>
        </w:tc>
        <w:tc>
          <w:tcPr>
            <w:tcW w:w="1350" w:type="dxa"/>
            <w:tcBorders>
              <w:top w:val="single" w:sz="6" w:space="0" w:color="969696"/>
              <w:left w:val="single" w:sz="6" w:space="0" w:color="969696"/>
              <w:bottom w:val="single" w:sz="6" w:space="0" w:color="969696"/>
              <w:right w:val="single" w:sz="6" w:space="0" w:color="969696"/>
            </w:tcBorders>
            <w:shd w:val="clear" w:color="auto" w:fill="BFBFBF" w:themeFill="background1" w:themeFillShade="BF"/>
            <w:tcMar>
              <w:top w:w="40" w:type="dxa"/>
              <w:left w:w="40" w:type="dxa"/>
              <w:bottom w:w="40" w:type="dxa"/>
              <w:right w:w="40" w:type="dxa"/>
            </w:tcMar>
          </w:tcPr>
          <w:p w:rsidR="00D34CC9" w:rsidRDefault="00D34CC9" w:rsidP="005964B4">
            <w:pPr>
              <w:widowControl w:val="0"/>
              <w:spacing w:line="240" w:lineRule="auto"/>
              <w:rPr>
                <w:b/>
                <w:sz w:val="14"/>
                <w:szCs w:val="14"/>
              </w:rPr>
            </w:pPr>
            <w:r>
              <w:rPr>
                <w:b/>
                <w:sz w:val="14"/>
                <w:szCs w:val="14"/>
              </w:rPr>
              <w:lastRenderedPageBreak/>
              <w:t xml:space="preserve">5. Mixed methods studies-5.1. Is there an adequate rationale for using </w:t>
            </w:r>
            <w:r>
              <w:rPr>
                <w:b/>
                <w:sz w:val="14"/>
                <w:szCs w:val="14"/>
              </w:rPr>
              <w:lastRenderedPageBreak/>
              <w:t xml:space="preserve">a </w:t>
            </w:r>
            <w:proofErr w:type="gramStart"/>
            <w:r>
              <w:rPr>
                <w:b/>
                <w:sz w:val="14"/>
                <w:szCs w:val="14"/>
              </w:rPr>
              <w:t>mixed methods</w:t>
            </w:r>
            <w:proofErr w:type="gramEnd"/>
            <w:r>
              <w:rPr>
                <w:b/>
                <w:sz w:val="14"/>
                <w:szCs w:val="14"/>
              </w:rPr>
              <w:t xml:space="preserve"> design to address the research question?</w:t>
            </w:r>
          </w:p>
        </w:tc>
        <w:tc>
          <w:tcPr>
            <w:tcW w:w="1530" w:type="dxa"/>
            <w:tcBorders>
              <w:top w:val="single" w:sz="6" w:space="0" w:color="969696"/>
              <w:left w:val="single" w:sz="6" w:space="0" w:color="969696"/>
              <w:bottom w:val="single" w:sz="6" w:space="0" w:color="969696"/>
              <w:right w:val="single" w:sz="6" w:space="0" w:color="969696"/>
            </w:tcBorders>
            <w:shd w:val="clear" w:color="auto" w:fill="BFBFBF" w:themeFill="background1" w:themeFillShade="BF"/>
            <w:tcMar>
              <w:top w:w="40" w:type="dxa"/>
              <w:left w:w="40" w:type="dxa"/>
              <w:bottom w:w="40" w:type="dxa"/>
              <w:right w:w="40" w:type="dxa"/>
            </w:tcMar>
          </w:tcPr>
          <w:p w:rsidR="00D34CC9" w:rsidRDefault="00D34CC9" w:rsidP="005964B4">
            <w:pPr>
              <w:widowControl w:val="0"/>
              <w:spacing w:line="240" w:lineRule="auto"/>
              <w:rPr>
                <w:b/>
                <w:sz w:val="14"/>
                <w:szCs w:val="14"/>
              </w:rPr>
            </w:pPr>
            <w:r>
              <w:rPr>
                <w:b/>
                <w:sz w:val="14"/>
                <w:szCs w:val="14"/>
              </w:rPr>
              <w:lastRenderedPageBreak/>
              <w:t xml:space="preserve">5. Mixed methods studies-5.2. Are the different components of the study </w:t>
            </w:r>
            <w:r>
              <w:rPr>
                <w:b/>
                <w:sz w:val="14"/>
                <w:szCs w:val="14"/>
              </w:rPr>
              <w:lastRenderedPageBreak/>
              <w:t>effectively integrated to answer the research question?</w:t>
            </w:r>
          </w:p>
        </w:tc>
        <w:tc>
          <w:tcPr>
            <w:tcW w:w="1350" w:type="dxa"/>
            <w:tcBorders>
              <w:top w:val="single" w:sz="6" w:space="0" w:color="969696"/>
              <w:left w:val="single" w:sz="6" w:space="0" w:color="969696"/>
              <w:bottom w:val="single" w:sz="6" w:space="0" w:color="969696"/>
              <w:right w:val="single" w:sz="6" w:space="0" w:color="969696"/>
            </w:tcBorders>
            <w:shd w:val="clear" w:color="auto" w:fill="BFBFBF" w:themeFill="background1" w:themeFillShade="BF"/>
            <w:tcMar>
              <w:top w:w="40" w:type="dxa"/>
              <w:left w:w="40" w:type="dxa"/>
              <w:bottom w:w="40" w:type="dxa"/>
              <w:right w:w="40" w:type="dxa"/>
            </w:tcMar>
          </w:tcPr>
          <w:p w:rsidR="00D34CC9" w:rsidRDefault="00D34CC9" w:rsidP="005964B4">
            <w:pPr>
              <w:widowControl w:val="0"/>
              <w:spacing w:line="240" w:lineRule="auto"/>
              <w:rPr>
                <w:b/>
                <w:sz w:val="14"/>
                <w:szCs w:val="14"/>
              </w:rPr>
            </w:pPr>
            <w:r>
              <w:rPr>
                <w:b/>
                <w:sz w:val="14"/>
                <w:szCs w:val="14"/>
              </w:rPr>
              <w:lastRenderedPageBreak/>
              <w:t xml:space="preserve">5. Mixed methods studies-5.3. Are the outputs of the integration of </w:t>
            </w:r>
            <w:r>
              <w:rPr>
                <w:b/>
                <w:sz w:val="14"/>
                <w:szCs w:val="14"/>
              </w:rPr>
              <w:lastRenderedPageBreak/>
              <w:t>qualitative and quantitative components adequately interpreted?</w:t>
            </w:r>
          </w:p>
        </w:tc>
        <w:tc>
          <w:tcPr>
            <w:tcW w:w="1350" w:type="dxa"/>
            <w:tcBorders>
              <w:top w:val="single" w:sz="6" w:space="0" w:color="969696"/>
              <w:left w:val="single" w:sz="6" w:space="0" w:color="969696"/>
              <w:bottom w:val="single" w:sz="6" w:space="0" w:color="969696"/>
              <w:right w:val="single" w:sz="6" w:space="0" w:color="969696"/>
            </w:tcBorders>
            <w:shd w:val="clear" w:color="auto" w:fill="BFBFBF" w:themeFill="background1" w:themeFillShade="BF"/>
            <w:tcMar>
              <w:top w:w="40" w:type="dxa"/>
              <w:left w:w="40" w:type="dxa"/>
              <w:bottom w:w="40" w:type="dxa"/>
              <w:right w:w="40" w:type="dxa"/>
            </w:tcMar>
          </w:tcPr>
          <w:p w:rsidR="00D34CC9" w:rsidRDefault="00D34CC9" w:rsidP="005964B4">
            <w:pPr>
              <w:widowControl w:val="0"/>
              <w:spacing w:line="240" w:lineRule="auto"/>
              <w:rPr>
                <w:b/>
                <w:sz w:val="14"/>
                <w:szCs w:val="14"/>
              </w:rPr>
            </w:pPr>
            <w:r>
              <w:rPr>
                <w:b/>
                <w:sz w:val="14"/>
                <w:szCs w:val="14"/>
              </w:rPr>
              <w:lastRenderedPageBreak/>
              <w:t xml:space="preserve">5. Mixed methods studies-5.4. Are divergences and inconsistencies </w:t>
            </w:r>
            <w:r>
              <w:rPr>
                <w:b/>
                <w:sz w:val="14"/>
                <w:szCs w:val="14"/>
              </w:rPr>
              <w:lastRenderedPageBreak/>
              <w:t>between quantitative and qualitative results adequately addressed?</w:t>
            </w:r>
          </w:p>
        </w:tc>
        <w:tc>
          <w:tcPr>
            <w:tcW w:w="1260" w:type="dxa"/>
            <w:tcBorders>
              <w:top w:val="single" w:sz="6" w:space="0" w:color="969696"/>
              <w:left w:val="single" w:sz="6" w:space="0" w:color="969696"/>
              <w:bottom w:val="single" w:sz="6" w:space="0" w:color="969696"/>
              <w:right w:val="single" w:sz="6" w:space="0" w:color="969696"/>
            </w:tcBorders>
            <w:shd w:val="clear" w:color="auto" w:fill="BFBFBF" w:themeFill="background1" w:themeFillShade="BF"/>
            <w:tcMar>
              <w:top w:w="40" w:type="dxa"/>
              <w:left w:w="40" w:type="dxa"/>
              <w:bottom w:w="40" w:type="dxa"/>
              <w:right w:w="40" w:type="dxa"/>
            </w:tcMar>
          </w:tcPr>
          <w:p w:rsidR="00D34CC9" w:rsidRDefault="00D34CC9" w:rsidP="005964B4">
            <w:pPr>
              <w:widowControl w:val="0"/>
              <w:spacing w:line="240" w:lineRule="auto"/>
              <w:rPr>
                <w:b/>
                <w:sz w:val="14"/>
                <w:szCs w:val="14"/>
              </w:rPr>
            </w:pPr>
            <w:r>
              <w:rPr>
                <w:b/>
                <w:sz w:val="14"/>
                <w:szCs w:val="14"/>
              </w:rPr>
              <w:lastRenderedPageBreak/>
              <w:t xml:space="preserve">5. Mixed methods studies-5.5. Do the different components of </w:t>
            </w:r>
            <w:r>
              <w:rPr>
                <w:b/>
                <w:sz w:val="14"/>
                <w:szCs w:val="14"/>
              </w:rPr>
              <w:lastRenderedPageBreak/>
              <w:t>the study adhere to the quality criteria of each tradition of the methods involved?</w:t>
            </w:r>
          </w:p>
        </w:tc>
        <w:tc>
          <w:tcPr>
            <w:tcW w:w="2970" w:type="dxa"/>
            <w:shd w:val="clear" w:color="auto" w:fill="BFBFBF" w:themeFill="background1" w:themeFillShade="BF"/>
            <w:tcMar>
              <w:top w:w="100" w:type="dxa"/>
              <w:left w:w="100" w:type="dxa"/>
              <w:bottom w:w="100" w:type="dxa"/>
              <w:right w:w="100" w:type="dxa"/>
            </w:tcMar>
          </w:tcPr>
          <w:p w:rsidR="00D34CC9" w:rsidRDefault="00D34CC9" w:rsidP="005964B4">
            <w:pPr>
              <w:widowControl w:val="0"/>
              <w:spacing w:line="240" w:lineRule="auto"/>
              <w:rPr>
                <w:b/>
                <w:sz w:val="14"/>
                <w:szCs w:val="14"/>
              </w:rPr>
            </w:pPr>
            <w:r>
              <w:rPr>
                <w:b/>
                <w:sz w:val="14"/>
                <w:szCs w:val="14"/>
              </w:rPr>
              <w:lastRenderedPageBreak/>
              <w:t>Comments</w:t>
            </w:r>
          </w:p>
        </w:tc>
      </w:tr>
      <w:tr w:rsidR="00D34CC9" w:rsidTr="005964B4">
        <w:trPr>
          <w:trHeight w:val="224"/>
        </w:trPr>
        <w:tc>
          <w:tcPr>
            <w:tcW w:w="13130" w:type="dxa"/>
            <w:gridSpan w:val="9"/>
            <w:tcBorders>
              <w:top w:val="single" w:sz="6" w:space="0" w:color="969696"/>
              <w:left w:val="single" w:sz="6" w:space="0" w:color="969696"/>
              <w:bottom w:val="single" w:sz="6" w:space="0" w:color="969696"/>
              <w:right w:val="single" w:sz="6" w:space="0" w:color="969696"/>
            </w:tcBorders>
            <w:shd w:val="clear" w:color="auto" w:fill="F3F3F3"/>
            <w:tcMar>
              <w:top w:w="40" w:type="dxa"/>
              <w:left w:w="40" w:type="dxa"/>
              <w:bottom w:w="40" w:type="dxa"/>
              <w:right w:w="40" w:type="dxa"/>
            </w:tcMar>
            <w:vAlign w:val="bottom"/>
          </w:tcPr>
          <w:p w:rsidR="00D34CC9" w:rsidRDefault="00D34CC9" w:rsidP="005964B4">
            <w:pPr>
              <w:widowControl w:val="0"/>
              <w:rPr>
                <w:b/>
                <w:sz w:val="16"/>
                <w:szCs w:val="16"/>
              </w:rPr>
            </w:pPr>
            <w:r>
              <w:rPr>
                <w:b/>
                <w:sz w:val="16"/>
                <w:szCs w:val="16"/>
              </w:rPr>
              <w:t>COVID-19 vaccine</w:t>
            </w:r>
          </w:p>
        </w:tc>
      </w:tr>
      <w:tr w:rsidR="00D34CC9" w:rsidTr="005964B4">
        <w:trPr>
          <w:trHeight w:val="624"/>
        </w:trPr>
        <w:tc>
          <w:tcPr>
            <w:tcW w:w="80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proofErr w:type="spellStart"/>
            <w:r>
              <w:rPr>
                <w:i/>
                <w:sz w:val="14"/>
                <w:szCs w:val="14"/>
              </w:rPr>
              <w:t>Bentivegna</w:t>
            </w:r>
            <w:proofErr w:type="spellEnd"/>
            <w:r>
              <w:rPr>
                <w:i/>
                <w:sz w:val="14"/>
                <w:szCs w:val="14"/>
              </w:rPr>
              <w:t xml:space="preserve"> et al., 2022</w:t>
            </w:r>
            <w:r>
              <w:rPr>
                <w:i/>
                <w:sz w:val="14"/>
                <w:szCs w:val="14"/>
              </w:rPr>
              <w:fldChar w:fldCharType="begin"/>
            </w:r>
            <w:r>
              <w:rPr>
                <w:i/>
                <w:sz w:val="14"/>
                <w:szCs w:val="14"/>
              </w:rPr>
              <w:instrText xml:space="preserve"> ADDIN ZOTERO_ITEM CSL_CITATION {"citationID":"6gnRWDsL","properties":{"formattedCitation":"(33)","plainCitation":"(33)","noteIndex":0},"citationItems":[{"id":304,"uris":["http://zotero.org/groups/4911489/items/3LEIPA2S"],"itemData":{"id":304,"type":"article-journal","abstract":"With the advent of vaccines, the world has a chance to see a real end to the COVID-19 pandemic. To make this possible, however, it is necessary that all groups of people are considered. Contexts of informal settlements and populations such as the homeless and migrants are often forgotten by vaccination campaigns. In this study, carried out as a result of a collaboration with MEDU, a non-profit association aimed at bringing healthcare to vulnerable populations, we provide important data related to the vaccination campaign carried out in the informal settlements of Rome. The objectives of this work are to (1) evaluate vaccination coverage in these contexts, (2) assess the gap with the vaccination coverage of the Italian population and try to hypothesize the causes, and (3) provide recommendations for how humanitarian associations can respond to reduce this gap. We observed important differences in vaccination coverage depending on the type of settlement. The percentage of vaccinated people in these contexts at the beginning of October range between 14.4% and 55.5%, underlining an important gap with the vaccination rate of Italy's population, which is close to 80%. The data also show that particular attention must be paid to the transiting and irregular people as they are more at risk for a lack of access to vaccination. With this study, in which we provide recommendations that integrate MEDU's fieldwork experience with the advice of the Framework report, we hope we can help those who work in similar contexts, to carry out a fair and effective vaccination campaign.","container-title":"International Journal of Environmental Research and Public Health","DOI":"10.3390/ijerph19020719","ISSN":"1660-4601","issue":"2","journalAbbreviation":"Int J Environ Res Public Health","language":"eng","note":"PMID: 35055541\nPMCID: PMC8776102","page":"719","source":"PubMed","title":"Access to COVID-19 Vaccination during the Pandemic in the Informal Settlements of Rome","volume":"19","author":[{"family":"Bentivegna","given":"Enrico"},{"family":"Di Meo","given":"Silvia"},{"family":"Carriero","given":"Anita"},{"family":"Capriotti","given":"Nadia"},{"family":"Barbieri","given":"Alberto"},{"family":"Martelletti","given":"Paolo"}],"issued":{"date-parts":[["2022",1,10]]}}}],"schema":"https://github.com/citation-style-language/schema/raw/master/csl-citation.json"} </w:instrText>
            </w:r>
            <w:r>
              <w:rPr>
                <w:i/>
                <w:sz w:val="14"/>
                <w:szCs w:val="14"/>
              </w:rPr>
              <w:fldChar w:fldCharType="separate"/>
            </w:r>
            <w:r w:rsidRPr="005C3CD3">
              <w:rPr>
                <w:sz w:val="14"/>
              </w:rPr>
              <w:t>(33)</w:t>
            </w:r>
            <w:r>
              <w:rPr>
                <w:i/>
                <w:sz w:val="14"/>
                <w:szCs w:val="14"/>
              </w:rPr>
              <w:fldChar w:fldCharType="end"/>
            </w:r>
          </w:p>
        </w:tc>
        <w:tc>
          <w:tcPr>
            <w:tcW w:w="11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53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26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29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Qualitative and quantitative components; qualitative methods not well outlined, unclear what methods were used for which components of research question; qualitative and quantitative data separately addressed.</w:t>
            </w:r>
          </w:p>
        </w:tc>
      </w:tr>
      <w:tr w:rsidR="00D34CC9" w:rsidTr="005964B4">
        <w:trPr>
          <w:trHeight w:val="624"/>
        </w:trPr>
        <w:tc>
          <w:tcPr>
            <w:tcW w:w="80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proofErr w:type="spellStart"/>
            <w:r>
              <w:rPr>
                <w:i/>
                <w:sz w:val="14"/>
                <w:szCs w:val="14"/>
              </w:rPr>
              <w:t>Berrou</w:t>
            </w:r>
            <w:proofErr w:type="spellEnd"/>
            <w:r>
              <w:rPr>
                <w:i/>
                <w:sz w:val="14"/>
                <w:szCs w:val="14"/>
              </w:rPr>
              <w:t xml:space="preserve"> et al.,2022 </w:t>
            </w:r>
            <w:r>
              <w:rPr>
                <w:i/>
                <w:sz w:val="14"/>
                <w:szCs w:val="14"/>
              </w:rPr>
              <w:fldChar w:fldCharType="begin"/>
            </w:r>
            <w:r>
              <w:rPr>
                <w:i/>
                <w:sz w:val="14"/>
                <w:szCs w:val="14"/>
              </w:rPr>
              <w:instrText xml:space="preserve"> ADDIN ZOTERO_ITEM CSL_CITATION {"citationID":"boJOScUz","properties":{"formattedCitation":"(36)","plainCitation":"(36)","noteIndex":0},"citationItems":[{"id":315,"uris":["http://zotero.org/groups/4911489/items/LIDKN9XN"],"itemData":{"id":315,"type":"article-journal","abstract":"The devastating impact of COVID-19 on individuals and communities has accelerated the development of vaccines and the deployment of ambitious vaccination programmes to reduce the risks of infection, infection transmission and symptom severity. However, many people delay or refuse to get vaccinated against COVID-19, for many complex reasons. Vaccination programmes that are tailored to address individual and communities' COVID-19 concerns can improve vaccine uptake rates and help achieve the required herd-immunity threshold. The Maximising Uptake Programme has led to the vaccination of 7979 people from February-August 2021 in the South West of England, UK, who are at high risk of severe illness from COVID-19 and/or may not access the COVID-19 vaccines through mass vaccination centres and general practices. These include: people experiencing homelessness; non-English-speaking people; people from minority ethnic groups; refugees and asylum seekers; Gypsy, Roma, Travelers and boat people; and those who are less able to access vaccination centres, such as people with learning difficulties, serious mental illness, drug and alcohol dependence, people with physical and sensory impairment, and people with dementia. Outreach work coupled with a targeted communication and engagement campaign, co-designed with community leaders and influencers, have led to significant engagement and COVID-19 vaccine uptake among the target populations.","container-title":"Vaccines","DOI":"10.3390/vaccines10060840","ISSN":"2076-393X","issue":"6","journalAbbreviation":"Vaccines (Basel)","language":"eng","note":"PMID: 35746447\nPMCID: PMC9227842","page":"840","source":"PubMed","title":"Leaving No One Behind: Interventions and Outcomes of the COVID-19 Vaccine Maximising Uptake Programme","title-short":"Leaving No One Behind","volume":"10","author":[{"family":"Berrou","given":"Ilhem"},{"family":"Hamilton","given":"Kathryn"},{"family":"Cook","given":"Clare"},{"family":"Armour","given":"Clare"},{"family":"Hughes","given":"Sian"},{"family":"Hancock","given":"Jude"},{"family":"Quigg","given":"Sally"},{"family":"Hajinur","given":"Huda"},{"family":"Srivastava","given":"Seema"},{"family":"Kenward","given":"Charlie"},{"family":"Ali","given":"Amjid"},{"family":"Hobbs","given":"Laura"},{"family":"Milani","given":"Elena"},{"family":"Walsh","given":"Nicola"}],"issued":{"date-parts":[["2022",5,25]]}}}],"schema":"https://github.com/citation-style-language/schema/raw/master/csl-citation.json"} </w:instrText>
            </w:r>
            <w:r>
              <w:rPr>
                <w:i/>
                <w:sz w:val="14"/>
                <w:szCs w:val="14"/>
              </w:rPr>
              <w:fldChar w:fldCharType="separate"/>
            </w:r>
            <w:r w:rsidRPr="005C3CD3">
              <w:rPr>
                <w:sz w:val="14"/>
              </w:rPr>
              <w:t>(36)</w:t>
            </w:r>
            <w:r>
              <w:rPr>
                <w:i/>
                <w:sz w:val="14"/>
                <w:szCs w:val="14"/>
              </w:rPr>
              <w:fldChar w:fldCharType="end"/>
            </w:r>
          </w:p>
        </w:tc>
        <w:tc>
          <w:tcPr>
            <w:tcW w:w="11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53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26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29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 xml:space="preserve">General research question, explores the interventions and outcomes of the intervention; does not elaborate on quantitative/qualitative results systematically; </w:t>
            </w:r>
            <w:r w:rsidRPr="00680C5B">
              <w:rPr>
                <w:i/>
                <w:sz w:val="14"/>
                <w:szCs w:val="14"/>
              </w:rPr>
              <w:t>routinely collected quantitative and qualitative data</w:t>
            </w:r>
            <w:r>
              <w:rPr>
                <w:i/>
                <w:sz w:val="14"/>
                <w:szCs w:val="14"/>
              </w:rPr>
              <w:t xml:space="preserve">; </w:t>
            </w:r>
            <w:r w:rsidRPr="00680C5B">
              <w:rPr>
                <w:i/>
                <w:sz w:val="14"/>
                <w:szCs w:val="14"/>
              </w:rPr>
              <w:t>retrospective descriptive cohort study.</w:t>
            </w:r>
          </w:p>
        </w:tc>
      </w:tr>
      <w:tr w:rsidR="00D34CC9" w:rsidTr="005964B4">
        <w:trPr>
          <w:trHeight w:val="624"/>
        </w:trPr>
        <w:tc>
          <w:tcPr>
            <w:tcW w:w="80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vAlign w:val="bottom"/>
          </w:tcPr>
          <w:p w:rsidR="00D34CC9" w:rsidRDefault="00D34CC9" w:rsidP="005964B4">
            <w:pPr>
              <w:widowControl w:val="0"/>
              <w:rPr>
                <w:i/>
                <w:sz w:val="14"/>
                <w:szCs w:val="14"/>
              </w:rPr>
            </w:pPr>
            <w:r>
              <w:rPr>
                <w:i/>
                <w:sz w:val="14"/>
                <w:szCs w:val="14"/>
              </w:rPr>
              <w:t xml:space="preserve">Elmore et al., 2022 </w:t>
            </w:r>
            <w:r>
              <w:rPr>
                <w:i/>
                <w:sz w:val="14"/>
                <w:szCs w:val="14"/>
              </w:rPr>
              <w:fldChar w:fldCharType="begin"/>
            </w:r>
            <w:r>
              <w:rPr>
                <w:i/>
                <w:sz w:val="14"/>
                <w:szCs w:val="14"/>
              </w:rPr>
              <w:instrText xml:space="preserve"> ADDIN ZOTERO_ITEM CSL_CITATION {"citationID":"ol1zYf8y","properties":{"formattedCitation":"(27)","plainCitation":"(27)","noteIndex":0},"citationItems":[{"id":278,"uris":["http://zotero.org/groups/4911489/items/YWEBGBX7"],"itemData":{"id":278,"type":"article-journal","abstract":"INTRODUCTION: Multi-sector outreach collaborations have the potential to improve COVID-19 vaccine access among underserved populations, including refugees.\nMETHODS: Using a four-pronged strategy, we offered the local refugee community COVID-19 vaccine appointments within the next week.\nRESULTS: Over a thousand (1,327) individuals from more than 20 countries were identified; mean age 36.5 (SD=16.4); 55% female. Initially, 613 (46%) reported being scheduled/vaccinated prior to outreach efforts; 312 (24%) appointments were scheduled that resulted from outreach efforts. By February 2022, 895 (67.4%) of the 1,327 patients had at least one dose; the majority of these were Pfizer (n=750, 84%). Of 895 with first dose, 843 completed two-dose series (94.2%). Overall completion rate of initial series was 63.5%. Reasons for declining (171, 13%) included wanting to speak with a physician or family member first; pregnancy hesitation; postponing until after Ramadan.\nDISCUSSION: Although lower than local and state rates, this refugee community's COVID-19 vaccine uptake is on par with the overall population in the United States (65.8%). Because of COVID-19's disproportionately negative impact on refugee and other underserved populations, we offer recommendations for future equity-informed efforts.","container-title":"Journal of Health Care for the Poor and Underserved","DOI":"10.1353/hpu.2022.0157","ISSN":"1548-6869","issue":"4S","journalAbbreviation":"J Health Care Poor Underserved","language":"eng","note":"PMID: 36533457\nPMCID: PMC9942266","page":"25-43","source":"PubMed","title":"Advancing COVID-19 Vaccination Equity Among the Refugee Community: An Innovative Multi-Sector Collaborative Outreach Program","title-short":"Advancing COVID-19 Vaccination Equity Among the Refugee Community","volume":"33","author":[{"family":"Elmore","given":"Catherine E."},{"family":"Blackstone","given":"Sarah R."},{"family":"Carpenter","given":"Elizabeth L."},{"family":"Cortez","given":"Putnam Ivey","non-dropping-particle":"de"},{"family":"O'Donnell","given":"Claire"},{"family":"Uhlmann","given":"Erica"},{"family":"Vesser","given":"Justin"},{"family":"Hauck","given":"Fern R."}],"issued":{"date-parts":[["2022"]]}}}],"schema":"https://github.com/citation-style-language/schema/raw/master/csl-citation.json"} </w:instrText>
            </w:r>
            <w:r>
              <w:rPr>
                <w:i/>
                <w:sz w:val="14"/>
                <w:szCs w:val="14"/>
              </w:rPr>
              <w:fldChar w:fldCharType="separate"/>
            </w:r>
            <w:r w:rsidRPr="005C3CD3">
              <w:rPr>
                <w:sz w:val="14"/>
              </w:rPr>
              <w:t>(27)</w:t>
            </w:r>
            <w:r>
              <w:rPr>
                <w:i/>
                <w:sz w:val="14"/>
                <w:szCs w:val="14"/>
              </w:rPr>
              <w:fldChar w:fldCharType="end"/>
            </w:r>
          </w:p>
        </w:tc>
        <w:tc>
          <w:tcPr>
            <w:tcW w:w="11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53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26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29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General research question to describe and report on outcomes of the program; quantitative and qualitative data collected.</w:t>
            </w:r>
          </w:p>
        </w:tc>
      </w:tr>
      <w:tr w:rsidR="00D34CC9" w:rsidTr="005964B4">
        <w:trPr>
          <w:trHeight w:val="624"/>
        </w:trPr>
        <w:tc>
          <w:tcPr>
            <w:tcW w:w="80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Marquez et al., 2021</w:t>
            </w:r>
            <w:r>
              <w:rPr>
                <w:i/>
                <w:sz w:val="14"/>
                <w:szCs w:val="14"/>
              </w:rPr>
              <w:fldChar w:fldCharType="begin"/>
            </w:r>
            <w:r>
              <w:rPr>
                <w:i/>
                <w:sz w:val="14"/>
                <w:szCs w:val="14"/>
              </w:rPr>
              <w:instrText xml:space="preserve"> ADDIN ZOTERO_ITEM CSL_CITATION {"citationID":"y8kU6QV5","properties":{"formattedCitation":"(30)","plainCitation":"(30)","noteIndex":0},"citationItems":[{"id":286,"uris":["http://zotero.org/groups/4911489/items/ZKA3A6XB"],"itemData":{"id":286,"type":"article-journal","abstract":"BACKGROUND: COVID-19 vaccine coverage in the Latinx community depends on delivery systems that overcome barriers such as institutional distrust, misinformation, and access to care. We hypothesized that a community-centered vaccination strategy that included mobilization, vaccination, and \"activation\" components could successfully reach an underserved Latinx population, utilizing its social networks to boost vaccination coverage.\nMETHODS: Our community-academic-public health partnership, \"Unidos en Salud,\" utilized a theory-informed approach to design our \"Motivate, Vaccinate, and Activate\" COVID-19 vaccination strategy. Our strategy's design was guided by the PRECEDE Model and sought to address and overcome predisposing, enabling, and reinforcing barriers to COVID-19 vaccination faced by Latinx individuals in San Francisco. We evaluated our prototype outdoor, \"neighborhood\" vaccination program located in a central commercial and transport hub in the Mission District in San Francisco, using the Reach, Effectiveness, Adoption, Implementation and Maintenance (RE-AIM) framework during a 16-week period from February 1, 2021 to May 19, 2021. Programmatic data, city-wide COVID-19 surveillance data, and a survey conducted between May 2, 2021 and May 19, 2021 among 997 vaccinated clients ≥16 years old were used in the evaluation.\nRESULTS: There were 20,792 COVID-19 vaccinations administered at the neighborhood site during the 16-week evaluation period. Vaccine recipients had a median age of 43 (IQR 32-56) years, 53.9% were male and 70.5% were Latinx, 14.1% white, 7.7% Asian, 2.4% Black, and 5.3% other. Latinx vaccinated clients were substantially more likely than non-Latinx clients to have an annual household income of less than $50,000 a year (76.1% vs. 33.5%), be a first-generation immigrant (60.2% vs. 30.1%), not have health insurance (47.3% vs. 16.0%), and not have access to primary care provider (62.4% vs. 36.2%). The most frequently reported reasons for choosing vaccination at the site were its neighborhood location (28.6%), easy and convenient scheduling (26.9%) and recommendation by someone they trusted (18.1%); approximately 99% reported having an overall positive experience, regardless of ethnicity. Notably, 58.3% of clients reported that they were able to get vaccinated earlier because of the neighborhood vaccination site, 98.4% of clients completed both vaccine doses, and 90.7% said that they were more likely to recommend COVID-19 vaccination to family and friends after their experience; these findings did not substantially differ according to ethnicity. There were 40.3% of vaccinated clients who said they still knew at least one unvaccinated person (64.6% knew ≥3). Among clients who received both vaccine doses (n = 729), 91.0% said that after their vaccination experience, they had personally reached out to at least one unvaccinated person they knew (61.6% reached out to ≥3) to recommend getting vaccinated; 83.0% of clients reported that one or more friends, and/or family members got vaccinated as a result of their outreach, including 18.9% who reported 6 or more persons got vaccinated as a result of their influence.\nCONCLUSIONS: A multi-component, \"Motivate, Vaccinate, and Activate\" community-based strategy addressing barriers to COVID-19 vaccination for the Latinx population reached the intended population, and vaccinated individuals served as ambassadors to recruit other friends and family members to get vaccinated.","container-title":"PloS One","DOI":"10.1371/journal.pone.0257111","ISSN":"1932-6203","issue":"9","journalAbbreviation":"PLoS One","language":"eng","note":"PMID: 34543291\nPMCID: PMC8452046","page":"e0257111","source":"PubMed","title":"A multi-component, community-based strategy to facilitate COVID-19 vaccine uptake among Latinx populations: From theory to practice","title-short":"A multi-component, community-based strategy to facilitate COVID-19 vaccine uptake among Latinx populations","volume":"16","author":[{"family":"Marquez","given":"Carina"},{"family":"Kerkhoff","given":"Andrew D."},{"family":"Naso","given":"Jamie"},{"family":"Contreras","given":"Maria G."},{"family":"Castellanos Diaz","given":"Edgar"},{"family":"Rojas","given":"Susana"},{"family":"Peng","given":"James"},{"family":"Rubio","given":"Luis"},{"family":"Jones","given":"Diane"},{"family":"Jacobo","given":"Jon"},{"family":"Rojas","given":"Susy"},{"family":"Gonzalez","given":"Rafael"},{"family":"Fuchs","given":"Jonathan D."},{"family":"Black","given":"Douglas"},{"family":"Ribeiro","given":"Salustiano"},{"family":"Nossokoff","given":"Jen"},{"family":"Tulier-Laiwa","given":"Valerie"},{"family":"Martinez","given":"Jacqueline"},{"family":"Chamie","given":"Gabriel"},{"family":"Pilarowski","given":"Genay"},{"family":"DeRisi","given":"Joseph"},{"family":"Petersen","given":"Maya"},{"family":"Havlir","given":"Diane V."}],"issued":{"date-parts":[["2021"]]}}}],"schema":"https://github.com/citation-style-language/schema/raw/master/csl-citation.json"} </w:instrText>
            </w:r>
            <w:r>
              <w:rPr>
                <w:i/>
                <w:sz w:val="14"/>
                <w:szCs w:val="14"/>
              </w:rPr>
              <w:fldChar w:fldCharType="separate"/>
            </w:r>
            <w:r w:rsidRPr="005C3CD3">
              <w:rPr>
                <w:sz w:val="14"/>
              </w:rPr>
              <w:t>(30)</w:t>
            </w:r>
            <w:r>
              <w:rPr>
                <w:i/>
                <w:sz w:val="14"/>
                <w:szCs w:val="14"/>
              </w:rPr>
              <w:fldChar w:fldCharType="end"/>
            </w:r>
          </w:p>
        </w:tc>
        <w:tc>
          <w:tcPr>
            <w:tcW w:w="11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53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26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29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Programmatic data, city-wide COVID-19 surveillance data, and survey used in the evaluation.</w:t>
            </w:r>
          </w:p>
        </w:tc>
      </w:tr>
      <w:tr w:rsidR="00D34CC9" w:rsidTr="005964B4">
        <w:trPr>
          <w:trHeight w:val="624"/>
        </w:trPr>
        <w:tc>
          <w:tcPr>
            <w:tcW w:w="80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 xml:space="preserve">Noack, </w:t>
            </w:r>
            <w:proofErr w:type="spellStart"/>
            <w:r>
              <w:rPr>
                <w:i/>
                <w:sz w:val="14"/>
                <w:szCs w:val="14"/>
              </w:rPr>
              <w:t>Schaning</w:t>
            </w:r>
            <w:proofErr w:type="spellEnd"/>
            <w:r>
              <w:rPr>
                <w:i/>
                <w:sz w:val="14"/>
                <w:szCs w:val="14"/>
              </w:rPr>
              <w:t xml:space="preserve">, &amp; Muller, 2022 </w:t>
            </w:r>
            <w:r>
              <w:rPr>
                <w:i/>
                <w:sz w:val="14"/>
                <w:szCs w:val="14"/>
              </w:rPr>
              <w:fldChar w:fldCharType="begin"/>
            </w:r>
            <w:r>
              <w:rPr>
                <w:i/>
                <w:sz w:val="14"/>
                <w:szCs w:val="14"/>
              </w:rPr>
              <w:instrText xml:space="preserve"> ADDIN ZOTERO_ITEM CSL_CITATION {"citationID":"9OU2y0KZ","properties":{"formattedCitation":"(34)","plainCitation":"(34)","noteIndex":0},"citationItems":[{"id":312,"uris":["http://zotero.org/groups/4911489/items/HDCJWFPC"],"itemData":{"id":312,"type":"article-journal","abstract":"Language barriers are obstacles in receiving vaccinations against COVID-19. They jeopardize informed consent, vaccination safety, and a positive immunization experience. We have developed a multilingual app to overcome language barriers when dealing with vaccination candidates with a limited proficiency in the locally spoken language. We applied the Spiral Technology Action Research (STAR) model to create the app within a discursive process involving healthcare professionals (HCPs) from vaccination sites, literature searches and guidelines, and field trials at vaccination centers. In a real-world pilot test, we assessed the usability and feedback for further improvement. Our efforts resulted in an app that facilitates communication with vaccination candidates in 40 languages, each with over 500 phrases that can be played back or displayed as text. In the pilot test, the app demonstrated its usability, and was well accepted by the vaccination candidates (n = 20). The app was mainly used to inform about the risks and benefits of the SARS-CoV-2 vaccination. Some HCPs struggled to navigate the comprehensive content and the pilot test exposed the need for additional phrases. The STAR model proved to be flexible in adapting to dynamic pandemic conditions and changing recommendations. This multilingual app overcomes language barriers in healthcare settings, promoting vaccines to migrants with limited language proficiency.","container-title":"Vaccines","DOI":"10.3390/vaccines10030360","ISSN":"2076-393X","issue":"3","journalAbbreviation":"Vaccines (Basel)","note":"PMID: 35334992\nPMCID: PMC8955787","page":"360","source":"PubMed Central","title":"A Multilingual App for Providing Information to SARS-CoV-2 Vaccination Candidates with Limited Language Proficiency: Development and Pilot","title-short":"A Multilingual App for Providing Information to SARS-CoV-2 Vaccination Candidates with Limited Language Proficiency","volume":"10","author":[{"family":"Noack","given":"Eva Maria"},{"family":"Schäning","given":"Jennifer"},{"family":"Müller","given":"Frank"}],"issued":{"date-parts":[["2022",2,25]]}}}],"schema":"https://github.com/citation-style-language/schema/raw/master/csl-citation.json"} </w:instrText>
            </w:r>
            <w:r>
              <w:rPr>
                <w:i/>
                <w:sz w:val="14"/>
                <w:szCs w:val="14"/>
              </w:rPr>
              <w:fldChar w:fldCharType="separate"/>
            </w:r>
            <w:r w:rsidRPr="005C3CD3">
              <w:rPr>
                <w:sz w:val="14"/>
              </w:rPr>
              <w:t>(34)</w:t>
            </w:r>
            <w:r>
              <w:rPr>
                <w:i/>
                <w:sz w:val="14"/>
                <w:szCs w:val="14"/>
              </w:rPr>
              <w:fldChar w:fldCharType="end"/>
            </w:r>
          </w:p>
        </w:tc>
        <w:tc>
          <w:tcPr>
            <w:tcW w:w="11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53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26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29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General research objective, describes how app was developed and experiences within a pilot test on migrants; qualitative and quantitative (pilot test) reporting of methodology lacking in details.</w:t>
            </w:r>
          </w:p>
        </w:tc>
      </w:tr>
      <w:tr w:rsidR="00D34CC9" w:rsidTr="005964B4">
        <w:trPr>
          <w:trHeight w:val="624"/>
        </w:trPr>
        <w:tc>
          <w:tcPr>
            <w:tcW w:w="80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 xml:space="preserve">Rosales et al., 2023 </w:t>
            </w:r>
            <w:r>
              <w:rPr>
                <w:i/>
                <w:sz w:val="14"/>
                <w:szCs w:val="14"/>
              </w:rPr>
              <w:fldChar w:fldCharType="begin"/>
            </w:r>
            <w:r>
              <w:rPr>
                <w:i/>
                <w:sz w:val="14"/>
                <w:szCs w:val="14"/>
              </w:rPr>
              <w:instrText xml:space="preserve"> ADDIN ZOTERO_ITEM CSL_CITATION {"citationID":"dFX21emK","properties":{"formattedCitation":"(31)","plainCitation":"(31)","noteIndex":0},"citationItems":[{"id":296,"uris":["http://zotero.org/groups/4911489/items/TXWLRLUL"],"itemData":{"id":296,"type":"article-journal","abstract":"Hardly reached communities in the United States greatly benefit from collective efforts and partnerships from Community Based Organizations, Health Institutions and Government Agencies, yet the effort to engage in this collaborative effort is minimal and funding to support these projects is lacking. The COVID-19 Pandemic exacerbated on a national scale what many vulnerable communities experience regularly; difficult access to basic medical care, information and support. In an effort to directly engage with community organizations and curb the infection rate of the COVID-19 virus within vulnerable communities, the US Centers for Disease Control and Prevention (CDC) launched its first targeted effort to partner directly with community based organizations. This article will highlight the first pilot year of activities and key results of COVID-19 education and vaccination efforts by the Mobile Health and Wellness project. This is a fleet of 11 Mobile Health Vehicles managed by the Mexico Section US-Mexico Border Health Commission in partnership with Alianza Americas, Latino Commission on AIDS, and the CDC, targeting Latino, Immigrant and rural communities across the US.","container-title":"Frontiers in Public Health","DOI":"10.3389/fpubh.2022.1022772","ISSN":"2296-2565","journalAbbreviation":"Front Public Health","note":"PMID: 36699931\nPMCID: PMC9868737","page":"1022772","source":"PubMed Central","title":"Mobile Health and Wellness Project: A binational collaboration of frontline health services to the Latino population in the United States in times of COVID-19","title-short":"Mobile Health and Wellness Project","volume":"10","author":[{"family":"Rosales","given":"Cecilia B."},{"family":"Dávila Chávez","given":"Hilda"},{"family":"Flynn","given":"Michael A."},{"family":"Lara","given":"Juanita"},{"family":"Lira Chávez","given":"Isaura Angélica"},{"family":"Olivares Marín","given":"Leonardo"},{"family":"Romero Rangel","given":"Alejandra"},{"family":"Hirata Okamoto","given":"Ricardo"},{"family":"Rangel Gómez","given":"Maria Gudelia"}],"issued":{"date-parts":[["2023",1,9]]}}}],"schema":"https://github.com/citation-style-language/schema/raw/master/csl-citation.json"} </w:instrText>
            </w:r>
            <w:r>
              <w:rPr>
                <w:i/>
                <w:sz w:val="14"/>
                <w:szCs w:val="14"/>
              </w:rPr>
              <w:fldChar w:fldCharType="separate"/>
            </w:r>
            <w:r w:rsidRPr="005C3CD3">
              <w:rPr>
                <w:sz w:val="14"/>
              </w:rPr>
              <w:t>(31)</w:t>
            </w:r>
            <w:r>
              <w:rPr>
                <w:i/>
                <w:sz w:val="14"/>
                <w:szCs w:val="14"/>
              </w:rPr>
              <w:fldChar w:fldCharType="end"/>
            </w:r>
          </w:p>
        </w:tc>
        <w:tc>
          <w:tcPr>
            <w:tcW w:w="11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53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26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29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General research question with aim to highlight intervention activities and key results; demographics of the results not provided; qualitative and quantitative.</w:t>
            </w:r>
          </w:p>
        </w:tc>
      </w:tr>
      <w:tr w:rsidR="00D34CC9" w:rsidTr="005964B4">
        <w:trPr>
          <w:trHeight w:val="197"/>
        </w:trPr>
        <w:tc>
          <w:tcPr>
            <w:tcW w:w="13130" w:type="dxa"/>
            <w:gridSpan w:val="9"/>
            <w:tcBorders>
              <w:top w:val="single" w:sz="6" w:space="0" w:color="969696"/>
              <w:left w:val="single" w:sz="6" w:space="0" w:color="969696"/>
              <w:bottom w:val="single" w:sz="6" w:space="0" w:color="969696"/>
              <w:right w:val="single" w:sz="6" w:space="0" w:color="969696"/>
            </w:tcBorders>
            <w:shd w:val="clear" w:color="auto" w:fill="F3F3F3"/>
            <w:tcMar>
              <w:top w:w="40" w:type="dxa"/>
              <w:left w:w="40" w:type="dxa"/>
              <w:bottom w:w="40" w:type="dxa"/>
              <w:right w:w="40" w:type="dxa"/>
            </w:tcMar>
            <w:vAlign w:val="bottom"/>
          </w:tcPr>
          <w:p w:rsidR="00D34CC9" w:rsidRDefault="00D34CC9" w:rsidP="005964B4">
            <w:pPr>
              <w:widowControl w:val="0"/>
              <w:rPr>
                <w:b/>
                <w:sz w:val="16"/>
                <w:szCs w:val="16"/>
              </w:rPr>
            </w:pPr>
            <w:r>
              <w:rPr>
                <w:b/>
                <w:sz w:val="16"/>
                <w:szCs w:val="16"/>
              </w:rPr>
              <w:t>Other vaccines</w:t>
            </w:r>
          </w:p>
        </w:tc>
      </w:tr>
      <w:tr w:rsidR="00D34CC9" w:rsidTr="005964B4">
        <w:trPr>
          <w:trHeight w:val="624"/>
        </w:trPr>
        <w:tc>
          <w:tcPr>
            <w:tcW w:w="80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 xml:space="preserve">Harvey et al., 2022 </w:t>
            </w:r>
            <w:r>
              <w:rPr>
                <w:i/>
                <w:sz w:val="14"/>
                <w:szCs w:val="14"/>
              </w:rPr>
              <w:fldChar w:fldCharType="begin"/>
            </w:r>
            <w:r>
              <w:rPr>
                <w:i/>
                <w:sz w:val="14"/>
                <w:szCs w:val="14"/>
              </w:rPr>
              <w:instrText xml:space="preserve"> ADDIN ZOTERO_ITEM CSL_CITATION {"citationID":"yL2rLJtY","properties":{"formattedCitation":"(45)","plainCitation":"(45)","noteIndex":0},"citationItems":[{"id":308,"uris":["http://zotero.org/groups/4911489/items/RE3S47VV"],"itemData":{"id":308,"type":"article-journal","abstract":"Supporting the global eradication of wildpoliovrisu (WPV), this project aimed to provide polio and measles vaccines to a population frequenty missed by immunization services and campaigns, ethnic Somali children living among mobile populations within Kenya's Northeastern Region. Additionally, nutritional support, albendazole (for treatment of intestinal parasites) and vitamin A were provided to improve children's health and in accordance with regional vaccination campaign practices. To better understand movement patterns and healthcare-seeking behaviors within this population, we trained community-based data collectors in qualitative and geospatial data collection methods. Data collectors conducted focus group and participatory mapping discussions with ethnic Somalis living in the region. Qualitative and geospatial data indicated movement patterns that followed partially definable routes and temporary settlement patterns with an influx of ethnic Somali migrants into Kenya at the start of the long rainy season (April-June). Community members also reported concerns about receiving healthcare services in regional health facilities. Using these data, an 8-week vaccination campaign was planned and implemented: 2196 children aged 0-59 months received polio vaccine (9% had not previously received polio vaccine), 2524 children aged 9-59 months received measles vaccine (27% had not previously received measles vaccine), 113 were referred for the treatment of severe acute malnourishment, 150 were referred to a supplementary feeding program due to moderate acute malnourishment, 1636 children aged 12-59 months were provided albendazole and 2008 children aged 6-59 months were provided with vitamin A. This project serves as an example for how community-based data collectors and local knowledge can help adapt public health programming to the local context and could aid disease eradication in at-risk populations.","container-title":"Ethnicity &amp; Health","DOI":"10.1080/13557858.2020.1838455","ISSN":"1465-3419","issue":"4","journalAbbreviation":"Ethn Health","language":"eng","note":"PMID: 33126830\nPMCID: PMC10120329","page":"817-832","source":"PubMed","title":"Planning and implementing a targeted polio vaccination campaign for Somali mobile populations in Northeastern Kenya based on migration and settlement patterns","volume":"27","author":[{"family":"Harvey","given":"Bonnie"},{"family":"Dalal","given":"Warren"},{"family":"Amin","given":"Farah"},{"family":"McIntyre","given":"Elvira"},{"family":"Ward","given":"Sarah"},{"family":"Merrill","given":"Rebecca D."},{"family":"Mohamed","given":"Abdinoor"},{"family":"Hsu","given":"Christopher H."}],"issued":{"date-parts":[["2022",5]]}}}],"schema":"https://github.com/citation-style-language/schema/raw/master/csl-citation.json"} </w:instrText>
            </w:r>
            <w:r>
              <w:rPr>
                <w:i/>
                <w:sz w:val="14"/>
                <w:szCs w:val="14"/>
              </w:rPr>
              <w:fldChar w:fldCharType="separate"/>
            </w:r>
            <w:r w:rsidRPr="005C3CD3">
              <w:rPr>
                <w:sz w:val="14"/>
              </w:rPr>
              <w:t>(45)</w:t>
            </w:r>
            <w:r>
              <w:rPr>
                <w:i/>
                <w:sz w:val="14"/>
                <w:szCs w:val="14"/>
              </w:rPr>
              <w:fldChar w:fldCharType="end"/>
            </w:r>
          </w:p>
        </w:tc>
        <w:tc>
          <w:tcPr>
            <w:tcW w:w="117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53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35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Yes</w:t>
            </w:r>
          </w:p>
        </w:tc>
        <w:tc>
          <w:tcPr>
            <w:tcW w:w="1260" w:type="dxa"/>
            <w:tcBorders>
              <w:top w:val="single" w:sz="6" w:space="0" w:color="969696"/>
              <w:left w:val="single" w:sz="6" w:space="0" w:color="969696"/>
              <w:bottom w:val="single" w:sz="6" w:space="0" w:color="969696"/>
              <w:right w:val="single" w:sz="6" w:space="0" w:color="969696"/>
            </w:tcBorders>
            <w:tcMar>
              <w:top w:w="40" w:type="dxa"/>
              <w:left w:w="40" w:type="dxa"/>
              <w:bottom w:w="40" w:type="dxa"/>
              <w:right w:w="40" w:type="dxa"/>
            </w:tcMar>
          </w:tcPr>
          <w:p w:rsidR="00D34CC9" w:rsidRDefault="00D34CC9" w:rsidP="005964B4">
            <w:pPr>
              <w:widowControl w:val="0"/>
              <w:rPr>
                <w:i/>
                <w:sz w:val="14"/>
                <w:szCs w:val="14"/>
              </w:rPr>
            </w:pPr>
            <w:r>
              <w:rPr>
                <w:i/>
                <w:sz w:val="14"/>
                <w:szCs w:val="14"/>
              </w:rPr>
              <w:t>Can’t tell</w:t>
            </w:r>
          </w:p>
        </w:tc>
        <w:tc>
          <w:tcPr>
            <w:tcW w:w="2970" w:type="dxa"/>
            <w:tcBorders>
              <w:left w:val="single" w:sz="6" w:space="0" w:color="969696"/>
              <w:bottom w:val="single" w:sz="6" w:space="0" w:color="969696"/>
            </w:tcBorders>
            <w:shd w:val="clear" w:color="auto" w:fill="auto"/>
            <w:tcMar>
              <w:top w:w="100" w:type="dxa"/>
              <w:left w:w="100" w:type="dxa"/>
              <w:bottom w:w="100" w:type="dxa"/>
              <w:right w:w="100" w:type="dxa"/>
            </w:tcMar>
          </w:tcPr>
          <w:p w:rsidR="00D34CC9" w:rsidRDefault="00D34CC9" w:rsidP="005964B4">
            <w:pPr>
              <w:widowControl w:val="0"/>
              <w:spacing w:line="240" w:lineRule="auto"/>
              <w:rPr>
                <w:i/>
                <w:sz w:val="14"/>
                <w:szCs w:val="14"/>
              </w:rPr>
            </w:pPr>
            <w:r>
              <w:rPr>
                <w:i/>
                <w:sz w:val="14"/>
                <w:szCs w:val="14"/>
                <w:highlight w:val="white"/>
              </w:rPr>
              <w:t>General research question; outlines experience planning and conducting the campaign using qualitative methods; some outcome vaccine coverage data</w:t>
            </w:r>
            <w:r>
              <w:rPr>
                <w:i/>
                <w:sz w:val="14"/>
                <w:szCs w:val="14"/>
              </w:rPr>
              <w:t>.</w:t>
            </w:r>
          </w:p>
        </w:tc>
      </w:tr>
    </w:tbl>
    <w:p w:rsidR="004E4196" w:rsidRPr="004E4196" w:rsidRDefault="004E4196" w:rsidP="004E4196">
      <w:pPr>
        <w:tabs>
          <w:tab w:val="left" w:pos="2595"/>
        </w:tabs>
      </w:pPr>
      <w:bookmarkStart w:id="0" w:name="_7xkwejl6zj78" w:colFirst="0" w:colLast="0"/>
      <w:bookmarkStart w:id="1" w:name="_q86kqu28tlb2" w:colFirst="0" w:colLast="0"/>
      <w:bookmarkStart w:id="2" w:name="_GoBack"/>
      <w:bookmarkEnd w:id="0"/>
      <w:bookmarkEnd w:id="1"/>
      <w:bookmarkEnd w:id="2"/>
    </w:p>
    <w:sectPr w:rsidR="004E4196" w:rsidRPr="004E4196" w:rsidSect="00D34CC9">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D6D2E" w:rsidRDefault="001D6D2E" w:rsidP="00D34CC9">
      <w:pPr>
        <w:spacing w:line="240" w:lineRule="auto"/>
      </w:pPr>
      <w:r>
        <w:separator/>
      </w:r>
    </w:p>
  </w:endnote>
  <w:endnote w:type="continuationSeparator" w:id="0">
    <w:p w:rsidR="001D6D2E" w:rsidRDefault="001D6D2E" w:rsidP="00D34CC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D6D2E" w:rsidRDefault="001D6D2E" w:rsidP="00D34CC9">
      <w:pPr>
        <w:spacing w:line="240" w:lineRule="auto"/>
      </w:pPr>
      <w:r>
        <w:separator/>
      </w:r>
    </w:p>
  </w:footnote>
  <w:footnote w:type="continuationSeparator" w:id="0">
    <w:p w:rsidR="001D6D2E" w:rsidRDefault="001D6D2E" w:rsidP="00D34CC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AF18E5"/>
    <w:multiLevelType w:val="multilevel"/>
    <w:tmpl w:val="5B400C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B7373C6"/>
    <w:multiLevelType w:val="multilevel"/>
    <w:tmpl w:val="9566EA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F0D177E"/>
    <w:multiLevelType w:val="multilevel"/>
    <w:tmpl w:val="FFCA78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E8F1400"/>
    <w:multiLevelType w:val="multilevel"/>
    <w:tmpl w:val="FB22E5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6873785"/>
    <w:multiLevelType w:val="multilevel"/>
    <w:tmpl w:val="57AAA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86D267E"/>
    <w:multiLevelType w:val="multilevel"/>
    <w:tmpl w:val="D6B209C0"/>
    <w:lvl w:ilvl="0">
      <w:start w:val="1"/>
      <w:numFmt w:val="bullet"/>
      <w:lvlText w:val="●"/>
      <w:lvlJc w:val="left"/>
      <w:pPr>
        <w:ind w:left="720" w:hanging="360"/>
      </w:pPr>
      <w:rPr>
        <w:rFonts w:ascii="Arial" w:eastAsia="Arial" w:hAnsi="Arial" w:cs="Arial"/>
        <w:color w:val="222222"/>
        <w:sz w:val="22"/>
        <w:szCs w:val="22"/>
        <w:u w:val="none"/>
      </w:rPr>
    </w:lvl>
    <w:lvl w:ilvl="1">
      <w:start w:val="1"/>
      <w:numFmt w:val="bullet"/>
      <w:lvlText w:val="○"/>
      <w:lvlJc w:val="left"/>
      <w:pPr>
        <w:ind w:left="1440" w:hanging="360"/>
      </w:pPr>
      <w:rPr>
        <w:rFonts w:ascii="Arial" w:eastAsia="Arial" w:hAnsi="Arial" w:cs="Arial"/>
        <w:color w:val="222222"/>
        <w:sz w:val="22"/>
        <w:szCs w:val="22"/>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D002199"/>
    <w:multiLevelType w:val="multilevel"/>
    <w:tmpl w:val="4CEA289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2FE81BBA"/>
    <w:multiLevelType w:val="multilevel"/>
    <w:tmpl w:val="E042BD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621434C"/>
    <w:multiLevelType w:val="multilevel"/>
    <w:tmpl w:val="FE86FE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CB77EDD"/>
    <w:multiLevelType w:val="multilevel"/>
    <w:tmpl w:val="5B2405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3CC752C1"/>
    <w:multiLevelType w:val="multilevel"/>
    <w:tmpl w:val="EADCB6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41A80FB3"/>
    <w:multiLevelType w:val="multilevel"/>
    <w:tmpl w:val="E92609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43BD71E9"/>
    <w:multiLevelType w:val="hybridMultilevel"/>
    <w:tmpl w:val="709EC79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4A7708D0"/>
    <w:multiLevelType w:val="multilevel"/>
    <w:tmpl w:val="7D0A4E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4CF51358"/>
    <w:multiLevelType w:val="multilevel"/>
    <w:tmpl w:val="70E478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52292455"/>
    <w:multiLevelType w:val="multilevel"/>
    <w:tmpl w:val="F47CF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2DA4CAA"/>
    <w:multiLevelType w:val="hybridMultilevel"/>
    <w:tmpl w:val="B520039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73C63CD7"/>
    <w:multiLevelType w:val="multilevel"/>
    <w:tmpl w:val="686EDA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75F45A70"/>
    <w:multiLevelType w:val="multilevel"/>
    <w:tmpl w:val="6A42EE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9"/>
  </w:num>
  <w:num w:numId="2">
    <w:abstractNumId w:val="0"/>
  </w:num>
  <w:num w:numId="3">
    <w:abstractNumId w:val="1"/>
  </w:num>
  <w:num w:numId="4">
    <w:abstractNumId w:val="18"/>
  </w:num>
  <w:num w:numId="5">
    <w:abstractNumId w:val="2"/>
  </w:num>
  <w:num w:numId="6">
    <w:abstractNumId w:val="17"/>
  </w:num>
  <w:num w:numId="7">
    <w:abstractNumId w:val="3"/>
  </w:num>
  <w:num w:numId="8">
    <w:abstractNumId w:val="5"/>
  </w:num>
  <w:num w:numId="9">
    <w:abstractNumId w:val="10"/>
  </w:num>
  <w:num w:numId="10">
    <w:abstractNumId w:val="13"/>
  </w:num>
  <w:num w:numId="11">
    <w:abstractNumId w:val="8"/>
  </w:num>
  <w:num w:numId="12">
    <w:abstractNumId w:val="11"/>
  </w:num>
  <w:num w:numId="13">
    <w:abstractNumId w:val="14"/>
  </w:num>
  <w:num w:numId="14">
    <w:abstractNumId w:val="6"/>
  </w:num>
  <w:num w:numId="15">
    <w:abstractNumId w:val="7"/>
  </w:num>
  <w:num w:numId="16">
    <w:abstractNumId w:val="16"/>
  </w:num>
  <w:num w:numId="17">
    <w:abstractNumId w:val="4"/>
  </w:num>
  <w:num w:numId="18">
    <w:abstractNumId w:val="15"/>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4CC9"/>
    <w:rsid w:val="001C6CC5"/>
    <w:rsid w:val="001D6D2E"/>
    <w:rsid w:val="004E4196"/>
    <w:rsid w:val="00722AC9"/>
    <w:rsid w:val="00BC4223"/>
    <w:rsid w:val="00D34CC9"/>
    <w:rsid w:val="00EA22C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750196"/>
  <w15:chartTrackingRefBased/>
  <w15:docId w15:val="{4DB60DBA-B396-4C85-B4C9-A0E774DDA4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34CC9"/>
    <w:pPr>
      <w:spacing w:after="0" w:line="276" w:lineRule="auto"/>
    </w:pPr>
    <w:rPr>
      <w:rFonts w:ascii="Arial" w:eastAsia="Arial" w:hAnsi="Arial" w:cs="Arial"/>
      <w:lang w:val="en" w:eastAsia="en-CA"/>
    </w:rPr>
  </w:style>
  <w:style w:type="paragraph" w:styleId="Heading1">
    <w:name w:val="heading 1"/>
    <w:basedOn w:val="Normal"/>
    <w:next w:val="Normal"/>
    <w:link w:val="Heading1Char"/>
    <w:uiPriority w:val="9"/>
    <w:qFormat/>
    <w:rsid w:val="00D34CC9"/>
    <w:pPr>
      <w:keepNext/>
      <w:keepLines/>
      <w:spacing w:before="400" w:after="120"/>
      <w:outlineLvl w:val="0"/>
    </w:pPr>
    <w:rPr>
      <w:sz w:val="40"/>
      <w:szCs w:val="40"/>
    </w:rPr>
  </w:style>
  <w:style w:type="paragraph" w:styleId="Heading2">
    <w:name w:val="heading 2"/>
    <w:basedOn w:val="Normal"/>
    <w:next w:val="Normal"/>
    <w:link w:val="Heading2Char"/>
    <w:uiPriority w:val="9"/>
    <w:unhideWhenUsed/>
    <w:qFormat/>
    <w:rsid w:val="00D34CC9"/>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rsid w:val="00D34CC9"/>
    <w:pPr>
      <w:keepNext/>
      <w:keepLines/>
      <w:spacing w:before="320" w:after="80"/>
      <w:outlineLvl w:val="2"/>
    </w:pPr>
    <w:rPr>
      <w:color w:val="434343"/>
      <w:sz w:val="28"/>
      <w:szCs w:val="28"/>
    </w:rPr>
  </w:style>
  <w:style w:type="paragraph" w:styleId="Heading4">
    <w:name w:val="heading 4"/>
    <w:basedOn w:val="Normal"/>
    <w:next w:val="Normal"/>
    <w:link w:val="Heading4Char"/>
    <w:uiPriority w:val="9"/>
    <w:semiHidden/>
    <w:unhideWhenUsed/>
    <w:qFormat/>
    <w:rsid w:val="00D34CC9"/>
    <w:pPr>
      <w:keepNext/>
      <w:keepLines/>
      <w:spacing w:before="280" w:after="80"/>
      <w:outlineLvl w:val="3"/>
    </w:pPr>
    <w:rPr>
      <w:color w:val="666666"/>
      <w:sz w:val="24"/>
      <w:szCs w:val="24"/>
    </w:rPr>
  </w:style>
  <w:style w:type="paragraph" w:styleId="Heading5">
    <w:name w:val="heading 5"/>
    <w:basedOn w:val="Normal"/>
    <w:next w:val="Normal"/>
    <w:link w:val="Heading5Char"/>
    <w:uiPriority w:val="9"/>
    <w:semiHidden/>
    <w:unhideWhenUsed/>
    <w:qFormat/>
    <w:rsid w:val="00D34CC9"/>
    <w:pPr>
      <w:keepNext/>
      <w:keepLines/>
      <w:spacing w:before="240" w:after="80"/>
      <w:outlineLvl w:val="4"/>
    </w:pPr>
    <w:rPr>
      <w:color w:val="666666"/>
    </w:rPr>
  </w:style>
  <w:style w:type="paragraph" w:styleId="Heading6">
    <w:name w:val="heading 6"/>
    <w:basedOn w:val="Normal"/>
    <w:next w:val="Normal"/>
    <w:link w:val="Heading6Char"/>
    <w:uiPriority w:val="9"/>
    <w:semiHidden/>
    <w:unhideWhenUsed/>
    <w:qFormat/>
    <w:rsid w:val="00D34CC9"/>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4CC9"/>
    <w:rPr>
      <w:rFonts w:ascii="Arial" w:eastAsia="Arial" w:hAnsi="Arial" w:cs="Arial"/>
      <w:sz w:val="40"/>
      <w:szCs w:val="40"/>
      <w:lang w:val="en" w:eastAsia="en-CA"/>
    </w:rPr>
  </w:style>
  <w:style w:type="character" w:customStyle="1" w:styleId="Heading2Char">
    <w:name w:val="Heading 2 Char"/>
    <w:basedOn w:val="DefaultParagraphFont"/>
    <w:link w:val="Heading2"/>
    <w:uiPriority w:val="9"/>
    <w:rsid w:val="00D34CC9"/>
    <w:rPr>
      <w:rFonts w:ascii="Arial" w:eastAsia="Arial" w:hAnsi="Arial" w:cs="Arial"/>
      <w:sz w:val="32"/>
      <w:szCs w:val="32"/>
      <w:lang w:val="en" w:eastAsia="en-CA"/>
    </w:rPr>
  </w:style>
  <w:style w:type="character" w:customStyle="1" w:styleId="Heading3Char">
    <w:name w:val="Heading 3 Char"/>
    <w:basedOn w:val="DefaultParagraphFont"/>
    <w:link w:val="Heading3"/>
    <w:uiPriority w:val="9"/>
    <w:rsid w:val="00D34CC9"/>
    <w:rPr>
      <w:rFonts w:ascii="Arial" w:eastAsia="Arial" w:hAnsi="Arial" w:cs="Arial"/>
      <w:color w:val="434343"/>
      <w:sz w:val="28"/>
      <w:szCs w:val="28"/>
      <w:lang w:val="en" w:eastAsia="en-CA"/>
    </w:rPr>
  </w:style>
  <w:style w:type="character" w:customStyle="1" w:styleId="Heading4Char">
    <w:name w:val="Heading 4 Char"/>
    <w:basedOn w:val="DefaultParagraphFont"/>
    <w:link w:val="Heading4"/>
    <w:uiPriority w:val="9"/>
    <w:semiHidden/>
    <w:rsid w:val="00D34CC9"/>
    <w:rPr>
      <w:rFonts w:ascii="Arial" w:eastAsia="Arial" w:hAnsi="Arial" w:cs="Arial"/>
      <w:color w:val="666666"/>
      <w:sz w:val="24"/>
      <w:szCs w:val="24"/>
      <w:lang w:val="en" w:eastAsia="en-CA"/>
    </w:rPr>
  </w:style>
  <w:style w:type="character" w:customStyle="1" w:styleId="Heading5Char">
    <w:name w:val="Heading 5 Char"/>
    <w:basedOn w:val="DefaultParagraphFont"/>
    <w:link w:val="Heading5"/>
    <w:uiPriority w:val="9"/>
    <w:semiHidden/>
    <w:rsid w:val="00D34CC9"/>
    <w:rPr>
      <w:rFonts w:ascii="Arial" w:eastAsia="Arial" w:hAnsi="Arial" w:cs="Arial"/>
      <w:color w:val="666666"/>
      <w:lang w:val="en" w:eastAsia="en-CA"/>
    </w:rPr>
  </w:style>
  <w:style w:type="character" w:customStyle="1" w:styleId="Heading6Char">
    <w:name w:val="Heading 6 Char"/>
    <w:basedOn w:val="DefaultParagraphFont"/>
    <w:link w:val="Heading6"/>
    <w:uiPriority w:val="9"/>
    <w:semiHidden/>
    <w:rsid w:val="00D34CC9"/>
    <w:rPr>
      <w:rFonts w:ascii="Arial" w:eastAsia="Arial" w:hAnsi="Arial" w:cs="Arial"/>
      <w:i/>
      <w:color w:val="666666"/>
      <w:lang w:val="en" w:eastAsia="en-CA"/>
    </w:rPr>
  </w:style>
  <w:style w:type="paragraph" w:styleId="Title">
    <w:name w:val="Title"/>
    <w:basedOn w:val="Normal"/>
    <w:next w:val="Normal"/>
    <w:link w:val="TitleChar"/>
    <w:uiPriority w:val="10"/>
    <w:qFormat/>
    <w:rsid w:val="00D34CC9"/>
    <w:pPr>
      <w:keepNext/>
      <w:keepLines/>
      <w:spacing w:after="60"/>
    </w:pPr>
    <w:rPr>
      <w:sz w:val="52"/>
      <w:szCs w:val="52"/>
    </w:rPr>
  </w:style>
  <w:style w:type="character" w:customStyle="1" w:styleId="TitleChar">
    <w:name w:val="Title Char"/>
    <w:basedOn w:val="DefaultParagraphFont"/>
    <w:link w:val="Title"/>
    <w:uiPriority w:val="10"/>
    <w:rsid w:val="00D34CC9"/>
    <w:rPr>
      <w:rFonts w:ascii="Arial" w:eastAsia="Arial" w:hAnsi="Arial" w:cs="Arial"/>
      <w:sz w:val="52"/>
      <w:szCs w:val="52"/>
      <w:lang w:val="en" w:eastAsia="en-CA"/>
    </w:rPr>
  </w:style>
  <w:style w:type="paragraph" w:styleId="Subtitle">
    <w:name w:val="Subtitle"/>
    <w:basedOn w:val="Normal"/>
    <w:next w:val="Normal"/>
    <w:link w:val="SubtitleChar"/>
    <w:uiPriority w:val="11"/>
    <w:qFormat/>
    <w:rsid w:val="00D34CC9"/>
    <w:pPr>
      <w:keepNext/>
      <w:keepLines/>
      <w:spacing w:after="320"/>
    </w:pPr>
    <w:rPr>
      <w:color w:val="666666"/>
      <w:sz w:val="30"/>
      <w:szCs w:val="30"/>
    </w:rPr>
  </w:style>
  <w:style w:type="character" w:customStyle="1" w:styleId="SubtitleChar">
    <w:name w:val="Subtitle Char"/>
    <w:basedOn w:val="DefaultParagraphFont"/>
    <w:link w:val="Subtitle"/>
    <w:uiPriority w:val="11"/>
    <w:rsid w:val="00D34CC9"/>
    <w:rPr>
      <w:rFonts w:ascii="Arial" w:eastAsia="Arial" w:hAnsi="Arial" w:cs="Arial"/>
      <w:color w:val="666666"/>
      <w:sz w:val="30"/>
      <w:szCs w:val="30"/>
      <w:lang w:val="en" w:eastAsia="en-CA"/>
    </w:rPr>
  </w:style>
  <w:style w:type="paragraph" w:styleId="BalloonText">
    <w:name w:val="Balloon Text"/>
    <w:basedOn w:val="Normal"/>
    <w:link w:val="BalloonTextChar"/>
    <w:uiPriority w:val="99"/>
    <w:semiHidden/>
    <w:unhideWhenUsed/>
    <w:rsid w:val="00D34CC9"/>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4CC9"/>
    <w:rPr>
      <w:rFonts w:ascii="Segoe UI" w:eastAsia="Arial" w:hAnsi="Segoe UI" w:cs="Segoe UI"/>
      <w:sz w:val="18"/>
      <w:szCs w:val="18"/>
      <w:lang w:val="en" w:eastAsia="en-CA"/>
    </w:rPr>
  </w:style>
  <w:style w:type="paragraph" w:styleId="Bibliography">
    <w:name w:val="Bibliography"/>
    <w:basedOn w:val="Normal"/>
    <w:next w:val="Normal"/>
    <w:uiPriority w:val="37"/>
    <w:unhideWhenUsed/>
    <w:rsid w:val="00D34CC9"/>
    <w:pPr>
      <w:tabs>
        <w:tab w:val="left" w:pos="264"/>
      </w:tabs>
      <w:spacing w:after="240" w:line="240" w:lineRule="auto"/>
      <w:ind w:left="264" w:hanging="264"/>
    </w:pPr>
  </w:style>
  <w:style w:type="character" w:customStyle="1" w:styleId="tab">
    <w:name w:val="tab"/>
    <w:basedOn w:val="DefaultParagraphFont"/>
    <w:rsid w:val="00D34CC9"/>
  </w:style>
  <w:style w:type="paragraph" w:styleId="ListParagraph">
    <w:name w:val="List Paragraph"/>
    <w:basedOn w:val="Normal"/>
    <w:uiPriority w:val="34"/>
    <w:qFormat/>
    <w:rsid w:val="00D34CC9"/>
    <w:pPr>
      <w:ind w:left="720"/>
      <w:contextualSpacing/>
    </w:pPr>
  </w:style>
  <w:style w:type="character" w:styleId="CommentReference">
    <w:name w:val="annotation reference"/>
    <w:basedOn w:val="DefaultParagraphFont"/>
    <w:uiPriority w:val="99"/>
    <w:semiHidden/>
    <w:unhideWhenUsed/>
    <w:rsid w:val="00D34CC9"/>
    <w:rPr>
      <w:sz w:val="16"/>
      <w:szCs w:val="16"/>
    </w:rPr>
  </w:style>
  <w:style w:type="paragraph" w:styleId="CommentText">
    <w:name w:val="annotation text"/>
    <w:basedOn w:val="Normal"/>
    <w:link w:val="CommentTextChar"/>
    <w:uiPriority w:val="99"/>
    <w:semiHidden/>
    <w:unhideWhenUsed/>
    <w:rsid w:val="00D34CC9"/>
    <w:pPr>
      <w:spacing w:line="240" w:lineRule="auto"/>
    </w:pPr>
    <w:rPr>
      <w:sz w:val="20"/>
      <w:szCs w:val="20"/>
    </w:rPr>
  </w:style>
  <w:style w:type="character" w:customStyle="1" w:styleId="CommentTextChar">
    <w:name w:val="Comment Text Char"/>
    <w:basedOn w:val="DefaultParagraphFont"/>
    <w:link w:val="CommentText"/>
    <w:uiPriority w:val="99"/>
    <w:semiHidden/>
    <w:rsid w:val="00D34CC9"/>
    <w:rPr>
      <w:rFonts w:ascii="Arial" w:eastAsia="Arial" w:hAnsi="Arial" w:cs="Arial"/>
      <w:sz w:val="20"/>
      <w:szCs w:val="20"/>
      <w:lang w:val="en" w:eastAsia="en-CA"/>
    </w:rPr>
  </w:style>
  <w:style w:type="paragraph" w:styleId="CommentSubject">
    <w:name w:val="annotation subject"/>
    <w:basedOn w:val="CommentText"/>
    <w:next w:val="CommentText"/>
    <w:link w:val="CommentSubjectChar"/>
    <w:uiPriority w:val="99"/>
    <w:semiHidden/>
    <w:unhideWhenUsed/>
    <w:rsid w:val="00D34CC9"/>
    <w:rPr>
      <w:b/>
      <w:bCs/>
    </w:rPr>
  </w:style>
  <w:style w:type="character" w:customStyle="1" w:styleId="CommentSubjectChar">
    <w:name w:val="Comment Subject Char"/>
    <w:basedOn w:val="CommentTextChar"/>
    <w:link w:val="CommentSubject"/>
    <w:uiPriority w:val="99"/>
    <w:semiHidden/>
    <w:rsid w:val="00D34CC9"/>
    <w:rPr>
      <w:rFonts w:ascii="Arial" w:eastAsia="Arial" w:hAnsi="Arial" w:cs="Arial"/>
      <w:b/>
      <w:bCs/>
      <w:sz w:val="20"/>
      <w:szCs w:val="20"/>
      <w:lang w:val="en" w:eastAsia="en-CA"/>
    </w:rPr>
  </w:style>
  <w:style w:type="paragraph" w:styleId="TOC1">
    <w:name w:val="toc 1"/>
    <w:basedOn w:val="Normal"/>
    <w:next w:val="Normal"/>
    <w:autoRedefine/>
    <w:uiPriority w:val="39"/>
    <w:unhideWhenUsed/>
    <w:rsid w:val="00D34CC9"/>
    <w:pPr>
      <w:spacing w:after="100"/>
    </w:pPr>
  </w:style>
  <w:style w:type="paragraph" w:styleId="TOC2">
    <w:name w:val="toc 2"/>
    <w:basedOn w:val="Normal"/>
    <w:next w:val="Normal"/>
    <w:autoRedefine/>
    <w:uiPriority w:val="39"/>
    <w:unhideWhenUsed/>
    <w:rsid w:val="00D34CC9"/>
    <w:pPr>
      <w:spacing w:after="100"/>
      <w:ind w:left="220"/>
    </w:pPr>
  </w:style>
  <w:style w:type="paragraph" w:styleId="TOC3">
    <w:name w:val="toc 3"/>
    <w:basedOn w:val="Normal"/>
    <w:next w:val="Normal"/>
    <w:autoRedefine/>
    <w:uiPriority w:val="39"/>
    <w:unhideWhenUsed/>
    <w:rsid w:val="00D34CC9"/>
    <w:pPr>
      <w:spacing w:after="100"/>
      <w:ind w:left="440"/>
    </w:pPr>
  </w:style>
  <w:style w:type="character" w:styleId="Hyperlink">
    <w:name w:val="Hyperlink"/>
    <w:basedOn w:val="DefaultParagraphFont"/>
    <w:uiPriority w:val="99"/>
    <w:unhideWhenUsed/>
    <w:rsid w:val="00D34CC9"/>
    <w:rPr>
      <w:color w:val="0563C1" w:themeColor="hyperlink"/>
      <w:u w:val="single"/>
    </w:rPr>
  </w:style>
  <w:style w:type="character" w:styleId="UnresolvedMention">
    <w:name w:val="Unresolved Mention"/>
    <w:basedOn w:val="DefaultParagraphFont"/>
    <w:uiPriority w:val="99"/>
    <w:semiHidden/>
    <w:unhideWhenUsed/>
    <w:rsid w:val="00D34CC9"/>
    <w:rPr>
      <w:color w:val="605E5C"/>
      <w:shd w:val="clear" w:color="auto" w:fill="E1DFDD"/>
    </w:rPr>
  </w:style>
  <w:style w:type="paragraph" w:styleId="Revision">
    <w:name w:val="Revision"/>
    <w:hidden/>
    <w:uiPriority w:val="99"/>
    <w:semiHidden/>
    <w:rsid w:val="00D34CC9"/>
    <w:pPr>
      <w:spacing w:after="0" w:line="240" w:lineRule="auto"/>
    </w:pPr>
    <w:rPr>
      <w:rFonts w:ascii="Arial" w:eastAsia="Arial" w:hAnsi="Arial" w:cs="Arial"/>
      <w:lang w:val="en" w:eastAsia="en-CA"/>
    </w:rPr>
  </w:style>
  <w:style w:type="paragraph" w:styleId="NormalWeb">
    <w:name w:val="Normal (Web)"/>
    <w:basedOn w:val="Normal"/>
    <w:uiPriority w:val="99"/>
    <w:semiHidden/>
    <w:unhideWhenUsed/>
    <w:rsid w:val="00D34CC9"/>
    <w:pPr>
      <w:spacing w:before="100" w:beforeAutospacing="1" w:after="100" w:afterAutospacing="1" w:line="240" w:lineRule="auto"/>
    </w:pPr>
    <w:rPr>
      <w:rFonts w:ascii="Times New Roman" w:eastAsia="Times New Roman" w:hAnsi="Times New Roman" w:cs="Times New Roman"/>
      <w:sz w:val="24"/>
      <w:szCs w:val="24"/>
      <w:lang w:val="en-CA"/>
    </w:rPr>
  </w:style>
  <w:style w:type="character" w:styleId="FollowedHyperlink">
    <w:name w:val="FollowedHyperlink"/>
    <w:basedOn w:val="DefaultParagraphFont"/>
    <w:uiPriority w:val="99"/>
    <w:semiHidden/>
    <w:unhideWhenUsed/>
    <w:rsid w:val="00D34CC9"/>
    <w:rPr>
      <w:color w:val="954F72" w:themeColor="followedHyperlink"/>
      <w:u w:val="single"/>
    </w:rPr>
  </w:style>
  <w:style w:type="paragraph" w:styleId="Header">
    <w:name w:val="header"/>
    <w:basedOn w:val="Normal"/>
    <w:link w:val="HeaderChar"/>
    <w:uiPriority w:val="99"/>
    <w:unhideWhenUsed/>
    <w:rsid w:val="00D34CC9"/>
    <w:pPr>
      <w:tabs>
        <w:tab w:val="center" w:pos="4680"/>
        <w:tab w:val="right" w:pos="9360"/>
      </w:tabs>
      <w:spacing w:line="240" w:lineRule="auto"/>
    </w:pPr>
  </w:style>
  <w:style w:type="character" w:customStyle="1" w:styleId="HeaderChar">
    <w:name w:val="Header Char"/>
    <w:basedOn w:val="DefaultParagraphFont"/>
    <w:link w:val="Header"/>
    <w:uiPriority w:val="99"/>
    <w:rsid w:val="00D34CC9"/>
    <w:rPr>
      <w:rFonts w:ascii="Arial" w:eastAsia="Arial" w:hAnsi="Arial" w:cs="Arial"/>
      <w:lang w:val="en" w:eastAsia="en-CA"/>
    </w:rPr>
  </w:style>
  <w:style w:type="paragraph" w:styleId="Footer">
    <w:name w:val="footer"/>
    <w:basedOn w:val="Normal"/>
    <w:link w:val="FooterChar"/>
    <w:uiPriority w:val="99"/>
    <w:unhideWhenUsed/>
    <w:rsid w:val="00D34CC9"/>
    <w:pPr>
      <w:tabs>
        <w:tab w:val="center" w:pos="4680"/>
        <w:tab w:val="right" w:pos="9360"/>
      </w:tabs>
      <w:spacing w:line="240" w:lineRule="auto"/>
    </w:pPr>
  </w:style>
  <w:style w:type="character" w:customStyle="1" w:styleId="FooterChar">
    <w:name w:val="Footer Char"/>
    <w:basedOn w:val="DefaultParagraphFont"/>
    <w:link w:val="Footer"/>
    <w:uiPriority w:val="99"/>
    <w:rsid w:val="00D34CC9"/>
    <w:rPr>
      <w:rFonts w:ascii="Arial" w:eastAsia="Arial" w:hAnsi="Arial" w:cs="Arial"/>
      <w:lang w:val="en"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5</Pages>
  <Words>15198</Words>
  <Characters>86632</Characters>
  <Application>Microsoft Office Word</Application>
  <DocSecurity>0</DocSecurity>
  <Lines>721</Lines>
  <Paragraphs>203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DG</dc:creator>
  <cp:keywords/>
  <dc:description/>
  <cp:lastModifiedBy>DG</cp:lastModifiedBy>
  <cp:revision>4</cp:revision>
  <dcterms:created xsi:type="dcterms:W3CDTF">2024-03-04T21:33:00Z</dcterms:created>
  <dcterms:modified xsi:type="dcterms:W3CDTF">2024-03-05T03:53:00Z</dcterms:modified>
</cp:coreProperties>
</file>