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023A5" w14:textId="77777777" w:rsidR="004E38A4" w:rsidRPr="00416605" w:rsidRDefault="004E38A4" w:rsidP="004E38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6605">
        <w:rPr>
          <w:rFonts w:ascii="Times New Roman" w:hAnsi="Times New Roman" w:cs="Times New Roman"/>
          <w:b/>
          <w:bCs/>
          <w:sz w:val="28"/>
          <w:szCs w:val="28"/>
        </w:rPr>
        <w:t>Supplemental Materials and Methods</w:t>
      </w:r>
    </w:p>
    <w:p w14:paraId="6989F7B7" w14:textId="77777777" w:rsidR="008F4C53" w:rsidRPr="00F43249" w:rsidRDefault="008F4C53" w:rsidP="008F4C53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F43249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Integration of Single cell RNA-seq data</w:t>
      </w:r>
    </w:p>
    <w:p w14:paraId="6CF11360" w14:textId="77777777" w:rsidR="008F4C53" w:rsidRPr="006F6851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Gene expression normalization was performed using Seurat's </w:t>
      </w:r>
      <w:proofErr w:type="spellStart"/>
      <w:proofErr w:type="gramStart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NormalizeData</w:t>
      </w:r>
      <w:proofErr w:type="spell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(</w:t>
      </w:r>
      <w:proofErr w:type="gram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) function. Subsequently, the top 4000 highly variable genes were identified using </w:t>
      </w:r>
      <w:proofErr w:type="spellStart"/>
      <w:proofErr w:type="gramStart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FindVariableGenes</w:t>
      </w:r>
      <w:proofErr w:type="spell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(</w:t>
      </w:r>
      <w:proofErr w:type="gram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). For batch correction, the six sample datasets were integrated following Seurat's standard integration protocol. This involved the use of </w:t>
      </w:r>
      <w:proofErr w:type="spellStart"/>
      <w:proofErr w:type="gramStart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FindIntegrationAnchors</w:t>
      </w:r>
      <w:proofErr w:type="spell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(</w:t>
      </w:r>
      <w:proofErr w:type="gram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) and </w:t>
      </w:r>
      <w:proofErr w:type="spellStart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IntegrateData</w:t>
      </w:r>
      <w:proofErr w:type="spellEnd"/>
      <w:r w:rsidRPr="006F6851">
        <w:rPr>
          <w:rFonts w:ascii="Times New Roman" w:eastAsiaTheme="minorEastAsia" w:hAnsi="Times New Roman" w:cs="Times New Roman"/>
          <w:noProof w:val="0"/>
          <w:sz w:val="24"/>
          <w:szCs w:val="24"/>
        </w:rPr>
        <w:t>() functions with dimensions set to 1:50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.</w:t>
      </w:r>
    </w:p>
    <w:p w14:paraId="7781394A" w14:textId="77777777" w:rsidR="008F4C53" w:rsidRPr="00D61268" w:rsidRDefault="008F4C53" w:rsidP="008F4C53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F044A0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Dimension reduction and unsupervised clustering</w:t>
      </w:r>
    </w:p>
    <w:p w14:paraId="337FCFFC" w14:textId="77777777" w:rsidR="008F4C53" w:rsidRPr="00F044A0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F044A0">
        <w:rPr>
          <w:rFonts w:ascii="Times New Roman" w:eastAsiaTheme="minorEastAsia" w:hAnsi="Times New Roman" w:cs="Times New Roman"/>
          <w:noProof w:val="0"/>
          <w:sz w:val="24"/>
          <w:szCs w:val="24"/>
        </w:rPr>
        <w:t>Dimensionality reduction of the data was performed using Principal Component Analysis (PCA) on the highly variable genes. The top 40 principal components (PCs) were selected for unsupervised single-cell clustering. Subsequently, non-linear dimensional reduction using Uniform Manifold Approximation and Projection (UMAP) was employed for visual representation of the clusters, with a set resolution of 1.0.</w:t>
      </w:r>
    </w:p>
    <w:p w14:paraId="495AB304" w14:textId="77777777" w:rsidR="008F4C53" w:rsidRPr="007C6D0D" w:rsidRDefault="008F4C53" w:rsidP="008F4C53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7C6D0D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Differential gene expression analysis</w:t>
      </w:r>
    </w:p>
    <w:p w14:paraId="37926A55" w14:textId="1062C329" w:rsidR="008F4C53" w:rsidRPr="00A1347A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Cell types were identified by analyzing DEGs for each cluster using Seurat's </w:t>
      </w:r>
      <w:proofErr w:type="spellStart"/>
      <w:proofErr w:type="gramStart"/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>FindAllMarkers</w:t>
      </w:r>
      <w:proofErr w:type="spellEnd"/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>(</w:t>
      </w:r>
      <w:proofErr w:type="gramEnd"/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) function with the parameters set to a minimum percentage of 0.25 and a log fold-change threshold of 0.5. For distinguishing DEGs between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OLP </w:t>
      </w:r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and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healthy controls</w:t>
      </w:r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, the </w:t>
      </w:r>
      <w:proofErr w:type="spellStart"/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>EnhancedVolcano</w:t>
      </w:r>
      <w:proofErr w:type="spellEnd"/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R package (version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1</w:t>
      </w:r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20.0</w:t>
      </w:r>
      <w:r w:rsidRPr="00A1347A">
        <w:rPr>
          <w:rFonts w:ascii="Times New Roman" w:eastAsiaTheme="minorEastAsia" w:hAnsi="Times New Roman" w:cs="Times New Roman"/>
          <w:noProof w:val="0"/>
          <w:sz w:val="24"/>
          <w:szCs w:val="24"/>
        </w:rPr>
        <w:t>) was employed, applying thresholds of an absolute log2 fold-change greater than 0.8 and a p-value less than 10e-5.</w:t>
      </w:r>
    </w:p>
    <w:p w14:paraId="07061C78" w14:textId="77777777" w:rsidR="008F4C53" w:rsidRDefault="008F4C53" w:rsidP="008F4C53">
      <w:pPr>
        <w:pStyle w:val="EndNoteBibliography"/>
        <w:rPr>
          <w:b/>
          <w:bCs/>
        </w:rPr>
      </w:pPr>
      <w:r w:rsidRPr="00532125">
        <w:rPr>
          <w:rFonts w:ascii="Times New Roman" w:eastAsiaTheme="minorEastAsia" w:hAnsi="Times New Roman" w:cs="Times New Roman" w:hint="eastAsia"/>
          <w:b/>
          <w:bCs/>
          <w:noProof w:val="0"/>
          <w:sz w:val="24"/>
          <w:szCs w:val="24"/>
        </w:rPr>
        <w:t>P</w:t>
      </w:r>
      <w:r w:rsidRPr="00532125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athway enrichment</w:t>
      </w:r>
    </w:p>
    <w:p w14:paraId="107ED60D" w14:textId="77777777" w:rsidR="008F4C53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The gene set enrichment analysis (GSEA) for DEGs was conducted using the </w:t>
      </w:r>
      <w:proofErr w:type="spellStart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>clusterProfiler</w:t>
      </w:r>
      <w:proofErr w:type="spellEnd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package (version 4.0.5) and the GSVA package (version 1.42.0). GSVA enrichment scores were subsequently analyzed using the </w:t>
      </w:r>
      <w:proofErr w:type="spellStart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>limma</w:t>
      </w:r>
      <w:proofErr w:type="spellEnd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package (version 3.50.3) to identify differentially expressed pathways. Enrichment of Gene Ontology (GO) biological process terms was performed using </w:t>
      </w:r>
      <w:proofErr w:type="spellStart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>clusterProfiler</w:t>
      </w:r>
      <w:proofErr w:type="spellEnd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(version 4.0.5) and </w:t>
      </w:r>
      <w:proofErr w:type="spellStart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>org.Hs.eg.db</w:t>
      </w:r>
      <w:proofErr w:type="spellEnd"/>
      <w:r w:rsidRPr="00532125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package (version 3.14.0).</w:t>
      </w:r>
    </w:p>
    <w:p w14:paraId="6CE67BE0" w14:textId="77777777" w:rsidR="008F4C53" w:rsidRDefault="008F4C53" w:rsidP="008F4C53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7E643A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 xml:space="preserve">Single-Cell </w:t>
      </w:r>
      <w:r>
        <w:rPr>
          <w:rFonts w:ascii="Times New Roman" w:eastAsiaTheme="minorEastAsia" w:hAnsi="Times New Roman" w:cs="Times New Roman" w:hint="eastAsia"/>
          <w:b/>
          <w:bCs/>
          <w:noProof w:val="0"/>
          <w:sz w:val="24"/>
          <w:szCs w:val="24"/>
        </w:rPr>
        <w:t>re</w:t>
      </w:r>
      <w:r w:rsidRPr="007E643A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 xml:space="preserve">gulatory </w:t>
      </w:r>
      <w:r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n</w:t>
      </w:r>
      <w:r w:rsidRPr="007E643A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 xml:space="preserve">etwork </w:t>
      </w:r>
      <w:r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i</w:t>
      </w:r>
      <w:r w:rsidRPr="007E643A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 xml:space="preserve">nference and </w:t>
      </w:r>
      <w:r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c</w:t>
      </w:r>
      <w:r w:rsidRPr="007E643A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lustering</w:t>
      </w:r>
    </w:p>
    <w:p w14:paraId="612B2155" w14:textId="77777777" w:rsidR="008F4C53" w:rsidRPr="00C30579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The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pySCENIC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toolkit (version 0.12.1) within a Python framework was used to </w:t>
      </w:r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lastRenderedPageBreak/>
        <w:t xml:space="preserve">conduct an in-depth analysis of single-cell regulatory networks. The generation of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coexpression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gene regulatory networks was achieved with the “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pyscenic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grn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” command, employing the GRNBoost2 algorithm. </w:t>
      </w:r>
      <w:proofErr w:type="gram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Subsequent to</w:t>
      </w:r>
      <w:proofErr w:type="gram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network generation, we conducted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AUCell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analysis, applying specific parameters: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auc_threshold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= 0.05, and </w:t>
      </w:r>
      <w:proofErr w:type="spellStart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>nes_threshold</w:t>
      </w:r>
      <w:proofErr w:type="spellEnd"/>
      <w:r w:rsidRPr="00C30579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= 5.</w:t>
      </w:r>
    </w:p>
    <w:p w14:paraId="4EAA9584" w14:textId="77777777" w:rsidR="008F4C53" w:rsidRPr="00532125" w:rsidRDefault="008F4C53" w:rsidP="008F4C53">
      <w:pPr>
        <w:pStyle w:val="EndNoteBibliography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532125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Cell-cell communication analysis</w:t>
      </w:r>
    </w:p>
    <w:p w14:paraId="0136C86A" w14:textId="77777777" w:rsidR="008F4C53" w:rsidRPr="007C26A6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7C26A6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Cell-cell interaction analysis was performed using the </w:t>
      </w:r>
      <w:proofErr w:type="spellStart"/>
      <w:r w:rsidRPr="007C26A6">
        <w:rPr>
          <w:rFonts w:ascii="Times New Roman" w:eastAsiaTheme="minorEastAsia" w:hAnsi="Times New Roman" w:cs="Times New Roman"/>
          <w:noProof w:val="0"/>
          <w:sz w:val="24"/>
          <w:szCs w:val="24"/>
        </w:rPr>
        <w:t>CellChat</w:t>
      </w:r>
      <w:proofErr w:type="spellEnd"/>
      <w:r w:rsidRPr="007C26A6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R package (version 1.6.1). We selectively focused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on the </w:t>
      </w:r>
      <w:r w:rsidRPr="007C26A6">
        <w:rPr>
          <w:rFonts w:ascii="Times New Roman" w:eastAsiaTheme="minorEastAsia" w:hAnsi="Times New Roman" w:cs="Times New Roman"/>
          <w:noProof w:val="0"/>
          <w:sz w:val="24"/>
          <w:szCs w:val="24"/>
        </w:rPr>
        <w:t>interactions that were significantly enriched and biologically relevant among different cell types, based on manual curation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.</w:t>
      </w:r>
    </w:p>
    <w:p w14:paraId="2DB34DB8" w14:textId="77777777" w:rsidR="008F4C53" w:rsidRDefault="008F4C53" w:rsidP="008F4C53">
      <w:pPr>
        <w:pStyle w:val="EndNoteBibliography"/>
        <w:rPr>
          <w:b/>
          <w:bCs/>
        </w:rPr>
      </w:pPr>
      <w:r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D</w:t>
      </w:r>
      <w:r w:rsidRPr="00FC7742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econvolution analysis</w:t>
      </w:r>
      <w:r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 xml:space="preserve"> of bulk RNA-seq data</w:t>
      </w:r>
    </w:p>
    <w:p w14:paraId="52B96310" w14:textId="77777777" w:rsidR="008F4C53" w:rsidRDefault="008F4C53" w:rsidP="008F4C53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T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he signature matrix for OLP was created using single-cell RNA sequencing data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, which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was generated by uploading annotated single-cell data to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the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CIBERSORTx</w:t>
      </w:r>
      <w:proofErr w:type="spellEnd"/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platform (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https://cibersortx.stanford.edu/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)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. Subsequently, bulk RNA-Seq data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from 42 OLP patients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>, normalized to FPKM,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was subjected to </w:t>
      </w:r>
      <w:bookmarkStart w:id="0" w:name="_Hlk155637334"/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deconvolution analysis</w:t>
      </w:r>
      <w:bookmarkEnd w:id="0"/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using this signature matrix. This process involved the application of batch correction and 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100 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permutations</w:t>
      </w:r>
      <w:r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tests</w:t>
      </w:r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for significance analysis within </w:t>
      </w:r>
      <w:proofErr w:type="spellStart"/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>CIBERSORTx</w:t>
      </w:r>
      <w:proofErr w:type="spellEnd"/>
      <w:r w:rsidRPr="00FC7742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, enabling the estimation of cell-type proportions and interactions within the OLP samples. </w:t>
      </w:r>
    </w:p>
    <w:p w14:paraId="15D1FAC6" w14:textId="77777777" w:rsidR="001B74AE" w:rsidRDefault="001B74AE" w:rsidP="001B74AE">
      <w:pPr>
        <w:pStyle w:val="EndNoteBibliography"/>
        <w:spacing w:line="360" w:lineRule="auto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 w:val="0"/>
          <w:sz w:val="24"/>
          <w:szCs w:val="24"/>
        </w:rPr>
        <w:t>Immunohistochemical staining</w:t>
      </w:r>
    </w:p>
    <w:p w14:paraId="338E3F0B" w14:textId="77777777" w:rsidR="001B74AE" w:rsidRDefault="001B74AE" w:rsidP="001B74AE">
      <w:pPr>
        <w:pStyle w:val="EndNoteBibliography"/>
        <w:spacing w:line="360" w:lineRule="auto"/>
        <w:ind w:firstLineChars="200" w:firstLine="480"/>
        <w:rPr>
          <w:rFonts w:ascii="Times New Roman" w:hAnsi="Times New Roman" w:cs="Times New Roman"/>
          <w:noProof w:val="0"/>
          <w:sz w:val="24"/>
          <w:szCs w:val="24"/>
        </w:rPr>
      </w:pPr>
      <w:r>
        <w:rPr>
          <w:rFonts w:ascii="Times New Roman" w:hAnsi="Times New Roman" w:cs="Times New Roman"/>
          <w:noProof w:val="0"/>
          <w:sz w:val="24"/>
          <w:szCs w:val="24"/>
        </w:rPr>
        <w:t>The formalin-fixed paraffin-embedded slides were dewaxed. Antigen repair was performed with tris-EDTA buffer (pH 8.0) in 100℃ water bath for 30 minutes. The slides were then incubated with primary antibody for 12 hours at 4℃. The sections were then washed and incubated with secondary antibodies for 1 h at room temperature. DAB (Doctoral Biology, AR1022) was then used to colorize. The primary antibodies are listed in Table S2.</w:t>
      </w:r>
    </w:p>
    <w:p w14:paraId="082F682F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b/>
          <w:bCs/>
          <w:noProof w:val="0"/>
          <w:sz w:val="24"/>
          <w:szCs w:val="24"/>
        </w:rPr>
        <w:t>Multiplex Immunofluorescence staining of oral mucosa</w:t>
      </w:r>
    </w:p>
    <w:p w14:paraId="1DBC7FE2" w14:textId="77777777" w:rsidR="00880CFC" w:rsidRPr="00880CFC" w:rsidRDefault="00880CFC" w:rsidP="001A362C">
      <w:pPr>
        <w:pStyle w:val="EndNoteBibliography"/>
        <w:spacing w:line="360" w:lineRule="auto"/>
        <w:ind w:firstLineChars="200" w:firstLine="48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proofErr w:type="spellStart"/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mIF</w:t>
      </w:r>
      <w:proofErr w:type="spellEnd"/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(multiplex Immunofluorescence) was performed according to the manufacturer’s protocol using the five-color multiple fluorescent immunohistochemical staining kit (H-D110051, </w:t>
      </w:r>
      <w:proofErr w:type="spellStart"/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Wisee</w:t>
      </w:r>
      <w:proofErr w:type="spellEnd"/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Biotechnology, China) and antigen retrieval (AR) buffers AR6 and AR9 (Akoya Biosciences, Marlborough, Massachusetts, USA). Staining sequence, antibodies and AR buffers were as follows </w:t>
      </w: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lastRenderedPageBreak/>
        <w:t>for the 2 panels of 4-5 antibodies:</w:t>
      </w:r>
    </w:p>
    <w:p w14:paraId="6382CC67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Panel 1:</w:t>
      </w:r>
    </w:p>
    <w:p w14:paraId="2BE87A50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CD3 (1: 12000, ab16669, Abcam), AR6, TSA520; CD20 (1:1200, ab78237, Abcam), AR9, TSA480; LAMP3 (1:1000, 47778T, CST), CD21 (1: 16000, ab75985, Abcam), AR6, TSA570; AR9, TSA620; and CD11c (1:3000, ab52632, Abcam), AR9, TSA690. </w:t>
      </w:r>
    </w:p>
    <w:p w14:paraId="10A92250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Panel 2:</w:t>
      </w:r>
    </w:p>
    <w:p w14:paraId="439602F8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VIMENTIN (1: 1500, ab92547, Abcam), AR6, TSA520; CCL19 (1:600, MAB361-SP, R&amp;D Systems), AR6, TSA620; LYVE1 (1: 10000, ab219556, Abcam), AR9, TSA570; MECA-79 (1: 50, sc-19602, Santa Cruz), AR9, TSA690.</w:t>
      </w:r>
    </w:p>
    <w:p w14:paraId="6CFCCEDD" w14:textId="77777777" w:rsidR="00880CFC" w:rsidRPr="00880CFC" w:rsidRDefault="00880CFC" w:rsidP="00880CFC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80CFC">
        <w:rPr>
          <w:rFonts w:ascii="Times New Roman" w:eastAsiaTheme="minorEastAsia" w:hAnsi="Times New Roman" w:cs="Times New Roman"/>
          <w:noProof w:val="0"/>
          <w:sz w:val="24"/>
          <w:szCs w:val="24"/>
        </w:rPr>
        <w:t>Images were coalesced within the HALO software (Indica Labs, Albuquerque, New Mexico, USA) framework, utilizing the DAPI-stained channels as the primary reference for alignment and integration. Antibody information is listed in Table S2.</w:t>
      </w:r>
    </w:p>
    <w:p w14:paraId="0B9A1BD3" w14:textId="77777777" w:rsidR="00CD4757" w:rsidRDefault="00CD4757" w:rsidP="00CD4757">
      <w:pPr>
        <w:pStyle w:val="EndNoteBibliography"/>
        <w:spacing w:line="360" w:lineRule="auto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 w:val="0"/>
          <w:sz w:val="24"/>
          <w:szCs w:val="24"/>
        </w:rPr>
        <w:t>Quantitative PCR (qPCR)</w:t>
      </w:r>
    </w:p>
    <w:p w14:paraId="322A3057" w14:textId="77777777" w:rsidR="00CD4757" w:rsidRDefault="00CD4757" w:rsidP="00CD4757">
      <w:pPr>
        <w:pStyle w:val="EndNoteBibliography"/>
        <w:spacing w:line="360" w:lineRule="auto"/>
        <w:ind w:firstLineChars="200" w:firstLine="480"/>
        <w:rPr>
          <w:rFonts w:ascii="Times New Roman" w:hAnsi="Times New Roman" w:cs="Times New Roman"/>
          <w:noProof w:val="0"/>
          <w:sz w:val="24"/>
          <w:szCs w:val="24"/>
        </w:rPr>
      </w:pPr>
      <w:r>
        <w:rPr>
          <w:rFonts w:ascii="Times New Roman" w:hAnsi="Times New Roman" w:cs="Times New Roman"/>
          <w:noProof w:val="0"/>
          <w:sz w:val="24"/>
          <w:szCs w:val="24"/>
        </w:rPr>
        <w:t xml:space="preserve">Total RNA was isolated utilizing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Trizol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reagent (T9424, Sigma), followed by cDNA synthesis via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HiScript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III All-in-one RT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SuperMix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Perfect for qPCR (R333,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Vazyme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). Quantitative PCR analyses were conducted using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AceQ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qPCR SYBR Green Master Mix (Q111,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Vazyme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>), with specific primers detailed in Table S3. Gene expression was quantified relative to human GAPDH, employing the comparative Ct method (2-ΔΔCT) for analysis.</w:t>
      </w:r>
    </w:p>
    <w:p w14:paraId="178D4669" w14:textId="77777777" w:rsidR="00CD4757" w:rsidRDefault="00CD4757" w:rsidP="00CD4757">
      <w:pPr>
        <w:pStyle w:val="EndNoteBibliography"/>
        <w:spacing w:line="360" w:lineRule="auto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 w:val="0"/>
          <w:sz w:val="24"/>
          <w:szCs w:val="24"/>
        </w:rPr>
        <w:t>Western blotting</w:t>
      </w:r>
    </w:p>
    <w:p w14:paraId="21D2E497" w14:textId="77777777" w:rsidR="00CD4757" w:rsidRDefault="00CD4757" w:rsidP="00CD4757">
      <w:pPr>
        <w:pStyle w:val="EndNoteBibliography"/>
        <w:spacing w:line="360" w:lineRule="auto"/>
        <w:ind w:firstLineChars="200" w:firstLine="480"/>
        <w:rPr>
          <w:rFonts w:ascii="Times New Roman" w:hAnsi="Times New Roman" w:cs="Times New Roman"/>
          <w:noProof w:val="0"/>
          <w:sz w:val="24"/>
          <w:szCs w:val="24"/>
        </w:rPr>
      </w:pPr>
      <w:r>
        <w:rPr>
          <w:rFonts w:ascii="Times New Roman" w:hAnsi="Times New Roman" w:cs="Times New Roman"/>
          <w:noProof w:val="0"/>
          <w:sz w:val="24"/>
          <w:szCs w:val="24"/>
        </w:rPr>
        <w:t xml:space="preserve">Tissue samples were lysed using cell lysis solution (P0013B,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Beyotime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>). Proteins were equally loaded and separated via 12.5% SDS-PAGE, then transferred onto PVDF membranes (1620177, BIO-RAD). After blocking with 5% skim milk for 2 hours, the membranes were incubated with primary antibodies overnight at 4°C. The primary antibodies are shown in Table S2.  After washing, membranes were incubated with secondary antibodies for 1 hour at room temperature. Detection was performed using the ECL western blotting system.</w:t>
      </w:r>
    </w:p>
    <w:p w14:paraId="32984268" w14:textId="77777777" w:rsidR="00CD4757" w:rsidRDefault="00CD4757" w:rsidP="00CD4757">
      <w:pPr>
        <w:pStyle w:val="EndNoteBibliography"/>
        <w:spacing w:line="360" w:lineRule="auto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 w:val="0"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</w:rPr>
        <w:t>LISA</w:t>
      </w:r>
    </w:p>
    <w:p w14:paraId="1638698C" w14:textId="77777777" w:rsidR="00CD4757" w:rsidRDefault="00CD4757" w:rsidP="00CD4757">
      <w:pPr>
        <w:pStyle w:val="EndNoteBibliography"/>
        <w:spacing w:line="360" w:lineRule="auto"/>
        <w:ind w:firstLineChars="200" w:firstLine="480"/>
        <w:rPr>
          <w:rFonts w:ascii="Times New Roman" w:hAnsi="Times New Roman" w:cs="Times New Roman"/>
          <w:noProof w:val="0"/>
          <w:sz w:val="24"/>
          <w:szCs w:val="24"/>
        </w:rPr>
      </w:pPr>
      <w:r>
        <w:rPr>
          <w:rFonts w:ascii="Times New Roman" w:hAnsi="Times New Roman" w:cs="Times New Roman"/>
          <w:noProof w:val="0"/>
          <w:sz w:val="24"/>
          <w:szCs w:val="24"/>
        </w:rPr>
        <w:t xml:space="preserve">CCL19 concentrations in fibroblast culture supernatants were quantified using an ELISA kit (DY361, R&amp;D Systems), following the provided manufacturer's protocol. </w:t>
      </w:r>
      <w:r>
        <w:rPr>
          <w:rFonts w:ascii="Times New Roman" w:hAnsi="Times New Roman" w:cs="Times New Roman"/>
          <w:noProof w:val="0"/>
          <w:sz w:val="24"/>
          <w:szCs w:val="24"/>
        </w:rPr>
        <w:lastRenderedPageBreak/>
        <w:t>Supernatant samples were preserved at -20°C until use.</w:t>
      </w:r>
    </w:p>
    <w:p w14:paraId="0D35EA91" w14:textId="77777777" w:rsidR="00CD4757" w:rsidRDefault="00CD4757" w:rsidP="00CD4757">
      <w:pPr>
        <w:pStyle w:val="EndNoteBibliography"/>
        <w:spacing w:line="360" w:lineRule="auto"/>
        <w:rPr>
          <w:rFonts w:ascii="Times New Roman" w:hAnsi="Times New Roman" w:cs="Times New Roman"/>
          <w:b/>
          <w:bCs/>
          <w:noProof w:val="0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noProof w:val="0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noProof w:val="0"/>
          <w:sz w:val="24"/>
          <w:szCs w:val="24"/>
        </w:rPr>
        <w:t>ranswell</w:t>
      </w:r>
      <w:proofErr w:type="spellEnd"/>
    </w:p>
    <w:p w14:paraId="687473D2" w14:textId="77777777" w:rsidR="00CD4757" w:rsidRDefault="00CD4757" w:rsidP="00CD4757">
      <w:pPr>
        <w:pStyle w:val="EndNoteBibliography"/>
        <w:spacing w:line="360" w:lineRule="auto"/>
        <w:ind w:firstLineChars="200" w:firstLine="480"/>
        <w:rPr>
          <w:rFonts w:ascii="Times New Roman" w:hAnsi="Times New Roman" w:cs="Times New Roman"/>
          <w:noProof w:val="0"/>
          <w:sz w:val="24"/>
          <w:szCs w:val="24"/>
        </w:rPr>
      </w:pPr>
      <w:r>
        <w:rPr>
          <w:rFonts w:ascii="Times New Roman" w:hAnsi="Times New Roman" w:cs="Times New Roman"/>
          <w:noProof w:val="0"/>
          <w:sz w:val="24"/>
          <w:szCs w:val="24"/>
        </w:rPr>
        <w:t>To assess CD3</w:t>
      </w:r>
      <w:r>
        <w:rPr>
          <w:rFonts w:ascii="Times New Roman" w:hAnsi="Times New Roman" w:cs="Times New Roman"/>
          <w:noProof w:val="0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Jurkat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T cell chemotaxis, we employed a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transwell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assay using 24-well plates fitted with 8-μm pore size filters (3422, Corning). Lymphotoxin (50 ng/ml) treated oral fibroblasts for 48 hours; their supernatant (500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) was then placed in the lower chamber, with or without 0.5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μg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/ml anti-CCL19 antibody. Supernatants from untreated fibroblasts were used as controls.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Jurkat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 xml:space="preserve"> T cells, adjusted to a concentration of 1 × 10</w:t>
      </w:r>
      <w:r>
        <w:rPr>
          <w:rFonts w:ascii="Times New Roman" w:hAnsi="Times New Roman" w:cs="Times New Roman"/>
          <w:noProof w:val="0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noProof w:val="0"/>
          <w:sz w:val="24"/>
          <w:szCs w:val="24"/>
        </w:rPr>
        <w:t>/m</w:t>
      </w:r>
      <w:r>
        <w:rPr>
          <w:rFonts w:ascii="Times New Roman" w:hAnsi="Times New Roman" w:cs="Times New Roman" w:hint="eastAsia"/>
          <w:noProof w:val="0"/>
          <w:sz w:val="24"/>
          <w:szCs w:val="24"/>
        </w:rPr>
        <w:t>l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were placed on top of the filters (100 </w:t>
      </w:r>
      <w:proofErr w:type="spellStart"/>
      <w:r>
        <w:rPr>
          <w:rFonts w:ascii="Times New Roman" w:hAnsi="Times New Roman" w:cs="Times New Roman"/>
          <w:noProof w:val="0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noProof w:val="0"/>
          <w:sz w:val="24"/>
          <w:szCs w:val="24"/>
        </w:rPr>
        <w:t>/well). After 4-h incubation at 37°C, the quantification of migrated cells was conducted via flow cytometry. Migration index was derived by dividing the number of migrated cells by that of controls. Each experiment replicated three times.</w:t>
      </w:r>
    </w:p>
    <w:p w14:paraId="2D37A399" w14:textId="77777777" w:rsidR="001B74AE" w:rsidRPr="001B74AE" w:rsidRDefault="001B74AE" w:rsidP="001B74AE">
      <w:pPr>
        <w:pStyle w:val="EndNoteBibliography"/>
        <w:spacing w:line="360" w:lineRule="auto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2679C155" w14:textId="77777777" w:rsidR="00FE4DBF" w:rsidRPr="008F4C53" w:rsidRDefault="00FE4DBF">
      <w:pPr>
        <w:rPr>
          <w:rFonts w:ascii="Times New Roman" w:hAnsi="Times New Roman" w:cs="Times New Roman"/>
        </w:rPr>
      </w:pPr>
    </w:p>
    <w:sectPr w:rsidR="00FE4DBF" w:rsidRPr="008F4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FFA89" w14:textId="77777777" w:rsidR="00BD5B3C" w:rsidRDefault="00BD5B3C" w:rsidP="001B74AE">
      <w:pPr>
        <w:spacing w:after="0" w:line="240" w:lineRule="auto"/>
      </w:pPr>
      <w:r>
        <w:separator/>
      </w:r>
    </w:p>
  </w:endnote>
  <w:endnote w:type="continuationSeparator" w:id="0">
    <w:p w14:paraId="4ED835B9" w14:textId="77777777" w:rsidR="00BD5B3C" w:rsidRDefault="00BD5B3C" w:rsidP="001B7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777EB" w14:textId="77777777" w:rsidR="00BD5B3C" w:rsidRDefault="00BD5B3C" w:rsidP="001B74AE">
      <w:pPr>
        <w:spacing w:after="0" w:line="240" w:lineRule="auto"/>
      </w:pPr>
      <w:r>
        <w:separator/>
      </w:r>
    </w:p>
  </w:footnote>
  <w:footnote w:type="continuationSeparator" w:id="0">
    <w:p w14:paraId="597BA579" w14:textId="77777777" w:rsidR="00BD5B3C" w:rsidRDefault="00BD5B3C" w:rsidP="001B74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8A4"/>
    <w:rsid w:val="001A362C"/>
    <w:rsid w:val="001B74AE"/>
    <w:rsid w:val="00416605"/>
    <w:rsid w:val="004E38A4"/>
    <w:rsid w:val="00880CFC"/>
    <w:rsid w:val="008F4C53"/>
    <w:rsid w:val="00954870"/>
    <w:rsid w:val="00BD5B3C"/>
    <w:rsid w:val="00CD4757"/>
    <w:rsid w:val="00F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48D39"/>
  <w15:chartTrackingRefBased/>
  <w15:docId w15:val="{41B7B032-1A92-45B0-9A19-D0EE2BB05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8A4"/>
    <w:pPr>
      <w:spacing w:after="200" w:line="276" w:lineRule="auto"/>
    </w:pPr>
    <w:rPr>
      <w:rFonts w:eastAsia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8F4C53"/>
    <w:pPr>
      <w:widowControl w:val="0"/>
      <w:spacing w:after="0" w:line="240" w:lineRule="auto"/>
      <w:jc w:val="both"/>
    </w:pPr>
    <w:rPr>
      <w:rFonts w:ascii="等线" w:eastAsia="等线" w:hAnsi="等线"/>
      <w:noProof/>
      <w:kern w:val="2"/>
      <w:sz w:val="20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8F4C53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1B74A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4AE"/>
    <w:rPr>
      <w:rFonts w:eastAsia="宋体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1B74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4AE"/>
    <w:rPr>
      <w:rFonts w:eastAsia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1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漪娆 赖</dc:creator>
  <cp:keywords/>
  <dc:description/>
  <cp:lastModifiedBy>漪娆 赖</cp:lastModifiedBy>
  <cp:revision>8</cp:revision>
  <dcterms:created xsi:type="dcterms:W3CDTF">2024-02-26T09:41:00Z</dcterms:created>
  <dcterms:modified xsi:type="dcterms:W3CDTF">2024-03-04T15:16:00Z</dcterms:modified>
</cp:coreProperties>
</file>