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line="480" w:lineRule="auto"/>
        <w:rPr>
          <w:rFonts w:ascii="Times New Roman" w:hAnsi="Times New Roman"/>
          <w:b/>
          <w:bCs/>
          <w:sz w:val="24"/>
        </w:rPr>
      </w:pPr>
    </w:p>
    <w:p>
      <w:pPr>
        <w:spacing w:before="240" w:line="480" w:lineRule="auto"/>
        <w:rPr>
          <w:rFonts w:hint="eastAsia" w:ascii="Times New Roman" w:hAnsi="Times New Roman" w:eastAsia="宋体"/>
          <w:b/>
          <w:bCs/>
          <w:sz w:val="24"/>
          <w:lang w:eastAsia="zh-CN"/>
        </w:rPr>
      </w:pPr>
      <w:r>
        <w:rPr>
          <w:rFonts w:hint="eastAsia" w:ascii="Times New Roman" w:hAnsi="Times New Roman" w:eastAsia="宋体"/>
          <w:b/>
          <w:bCs/>
          <w:sz w:val="24"/>
          <w:lang w:eastAsia="zh-CN"/>
        </w:rPr>
        <w:drawing>
          <wp:inline distT="0" distB="0" distL="114300" distR="114300">
            <wp:extent cx="5354320" cy="3684270"/>
            <wp:effectExtent l="0" t="0" r="5080" b="11430"/>
            <wp:docPr id="2" name="图片 2" descr="Figuer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er 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432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480" w:lineRule="auto"/>
        <w:jc w:val="both"/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b/>
          <w:bCs/>
          <w:sz w:val="20"/>
          <w:szCs w:val="20"/>
        </w:rPr>
        <w:t xml:space="preserve">Supplementary figure 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1</w:t>
      </w:r>
    </w:p>
    <w:p>
      <w:pPr>
        <w:numPr>
          <w:ilvl w:val="0"/>
          <w:numId w:val="0"/>
        </w:numPr>
        <w:spacing w:line="360" w:lineRule="auto"/>
        <w:ind w:leftChars="0" w:firstLine="0" w:firstLineChars="0"/>
        <w:jc w:val="both"/>
        <w:rPr>
          <w:rFonts w:hint="default" w:ascii="Times New Roman" w:hAnsi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b/>
          <w:bCs/>
          <w:sz w:val="20"/>
          <w:szCs w:val="20"/>
          <w:lang w:val="en-US" w:eastAsia="zh-CN"/>
        </w:rPr>
        <w:t>Fig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S1</w:t>
      </w:r>
      <w:r>
        <w:rPr>
          <w:rFonts w:hint="default" w:ascii="Times New Roman" w:hAnsi="Times New Roman"/>
          <w:b/>
          <w:bCs/>
          <w:sz w:val="20"/>
          <w:szCs w:val="20"/>
          <w:lang w:val="en-US" w:eastAsia="zh-CN"/>
        </w:rPr>
        <w:t xml:space="preserve"> Flow cytometry analysis of circulating MAIT cells different subpopulations in AML patients</w:t>
      </w:r>
    </w:p>
    <w:p>
      <w:pPr>
        <w:numPr>
          <w:ilvl w:val="0"/>
          <w:numId w:val="0"/>
        </w:numPr>
        <w:spacing w:line="360" w:lineRule="auto"/>
        <w:ind w:leftChars="0" w:firstLine="0" w:firstLineChars="0"/>
        <w:jc w:val="both"/>
        <w:rPr>
          <w:rFonts w:hint="default" w:ascii="Times New Roman" w:hAnsi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sz w:val="20"/>
          <w:szCs w:val="20"/>
          <w:lang w:val="en-US" w:eastAsia="zh-CN"/>
        </w:rPr>
        <w:t xml:space="preserve"> (A) Representative MAIT-cell subsets as determined by flow cytometry. (B) CD8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+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CD4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-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, CD4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CD8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 xml:space="preserve"> and CD4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+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CD8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 xml:space="preserve">- 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MAIT-cell percentages within peripheral blood in AML and HDs. (C-E) Quantification of the ratios of CD8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+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CD4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-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 xml:space="preserve"> subpopulations (C), CD4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-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CD8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-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 xml:space="preserve"> subpopulation (D), and CD4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+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CD8</w:t>
      </w:r>
      <w:r>
        <w:rPr>
          <w:rFonts w:hint="default" w:ascii="Times New Roman" w:hAnsi="Times New Roman"/>
          <w:sz w:val="20"/>
          <w:szCs w:val="20"/>
          <w:vertAlign w:val="superscript"/>
          <w:lang w:val="en-US" w:eastAsia="zh-CN"/>
        </w:rPr>
        <w:t>-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subpopulation (E) in the PB of AML patients (n=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41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) and HDs (n=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43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). Each symbol indicates an individual person. The results were performed by Student's</w:t>
      </w:r>
      <w:r>
        <w:rPr>
          <w:rFonts w:hint="default" w:ascii="Times New Roman" w:hAnsi="Times New Roman"/>
          <w:i/>
          <w:i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/>
          <w:i/>
          <w:iCs/>
          <w:sz w:val="20"/>
          <w:szCs w:val="20"/>
          <w:vertAlign w:val="baseline"/>
          <w:lang w:val="en-US" w:eastAsia="zh-CN"/>
        </w:rPr>
        <w:t>t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>-test (C, D, E) (ns: no significance, **</w:t>
      </w:r>
      <w:r>
        <w:rPr>
          <w:rFonts w:hint="default" w:ascii="Times New Roman" w:hAnsi="Times New Roman"/>
          <w:i/>
          <w:iCs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/>
          <w:sz w:val="20"/>
          <w:szCs w:val="20"/>
          <w:lang w:val="en-US" w:eastAsia="zh-CN"/>
        </w:rPr>
        <w:t xml:space="preserve"> &lt; 0.01).</w:t>
      </w:r>
    </w:p>
    <w:p>
      <w:pPr>
        <w:spacing w:before="240" w:line="480" w:lineRule="auto"/>
        <w:jc w:val="both"/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</w:pPr>
    </w:p>
    <w:p>
      <w:pPr>
        <w:spacing w:before="240" w:line="480" w:lineRule="auto"/>
        <w:jc w:val="center"/>
        <w:rPr>
          <w:rFonts w:ascii="Times New Roman" w:hAnsi="Times New Roman"/>
          <w:b/>
          <w:bCs/>
          <w:sz w:val="24"/>
        </w:rPr>
      </w:pPr>
    </w:p>
    <w:p>
      <w:pPr>
        <w:spacing w:before="240" w:line="480" w:lineRule="auto"/>
        <w:jc w:val="center"/>
        <w:rPr>
          <w:rFonts w:ascii="Times New Roman" w:hAnsi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drawing>
          <wp:inline distT="0" distB="0" distL="114300" distR="114300">
            <wp:extent cx="4351655" cy="7216775"/>
            <wp:effectExtent l="0" t="0" r="4445" b="9525"/>
            <wp:docPr id="5" name="图片 2" descr="D:\Fig6.tifFi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D:\Fig6.tifFig6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1655" cy="721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240" w:line="48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hint="eastAsia" w:ascii="Times New Roman" w:hAnsi="Times New Roman"/>
          <w:b/>
          <w:bCs/>
          <w:sz w:val="20"/>
          <w:szCs w:val="20"/>
        </w:rPr>
        <w:t xml:space="preserve">Supplementary figure 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2</w:t>
      </w:r>
      <w:r>
        <w:rPr>
          <w:rFonts w:hint="eastAsia" w:ascii="Times New Roman" w:hAnsi="Times New Roman"/>
          <w:b/>
          <w:bCs/>
          <w:sz w:val="20"/>
          <w:szCs w:val="20"/>
        </w:rPr>
        <w:t>.</w:t>
      </w:r>
    </w:p>
    <w:p>
      <w:pPr>
        <w:widowControl/>
        <w:spacing w:line="360" w:lineRule="auto"/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Circulating CD8</w:t>
      </w: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+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 from patients with acute myeloid leukemia (AML) exhibited dysfunctional phenotype.</w:t>
      </w:r>
    </w:p>
    <w:p>
      <w:pPr>
        <w:widowControl/>
        <w:spacing w:line="360" w:lineRule="auto"/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(A) Expression of granzyme B on circulating CD8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 from healthy donors (HDs, n=11) and patients with AML (n=20). (B) Expression of IFN-γ on circulating CD8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+ 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 from HDs (n=11) and patients with AML (n=18). (C) Expression of TNF-α on circulating CD8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+ 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 from HDs (n=11) and patients with AML (n=19). (D) Expression of PD-L1 on circulating CD8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MAIT cells from HDs (n=21) and patients with AML (n=15). (E) Expression of CCR5 on circulating CD8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 xml:space="preserve">+ 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 from HDs (n=21) and patients with AML (n=16). The results were performed by Student's t-test (ns: no significance, **</w:t>
      </w:r>
      <w:r>
        <w:rPr>
          <w:rFonts w:hint="default" w:ascii="Times New Roman" w:hAnsi="Times New Roman" w:cs="Times New Roman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&lt; 0.005, *</w:t>
      </w:r>
      <w:r>
        <w:rPr>
          <w:rFonts w:hint="default" w:ascii="Times New Roman" w:hAnsi="Times New Roman" w:cs="Times New Roman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240" w:line="480" w:lineRule="auto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drawing>
          <wp:inline distT="0" distB="0" distL="114300" distR="114300">
            <wp:extent cx="5156200" cy="3647440"/>
            <wp:effectExtent l="0" t="0" r="0" b="10160"/>
            <wp:docPr id="4" name="图片 1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Fig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36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240" w:line="48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hint="eastAsia" w:ascii="Times New Roman" w:hAnsi="Times New Roman"/>
          <w:b/>
          <w:bCs/>
          <w:sz w:val="20"/>
          <w:szCs w:val="20"/>
        </w:rPr>
        <w:t xml:space="preserve">Supplementary figure 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3</w:t>
      </w:r>
      <w:r>
        <w:rPr>
          <w:rFonts w:hint="eastAsia" w:ascii="Times New Roman" w:hAnsi="Times New Roman"/>
          <w:b/>
          <w:bCs/>
          <w:sz w:val="20"/>
          <w:szCs w:val="20"/>
        </w:rPr>
        <w:t xml:space="preserve">. </w:t>
      </w:r>
    </w:p>
    <w:p>
      <w:pPr>
        <w:spacing w:line="360" w:lineRule="auto"/>
        <w:rPr>
          <w:rFonts w:hint="eastAsia"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Times New Roman" w:hAnsi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Circulating </w:t>
      </w:r>
      <w:r>
        <w:rPr>
          <w:rFonts w:hint="eastAsia"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CD8+ MAIT cells from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patients with acute myeloid leukemia (AML) </w:t>
      </w:r>
      <w:r>
        <w:rPr>
          <w:rFonts w:hint="eastAsia"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exhibited higher expression levels of KLGR1 and CD57</w:t>
      </w:r>
    </w:p>
    <w:p>
      <w:pPr>
        <w:spacing w:line="360" w:lineRule="auto"/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) Expression of 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KLRG1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on circulating 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CD8</w:t>
      </w:r>
      <w:r>
        <w:rPr>
          <w:rFonts w:hint="eastAsia" w:ascii="Times New Roman" w:hAnsi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from patients with HDs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(n=6) and 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AML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(n=7)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 (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) Expression of CD57 on circulating 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CD8</w:t>
      </w:r>
      <w:r>
        <w:rPr>
          <w:rFonts w:hint="eastAsia" w:ascii="Times New Roman" w:hAnsi="Times New Roman"/>
          <w:color w:val="000000" w:themeColor="text1"/>
          <w:sz w:val="20"/>
          <w:szCs w:val="20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MAIT cells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in patients with HDs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(n=6) and 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AML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(n=8)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 (*</w:t>
      </w:r>
      <w:r>
        <w:rPr>
          <w:rFonts w:ascii="Times New Roman" w:hAnsi="Times New Roman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&lt; 0.0</w:t>
      </w:r>
      <w:r>
        <w:rPr>
          <w:rFonts w:hint="eastAsia"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).</w:t>
      </w:r>
    </w:p>
    <w:p>
      <w:pPr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hYTdjNjczNDE2ZmVjY2VmZjY4ZTZiZWM5Mzk2N2YifQ=="/>
  </w:docVars>
  <w:rsids>
    <w:rsidRoot w:val="00B509C1"/>
    <w:rsid w:val="00B32D23"/>
    <w:rsid w:val="00B509C1"/>
    <w:rsid w:val="00DF217B"/>
    <w:rsid w:val="00FF4C19"/>
    <w:rsid w:val="0A2F2A21"/>
    <w:rsid w:val="0D926902"/>
    <w:rsid w:val="1229098D"/>
    <w:rsid w:val="25C428AA"/>
    <w:rsid w:val="294C7F10"/>
    <w:rsid w:val="518A70C7"/>
    <w:rsid w:val="6A7117F3"/>
    <w:rsid w:val="789F6E58"/>
    <w:rsid w:val="7ACB59FE"/>
    <w:rsid w:val="7DC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qFormat/>
    <w:uiPriority w:val="0"/>
    <w:pPr>
      <w:jc w:val="left"/>
    </w:p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autoRedefine/>
    <w:qFormat/>
    <w:uiPriority w:val="0"/>
    <w:rPr>
      <w:b/>
      <w:bCs/>
    </w:rPr>
  </w:style>
  <w:style w:type="character" w:styleId="8">
    <w:name w:val="annotation reference"/>
    <w:basedOn w:val="7"/>
    <w:uiPriority w:val="0"/>
    <w:rPr>
      <w:sz w:val="21"/>
      <w:szCs w:val="21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字符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字符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批注文字 字符"/>
    <w:basedOn w:val="7"/>
    <w:link w:val="2"/>
    <w:autoRedefine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3">
    <w:name w:val="批注主题 字符"/>
    <w:basedOn w:val="12"/>
    <w:link w:val="5"/>
    <w:uiPriority w:val="0"/>
    <w:rPr>
      <w:rFonts w:ascii="Calibri" w:hAnsi="Calibri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433</Words>
  <Characters>2357</Characters>
  <Lines>20</Lines>
  <Paragraphs>5</Paragraphs>
  <TotalTime>26</TotalTime>
  <ScaleCrop>false</ScaleCrop>
  <LinksUpToDate>false</LinksUpToDate>
  <CharactersWithSpaces>2734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2023-08-09T11:24:00Z</dcterms:created>
  <dc:creator>Administrator</dc:creator>
  <cp:lastModifiedBy>小玉</cp:lastModifiedBy>
  <dcterms:modified xsi:type="dcterms:W3CDTF">2024-03-17T07:05:19Z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F70297D83F2B4812863104D0F0EB32FF_13</vt:lpwstr>
  </property>
</Properties>
</file>