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ADCA8" w14:textId="4AA77F70" w:rsidR="009B1822" w:rsidRPr="00B30283" w:rsidRDefault="009B1822" w:rsidP="009B1822">
      <w:pPr>
        <w:pStyle w:val="a7"/>
        <w:spacing w:line="48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B30283">
        <w:rPr>
          <w:rFonts w:ascii="Times New Roman" w:hAnsi="Times New Roman" w:cs="Times New Roman"/>
          <w:sz w:val="20"/>
          <w:szCs w:val="20"/>
        </w:rPr>
        <w:t xml:space="preserve">Journal name: </w:t>
      </w:r>
      <w:r w:rsidR="00BF36CE" w:rsidRPr="00BF36CE">
        <w:rPr>
          <w:rFonts w:ascii="Times New Roman" w:hAnsi="Times New Roman" w:cs="Times New Roman"/>
          <w:sz w:val="20"/>
          <w:szCs w:val="20"/>
        </w:rPr>
        <w:t>BMC Microbiology</w:t>
      </w:r>
    </w:p>
    <w:p w14:paraId="0EB170CD" w14:textId="77777777" w:rsidR="00BF36CE" w:rsidRPr="004F485B" w:rsidRDefault="00BF36CE" w:rsidP="00BF36CE">
      <w:pPr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 w:rsidRPr="004F485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The composition and diversity of soil microbial community were changed by introducing </w:t>
      </w:r>
      <w:r w:rsidRPr="004F485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Phallus </w:t>
      </w:r>
      <w:proofErr w:type="spellStart"/>
      <w:r w:rsidRPr="004F485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impudicus</w:t>
      </w:r>
      <w:proofErr w:type="spellEnd"/>
      <w:r w:rsidRPr="004F485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into a </w:t>
      </w:r>
      <w:proofErr w:type="spellStart"/>
      <w:r w:rsidRPr="004F485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GB"/>
        </w:rPr>
        <w:t>Gastrodia</w:t>
      </w:r>
      <w:proofErr w:type="spellEnd"/>
      <w:r w:rsidRPr="004F485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4F485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  <w:lang w:val="en-GB"/>
        </w:rPr>
        <w:t>elata</w:t>
      </w:r>
      <w:proofErr w:type="spellEnd"/>
      <w:r w:rsidRPr="004F485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Bl.-based soil</w:t>
      </w:r>
    </w:p>
    <w:p w14:paraId="4841156E" w14:textId="77777777" w:rsidR="00BF36CE" w:rsidRPr="004F485B" w:rsidRDefault="00BF36CE" w:rsidP="00BF36CE">
      <w:pPr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Yanhong Wang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1, </w:t>
      </w:r>
      <w:r w:rsidRPr="004F485B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†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, Jiao Xu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1, </w:t>
      </w:r>
      <w:r w:rsidRPr="004F485B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†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Qingsong</w:t>
      </w:r>
      <w:proofErr w:type="spellEnd"/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Yuan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Lanping</w:t>
      </w:r>
      <w:proofErr w:type="spellEnd"/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Guo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, Gang Zheng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, Chenghong Xiao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, Changgui Yang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, Weike Jiang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, Tao Zhou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1, *</w:t>
      </w:r>
    </w:p>
    <w:p w14:paraId="03DFF634" w14:textId="77777777" w:rsidR="00BF36CE" w:rsidRPr="004F485B" w:rsidRDefault="00BF36CE" w:rsidP="00BF36C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Resource Institute for Chinese and Ethnic Materia Medica, Guizhou University of Traditional Chinese Medicine, Guiyang, China.</w:t>
      </w:r>
    </w:p>
    <w:p w14:paraId="41F4E92E" w14:textId="77777777" w:rsidR="00BF36CE" w:rsidRPr="004F485B" w:rsidRDefault="00BF36CE" w:rsidP="00BF36C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State Key Laboratory for Quality </w:t>
      </w:r>
      <w:proofErr w:type="spellStart"/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>Ensurance</w:t>
      </w:r>
      <w:proofErr w:type="spellEnd"/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Sustainable Use of Dao-di Herbs, National Resource Center for Chinese Materia Medica, China Academy of Chinese Medical Sciences, Beijing, China.</w:t>
      </w:r>
    </w:p>
    <w:p w14:paraId="6BA25DB4" w14:textId="77777777" w:rsidR="00BF36CE" w:rsidRPr="004F485B" w:rsidRDefault="00BF36CE" w:rsidP="00BF36CE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F485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4F485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Shanghai Tianyou Hospital Affiliated to Tongji University, Shanghai, China</w:t>
      </w:r>
    </w:p>
    <w:p w14:paraId="4EF1B3FB" w14:textId="77777777" w:rsidR="00BF36CE" w:rsidRPr="004F485B" w:rsidRDefault="00BF36CE" w:rsidP="00BF36CE">
      <w:pPr>
        <w:snapToGrid w:val="0"/>
        <w:spacing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4F485B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†</w:t>
      </w:r>
      <w:r w:rsidRPr="004F485B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These authors have contributed equally to this work</w:t>
      </w:r>
    </w:p>
    <w:p w14:paraId="29928C1C" w14:textId="77777777" w:rsidR="00BF36CE" w:rsidRPr="004F485B" w:rsidRDefault="00BF36CE" w:rsidP="00BF36CE">
      <w:pPr>
        <w:widowControl/>
        <w:snapToGrid w:val="0"/>
        <w:spacing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</w:pPr>
      <w:r w:rsidRPr="004F485B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*Correspondence: taozhou88@163.com</w:t>
      </w:r>
    </w:p>
    <w:p w14:paraId="7E97FE88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098991C8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0E0CFDCA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3EC8ED3F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3696ECA4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3623D7FB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5908D794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01C723A8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608DD756" w14:textId="77777777" w:rsidR="009B1822" w:rsidRPr="00B30283" w:rsidRDefault="009B1822" w:rsidP="002C0CD7">
      <w:pPr>
        <w:pStyle w:val="a7"/>
        <w:spacing w:line="480" w:lineRule="auto"/>
        <w:ind w:firstLineChars="0" w:firstLine="0"/>
        <w:jc w:val="center"/>
        <w:rPr>
          <w:sz w:val="20"/>
          <w:szCs w:val="20"/>
        </w:rPr>
      </w:pPr>
    </w:p>
    <w:p w14:paraId="1AD836F2" w14:textId="0B0419FA" w:rsidR="00AA6387" w:rsidRPr="00B30283" w:rsidRDefault="00AA6387" w:rsidP="002C0CD7">
      <w:pPr>
        <w:pStyle w:val="a7"/>
        <w:spacing w:line="48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0283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5D40E8FC" wp14:editId="75A5B4AB">
            <wp:extent cx="5274310" cy="2158365"/>
            <wp:effectExtent l="0" t="0" r="2540" b="0"/>
            <wp:docPr id="6582441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244150" name="图片 65824415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508EC" w14:textId="119B3AF3" w:rsidR="002C0CD7" w:rsidRPr="00BF36CE" w:rsidRDefault="002C0CD7" w:rsidP="002C0CD7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B30283">
        <w:rPr>
          <w:rFonts w:ascii="Times New Roman" w:hAnsi="Times New Roman" w:cs="Times New Roman" w:hint="eastAsia"/>
          <w:b/>
          <w:bCs/>
          <w:sz w:val="20"/>
          <w:szCs w:val="20"/>
        </w:rPr>
        <w:t>Fig.</w:t>
      </w:r>
      <w:r w:rsidRPr="00B30283">
        <w:rPr>
          <w:rFonts w:ascii="Times New Roman" w:hAnsi="Times New Roman" w:cs="Times New Roman"/>
          <w:b/>
          <w:bCs/>
          <w:sz w:val="20"/>
          <w:szCs w:val="20"/>
        </w:rPr>
        <w:t xml:space="preserve"> S1. </w:t>
      </w:r>
      <w:r w:rsidRPr="00B30283">
        <w:rPr>
          <w:rFonts w:ascii="Times New Roman" w:hAnsi="Times New Roman" w:cs="Times New Roman"/>
          <w:sz w:val="20"/>
          <w:szCs w:val="20"/>
        </w:rPr>
        <w:t xml:space="preserve">The scheme of </w:t>
      </w:r>
      <w:r w:rsidR="00BF36CE">
        <w:rPr>
          <w:rFonts w:ascii="Times New Roman" w:hAnsi="Times New Roman" w:cs="Times New Roman"/>
          <w:sz w:val="20"/>
          <w:szCs w:val="20"/>
        </w:rPr>
        <w:t xml:space="preserve">introducing </w:t>
      </w:r>
      <w:r w:rsidR="00BF36CE" w:rsidRPr="00BF36CE">
        <w:rPr>
          <w:rFonts w:ascii="Times New Roman" w:hAnsi="Times New Roman" w:cs="Times New Roman"/>
          <w:i/>
          <w:iCs/>
          <w:sz w:val="20"/>
          <w:szCs w:val="20"/>
        </w:rPr>
        <w:t xml:space="preserve">Phallus </w:t>
      </w:r>
      <w:proofErr w:type="spellStart"/>
      <w:r w:rsidR="00BF36CE" w:rsidRPr="00BF36CE">
        <w:rPr>
          <w:rFonts w:ascii="Times New Roman" w:hAnsi="Times New Roman" w:cs="Times New Roman"/>
          <w:i/>
          <w:iCs/>
          <w:sz w:val="20"/>
          <w:szCs w:val="20"/>
        </w:rPr>
        <w:t>impudicus</w:t>
      </w:r>
      <w:proofErr w:type="spellEnd"/>
      <w:r w:rsidR="00BF36C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F36CE">
        <w:rPr>
          <w:rFonts w:ascii="Times New Roman" w:hAnsi="Times New Roman" w:cs="Times New Roman"/>
          <w:sz w:val="20"/>
          <w:szCs w:val="20"/>
        </w:rPr>
        <w:t xml:space="preserve">to </w:t>
      </w:r>
      <w:proofErr w:type="spellStart"/>
      <w:r w:rsidR="00BF36CE" w:rsidRPr="00BF36CE">
        <w:rPr>
          <w:rFonts w:ascii="Times New Roman" w:hAnsi="Times New Roman" w:cs="Times New Roman"/>
          <w:i/>
          <w:iCs/>
          <w:sz w:val="20"/>
          <w:szCs w:val="20"/>
          <w:lang w:val="en-GB"/>
        </w:rPr>
        <w:t>Gastrodia</w:t>
      </w:r>
      <w:proofErr w:type="spellEnd"/>
      <w:r w:rsidR="00BF36CE" w:rsidRPr="00BF36C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proofErr w:type="spellStart"/>
      <w:r w:rsidR="00BF36CE" w:rsidRPr="00BF36CE">
        <w:rPr>
          <w:rFonts w:ascii="Times New Roman" w:hAnsi="Times New Roman" w:cs="Times New Roman"/>
          <w:i/>
          <w:iCs/>
          <w:sz w:val="20"/>
          <w:szCs w:val="20"/>
          <w:lang w:val="en-GB"/>
        </w:rPr>
        <w:t>elata</w:t>
      </w:r>
      <w:proofErr w:type="spellEnd"/>
      <w:r w:rsidR="00BF36CE" w:rsidRPr="00BF36C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="00BF36CE" w:rsidRPr="00BF36CE">
        <w:rPr>
          <w:rFonts w:ascii="Times New Roman" w:hAnsi="Times New Roman" w:cs="Times New Roman"/>
          <w:sz w:val="20"/>
          <w:szCs w:val="20"/>
          <w:lang w:val="en-GB"/>
        </w:rPr>
        <w:t>Bl.</w:t>
      </w:r>
      <w:r w:rsidR="00BF36CE">
        <w:rPr>
          <w:rFonts w:ascii="Times New Roman" w:hAnsi="Times New Roman" w:cs="Times New Roman"/>
          <w:sz w:val="20"/>
          <w:szCs w:val="20"/>
          <w:lang w:val="en-GB"/>
        </w:rPr>
        <w:t>-based soil.</w:t>
      </w:r>
      <w:r w:rsidR="00BF36C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30283">
        <w:rPr>
          <w:rFonts w:ascii="Times New Roman" w:hAnsi="Times New Roman" w:cs="Times New Roman"/>
          <w:sz w:val="20"/>
          <w:szCs w:val="20"/>
        </w:rPr>
        <w:t xml:space="preserve">Normally, successful replanting of </w:t>
      </w:r>
      <w:r w:rsidRPr="00BF36CE">
        <w:rPr>
          <w:rFonts w:ascii="Times New Roman" w:hAnsi="Times New Roman" w:cs="Times New Roman"/>
          <w:i/>
          <w:iCs/>
          <w:sz w:val="20"/>
          <w:szCs w:val="20"/>
        </w:rPr>
        <w:t xml:space="preserve">G. </w:t>
      </w:r>
      <w:proofErr w:type="spellStart"/>
      <w:r w:rsidRPr="00BF36CE">
        <w:rPr>
          <w:rFonts w:ascii="Times New Roman" w:hAnsi="Times New Roman" w:cs="Times New Roman"/>
          <w:i/>
          <w:iCs/>
          <w:sz w:val="20"/>
          <w:szCs w:val="20"/>
        </w:rPr>
        <w:t>elata</w:t>
      </w:r>
      <w:proofErr w:type="spellEnd"/>
      <w:r w:rsidRPr="00B30283">
        <w:rPr>
          <w:rFonts w:ascii="Times New Roman" w:hAnsi="Times New Roman" w:cs="Times New Roman"/>
          <w:sz w:val="20"/>
          <w:szCs w:val="20"/>
        </w:rPr>
        <w:t xml:space="preserve"> requires leaving the land uncultivated for more than 3 years, investigation on soil biochemical and organisms were conducted to elucidate the effectively improving strategy. </w:t>
      </w:r>
    </w:p>
    <w:p w14:paraId="3594CDD4" w14:textId="77777777" w:rsidR="00AA6387" w:rsidRPr="00B30283" w:rsidRDefault="00AA6387" w:rsidP="00FA40DC">
      <w:pPr>
        <w:pStyle w:val="a7"/>
        <w:spacing w:line="480" w:lineRule="auto"/>
        <w:ind w:firstLineChars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33B81B64" w14:textId="6EAA6B03" w:rsidR="00FA40DC" w:rsidRPr="00B30283" w:rsidRDefault="00961959" w:rsidP="009453AA">
      <w:pPr>
        <w:pStyle w:val="a7"/>
        <w:spacing w:line="48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0283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3842FEF1" wp14:editId="7248DC13">
            <wp:extent cx="3997771" cy="3061970"/>
            <wp:effectExtent l="0" t="0" r="3175" b="5080"/>
            <wp:docPr id="5944126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412652" name="图片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7771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035B4" w14:textId="07E6288E" w:rsidR="00350D03" w:rsidRPr="00B30283" w:rsidRDefault="00350D03" w:rsidP="00A304AF">
      <w:pPr>
        <w:pStyle w:val="a7"/>
        <w:spacing w:line="360" w:lineRule="auto"/>
        <w:ind w:firstLineChars="0" w:firstLine="0"/>
        <w:rPr>
          <w:sz w:val="20"/>
          <w:szCs w:val="20"/>
        </w:rPr>
      </w:pPr>
      <w:r w:rsidRPr="00B30283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FA40DC" w:rsidRPr="00B30283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B30283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680435" w:rsidRPr="00B3028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B3028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30283">
        <w:rPr>
          <w:rFonts w:ascii="Times New Roman" w:hAnsi="Times New Roman" w:cs="Times New Roman"/>
          <w:sz w:val="20"/>
          <w:szCs w:val="20"/>
        </w:rPr>
        <w:t xml:space="preserve"> Variations of soil available elements and exchangeable cations content. A, B, and C represent soil available manganese, </w:t>
      </w:r>
      <w:r w:rsidR="009453AA" w:rsidRPr="00B30283">
        <w:rPr>
          <w:rFonts w:ascii="Times New Roman" w:hAnsi="Times New Roman" w:cs="Times New Roman"/>
          <w:sz w:val="20"/>
          <w:szCs w:val="20"/>
        </w:rPr>
        <w:t>copper</w:t>
      </w:r>
      <w:r w:rsidRPr="00B30283">
        <w:rPr>
          <w:rFonts w:ascii="Times New Roman" w:hAnsi="Times New Roman" w:cs="Times New Roman"/>
          <w:sz w:val="20"/>
          <w:szCs w:val="20"/>
        </w:rPr>
        <w:t>, and</w:t>
      </w:r>
      <w:r w:rsidR="009453AA" w:rsidRPr="00B30283">
        <w:rPr>
          <w:rFonts w:ascii="Times New Roman" w:hAnsi="Times New Roman" w:cs="Times New Roman"/>
          <w:sz w:val="20"/>
          <w:szCs w:val="20"/>
        </w:rPr>
        <w:t xml:space="preserve"> zinc</w:t>
      </w:r>
      <w:r w:rsidRPr="00B30283">
        <w:rPr>
          <w:rFonts w:ascii="Times New Roman" w:hAnsi="Times New Roman" w:cs="Times New Roman"/>
          <w:sz w:val="20"/>
          <w:szCs w:val="20"/>
        </w:rPr>
        <w:t xml:space="preserve">; D, E, and F represent soil exchangeable </w:t>
      </w:r>
      <w:r w:rsidRPr="00B30283">
        <w:rPr>
          <w:rFonts w:ascii="Times New Roman" w:eastAsia="宋体" w:hAnsi="Times New Roman" w:cs="Times New Roman"/>
          <w:sz w:val="20"/>
          <w:szCs w:val="20"/>
        </w:rPr>
        <w:t xml:space="preserve">potassium, calcium, and magnesium. </w:t>
      </w:r>
      <w:bookmarkStart w:id="0" w:name="_Hlk106357796"/>
      <w:r w:rsidRPr="00B30283">
        <w:rPr>
          <w:rFonts w:ascii="Times New Roman" w:eastAsia="宋体" w:hAnsi="Times New Roman" w:cs="Times New Roman"/>
          <w:sz w:val="20"/>
          <w:szCs w:val="20"/>
        </w:rPr>
        <w:t xml:space="preserve">Abbreviation: CK, GE, and PI represent </w:t>
      </w:r>
      <w:r w:rsidRPr="00B30283">
        <w:rPr>
          <w:rFonts w:ascii="Times New Roman" w:hAnsi="Times New Roman" w:cs="Times New Roman"/>
          <w:sz w:val="20"/>
          <w:szCs w:val="20"/>
        </w:rPr>
        <w:t xml:space="preserve">soil samples collected from barren land (control), </w:t>
      </w:r>
      <w:r w:rsidRPr="00B30283">
        <w:rPr>
          <w:rFonts w:ascii="Times New Roman" w:hAnsi="Times New Roman"/>
          <w:color w:val="000000" w:themeColor="text1"/>
          <w:sz w:val="20"/>
          <w:szCs w:val="20"/>
        </w:rPr>
        <w:t xml:space="preserve">soil adhering to the </w:t>
      </w:r>
      <w:proofErr w:type="spellStart"/>
      <w:r w:rsidRPr="00B30283">
        <w:rPr>
          <w:rFonts w:ascii="Times New Roman" w:hAnsi="Times New Roman"/>
          <w:color w:val="000000" w:themeColor="text1"/>
          <w:sz w:val="20"/>
          <w:szCs w:val="20"/>
        </w:rPr>
        <w:t>rhizo</w:t>
      </w:r>
      <w:proofErr w:type="spellEnd"/>
      <w:r w:rsidRPr="00B30283">
        <w:rPr>
          <w:rFonts w:ascii="Times New Roman" w:hAnsi="Times New Roman"/>
          <w:color w:val="000000" w:themeColor="text1"/>
          <w:sz w:val="20"/>
          <w:szCs w:val="20"/>
        </w:rPr>
        <w:t xml:space="preserve"> zone of </w:t>
      </w:r>
      <w:r w:rsidRPr="00B30283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G. </w:t>
      </w:r>
      <w:proofErr w:type="spellStart"/>
      <w:r w:rsidRPr="00B30283">
        <w:rPr>
          <w:rFonts w:ascii="Times New Roman" w:hAnsi="Times New Roman"/>
          <w:i/>
          <w:iCs/>
          <w:color w:val="000000" w:themeColor="text1"/>
          <w:sz w:val="20"/>
          <w:szCs w:val="20"/>
        </w:rPr>
        <w:t>elata</w:t>
      </w:r>
      <w:proofErr w:type="spellEnd"/>
      <w:r w:rsidRPr="00B30283">
        <w:rPr>
          <w:rFonts w:ascii="Times New Roman" w:hAnsi="Times New Roman"/>
          <w:bCs/>
          <w:sz w:val="20"/>
          <w:szCs w:val="20"/>
        </w:rPr>
        <w:t>,</w:t>
      </w:r>
      <w:r w:rsidRPr="00B3028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B30283">
        <w:rPr>
          <w:rFonts w:ascii="Times New Roman" w:hAnsi="Times New Roman"/>
          <w:color w:val="000000" w:themeColor="text1"/>
          <w:sz w:val="20"/>
          <w:szCs w:val="20"/>
        </w:rPr>
        <w:t xml:space="preserve">rhizosphere soil surrounding </w:t>
      </w:r>
      <w:r w:rsidRPr="00B30283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P. </w:t>
      </w:r>
      <w:proofErr w:type="spellStart"/>
      <w:r w:rsidRPr="00B30283">
        <w:rPr>
          <w:rFonts w:ascii="Times New Roman" w:hAnsi="Times New Roman"/>
          <w:i/>
          <w:iCs/>
          <w:color w:val="000000" w:themeColor="text1"/>
          <w:sz w:val="20"/>
          <w:szCs w:val="20"/>
        </w:rPr>
        <w:t>impudicus</w:t>
      </w:r>
      <w:proofErr w:type="spellEnd"/>
      <w:r w:rsidRPr="00B30283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B30283">
        <w:rPr>
          <w:rFonts w:ascii="Times New Roman" w:hAnsi="Times New Roman" w:cs="Times New Roman"/>
          <w:sz w:val="20"/>
          <w:szCs w:val="20"/>
        </w:rPr>
        <w:t xml:space="preserve">respectively. Lowercases a, b, and c in figures indicate significant differences </w:t>
      </w:r>
      <w:r w:rsidRPr="00B30283">
        <w:rPr>
          <w:rFonts w:ascii="Times New Roman" w:hAnsi="Times New Roman" w:cs="Times New Roman" w:hint="eastAsia"/>
          <w:sz w:val="20"/>
          <w:szCs w:val="20"/>
        </w:rPr>
        <w:t>among</w:t>
      </w:r>
      <w:r w:rsidRPr="00B30283">
        <w:rPr>
          <w:rFonts w:ascii="Times New Roman" w:hAnsi="Times New Roman" w:cs="Times New Roman"/>
          <w:sz w:val="20"/>
          <w:szCs w:val="20"/>
        </w:rPr>
        <w:t xml:space="preserve"> treatments (CK, GE and PI), analyzed by one-way ANOVA and Duncan’s multiple range test (</w:t>
      </w:r>
      <w:r w:rsidR="00185797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B30283">
        <w:rPr>
          <w:rFonts w:ascii="Times New Roman" w:hAnsi="Times New Roman" w:cs="Times New Roman"/>
          <w:sz w:val="20"/>
          <w:szCs w:val="20"/>
        </w:rPr>
        <w:t>&lt;</w:t>
      </w:r>
      <w:r w:rsidR="00185797">
        <w:rPr>
          <w:rFonts w:ascii="Times New Roman" w:hAnsi="Times New Roman" w:cs="Times New Roman"/>
          <w:sz w:val="20"/>
          <w:szCs w:val="20"/>
        </w:rPr>
        <w:t xml:space="preserve"> </w:t>
      </w:r>
      <w:r w:rsidRPr="00B30283">
        <w:rPr>
          <w:rFonts w:ascii="Times New Roman" w:hAnsi="Times New Roman" w:cs="Times New Roman"/>
          <w:sz w:val="20"/>
          <w:szCs w:val="20"/>
        </w:rPr>
        <w:t>0.05).</w:t>
      </w:r>
      <w:bookmarkEnd w:id="0"/>
    </w:p>
    <w:p w14:paraId="2C075187" w14:textId="2FCF675C" w:rsidR="00FA40DC" w:rsidRPr="00B30283" w:rsidRDefault="00FA40DC" w:rsidP="00FA40D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30283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Table</w:t>
      </w:r>
      <w:r w:rsidRPr="00B30283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Pr="00B3028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A7EAA71" w14:textId="1393E6BB" w:rsidR="00FA40DC" w:rsidRPr="00B30283" w:rsidRDefault="00FA40DC" w:rsidP="00FA40D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30283">
        <w:rPr>
          <w:rFonts w:ascii="Times New Roman" w:hAnsi="Times New Roman" w:cs="Times New Roman"/>
          <w:sz w:val="20"/>
          <w:szCs w:val="20"/>
        </w:rPr>
        <w:t xml:space="preserve">Humus composition and properties in response to cultivation of </w:t>
      </w:r>
      <w:r w:rsidRPr="00B30283">
        <w:rPr>
          <w:rFonts w:ascii="Times New Roman" w:hAnsi="Times New Roman" w:cs="Times New Roman"/>
          <w:i/>
          <w:iCs/>
          <w:sz w:val="20"/>
          <w:szCs w:val="20"/>
        </w:rPr>
        <w:t xml:space="preserve">G. </w:t>
      </w:r>
      <w:proofErr w:type="spellStart"/>
      <w:r w:rsidRPr="00B30283">
        <w:rPr>
          <w:rFonts w:ascii="Times New Roman" w:hAnsi="Times New Roman" w:cs="Times New Roman"/>
          <w:i/>
          <w:iCs/>
          <w:sz w:val="20"/>
          <w:szCs w:val="20"/>
        </w:rPr>
        <w:t>elata</w:t>
      </w:r>
      <w:proofErr w:type="spellEnd"/>
      <w:r w:rsidRPr="00B30283">
        <w:rPr>
          <w:rFonts w:ascii="Times New Roman" w:hAnsi="Times New Roman" w:cs="Times New Roman"/>
          <w:sz w:val="20"/>
          <w:szCs w:val="20"/>
        </w:rPr>
        <w:t xml:space="preserve"> and rotation of </w:t>
      </w:r>
      <w:r w:rsidRPr="00B30283">
        <w:rPr>
          <w:rFonts w:ascii="Times New Roman" w:hAnsi="Times New Roman" w:cs="Times New Roman"/>
          <w:i/>
          <w:iCs/>
          <w:sz w:val="20"/>
          <w:szCs w:val="20"/>
        </w:rPr>
        <w:t xml:space="preserve">P. </w:t>
      </w:r>
      <w:proofErr w:type="spellStart"/>
      <w:r w:rsidRPr="00B30283">
        <w:rPr>
          <w:rFonts w:ascii="Times New Roman" w:hAnsi="Times New Roman" w:cs="Times New Roman"/>
          <w:i/>
          <w:iCs/>
          <w:sz w:val="20"/>
          <w:szCs w:val="20"/>
        </w:rPr>
        <w:t>impudicus</w:t>
      </w:r>
      <w:proofErr w:type="spellEnd"/>
      <w:r w:rsidRPr="00B30283">
        <w:rPr>
          <w:rFonts w:ascii="Times New Roman" w:hAnsi="Times New Roman" w:cs="Times New Roman"/>
          <w:sz w:val="20"/>
          <w:szCs w:val="20"/>
        </w:rPr>
        <w:t xml:space="preserve">. </w:t>
      </w:r>
    </w:p>
    <w:tbl>
      <w:tblPr>
        <w:tblStyle w:val="a8"/>
        <w:tblpPr w:leftFromText="180" w:rightFromText="180" w:vertAnchor="text" w:horzAnchor="margin" w:tblpXSpec="center" w:tblpY="169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418"/>
        <w:gridCol w:w="1417"/>
        <w:gridCol w:w="1418"/>
        <w:gridCol w:w="1417"/>
        <w:gridCol w:w="1418"/>
      </w:tblGrid>
      <w:tr w:rsidR="00FA40DC" w:rsidRPr="00B30283" w14:paraId="0E547D5E" w14:textId="77777777" w:rsidTr="00185797">
        <w:trPr>
          <w:trHeight w:val="557"/>
        </w:trPr>
        <w:tc>
          <w:tcPr>
            <w:tcW w:w="1559" w:type="dxa"/>
            <w:vMerge w:val="restart"/>
            <w:noWrap/>
            <w:vAlign w:val="center"/>
            <w:hideMark/>
          </w:tcPr>
          <w:p w14:paraId="785D8617" w14:textId="6983D109" w:rsidR="00FA40DC" w:rsidRPr="00B30283" w:rsidRDefault="00BF36CE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Treatments</w:t>
            </w: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36EE26C7" w14:textId="77777777" w:rsidR="00FA40DC" w:rsidRPr="00B30283" w:rsidRDefault="00FA40DC" w:rsidP="00BF36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C content in </w:t>
            </w:r>
            <w:proofErr w:type="spellStart"/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B30283">
              <w:rPr>
                <w:rFonts w:ascii="Times New Roman" w:hAnsi="Times New Roman" w:cs="Times New Roman" w:hint="eastAsia"/>
                <w:sz w:val="20"/>
                <w:szCs w:val="20"/>
              </w:rPr>
              <w:t>umin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dashSmallGap" w:sz="4" w:space="0" w:color="auto"/>
            </w:tcBorders>
            <w:noWrap/>
            <w:hideMark/>
          </w:tcPr>
          <w:p w14:paraId="69527509" w14:textId="77777777" w:rsidR="00FA40DC" w:rsidRPr="00B30283" w:rsidRDefault="00FA40DC" w:rsidP="00BF36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C content in humic acid</w:t>
            </w: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noWrap/>
            <w:vAlign w:val="center"/>
            <w:hideMark/>
          </w:tcPr>
          <w:p w14:paraId="1B60C4D2" w14:textId="77777777" w:rsidR="00FA40DC" w:rsidRPr="00B30283" w:rsidRDefault="00FA40DC" w:rsidP="00BF36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C content in fulvic acid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A6B6B00" w14:textId="77777777" w:rsidR="00FA40DC" w:rsidRPr="00B30283" w:rsidRDefault="00FA40DC" w:rsidP="00BF36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ratio of humic to fulvic acid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5F4E07A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humification</w:t>
            </w:r>
          </w:p>
        </w:tc>
      </w:tr>
      <w:tr w:rsidR="00FA40DC" w:rsidRPr="00B30283" w14:paraId="7C9E46C3" w14:textId="77777777" w:rsidTr="00185797">
        <w:trPr>
          <w:trHeight w:val="353"/>
        </w:trPr>
        <w:tc>
          <w:tcPr>
            <w:tcW w:w="1559" w:type="dxa"/>
            <w:vMerge/>
            <w:noWrap/>
            <w:vAlign w:val="center"/>
          </w:tcPr>
          <w:p w14:paraId="5A5A38D8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52438B10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g/kg</w:t>
            </w:r>
          </w:p>
        </w:tc>
        <w:tc>
          <w:tcPr>
            <w:tcW w:w="1417" w:type="dxa"/>
            <w:tcBorders>
              <w:top w:val="single" w:sz="4" w:space="0" w:color="auto"/>
              <w:bottom w:val="dashSmallGap" w:sz="4" w:space="0" w:color="auto"/>
            </w:tcBorders>
            <w:noWrap/>
          </w:tcPr>
          <w:p w14:paraId="043AC16E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noWrap/>
            <w:vAlign w:val="center"/>
          </w:tcPr>
          <w:p w14:paraId="5D1B398E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noWrap/>
            <w:vAlign w:val="center"/>
          </w:tcPr>
          <w:p w14:paraId="787BD6F2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41F2045D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40DC" w:rsidRPr="00B30283" w14:paraId="1D68043A" w14:textId="77777777" w:rsidTr="00185797">
        <w:trPr>
          <w:trHeight w:val="277"/>
        </w:trPr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</w:tcPr>
          <w:p w14:paraId="5F0DA504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29808629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8.65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0.84 b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2A7A876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3.35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1.27 b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4F6A157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6.29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1.82 b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49864B6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0.51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>±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 0.05 b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55C9FB8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0.34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0.02 b</w:t>
            </w:r>
          </w:p>
        </w:tc>
      </w:tr>
      <w:tr w:rsidR="00FA40DC" w:rsidRPr="00B30283" w14:paraId="392F505D" w14:textId="77777777" w:rsidTr="00185797">
        <w:trPr>
          <w:trHeight w:val="510"/>
        </w:trPr>
        <w:tc>
          <w:tcPr>
            <w:tcW w:w="1559" w:type="dxa"/>
            <w:noWrap/>
          </w:tcPr>
          <w:p w14:paraId="3A76E941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8" w:type="dxa"/>
            <w:vAlign w:val="center"/>
          </w:tcPr>
          <w:p w14:paraId="7EDF47B0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6.52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0.65 b</w:t>
            </w:r>
          </w:p>
        </w:tc>
        <w:tc>
          <w:tcPr>
            <w:tcW w:w="1417" w:type="dxa"/>
            <w:noWrap/>
            <w:vAlign w:val="center"/>
            <w:hideMark/>
          </w:tcPr>
          <w:p w14:paraId="56CE2C6A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0.93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0.02 b</w:t>
            </w:r>
          </w:p>
        </w:tc>
        <w:tc>
          <w:tcPr>
            <w:tcW w:w="1418" w:type="dxa"/>
            <w:noWrap/>
            <w:vAlign w:val="center"/>
            <w:hideMark/>
          </w:tcPr>
          <w:p w14:paraId="3E8AB38D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2.12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0.15 b</w:t>
            </w:r>
          </w:p>
        </w:tc>
        <w:tc>
          <w:tcPr>
            <w:tcW w:w="1417" w:type="dxa"/>
            <w:noWrap/>
            <w:vAlign w:val="center"/>
            <w:hideMark/>
          </w:tcPr>
          <w:p w14:paraId="6A170847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0.44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0.02 b</w:t>
            </w:r>
          </w:p>
        </w:tc>
        <w:tc>
          <w:tcPr>
            <w:tcW w:w="1418" w:type="dxa"/>
            <w:noWrap/>
            <w:vAlign w:val="center"/>
            <w:hideMark/>
          </w:tcPr>
          <w:p w14:paraId="10A586C1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0.31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0.01 b</w:t>
            </w:r>
          </w:p>
        </w:tc>
      </w:tr>
      <w:tr w:rsidR="00FA40DC" w:rsidRPr="00B30283" w14:paraId="7AD37226" w14:textId="77777777" w:rsidTr="00185797">
        <w:trPr>
          <w:trHeight w:val="510"/>
        </w:trPr>
        <w:tc>
          <w:tcPr>
            <w:tcW w:w="1559" w:type="dxa"/>
            <w:noWrap/>
          </w:tcPr>
          <w:p w14:paraId="672AC6BD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vAlign w:val="center"/>
          </w:tcPr>
          <w:p w14:paraId="6F174162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52.9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3.43 a</w:t>
            </w:r>
          </w:p>
        </w:tc>
        <w:tc>
          <w:tcPr>
            <w:tcW w:w="1417" w:type="dxa"/>
            <w:noWrap/>
            <w:vAlign w:val="center"/>
            <w:hideMark/>
          </w:tcPr>
          <w:p w14:paraId="6A344F0D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12.9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0.76 a</w:t>
            </w:r>
          </w:p>
        </w:tc>
        <w:tc>
          <w:tcPr>
            <w:tcW w:w="1418" w:type="dxa"/>
            <w:noWrap/>
            <w:vAlign w:val="center"/>
            <w:hideMark/>
          </w:tcPr>
          <w:p w14:paraId="73C988B3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19.4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1.19 a</w:t>
            </w:r>
          </w:p>
        </w:tc>
        <w:tc>
          <w:tcPr>
            <w:tcW w:w="1417" w:type="dxa"/>
            <w:noWrap/>
            <w:vAlign w:val="center"/>
            <w:hideMark/>
          </w:tcPr>
          <w:p w14:paraId="158E3936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0.67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± 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>0.04 a</w:t>
            </w:r>
          </w:p>
        </w:tc>
        <w:tc>
          <w:tcPr>
            <w:tcW w:w="1418" w:type="dxa"/>
            <w:noWrap/>
            <w:vAlign w:val="center"/>
            <w:hideMark/>
          </w:tcPr>
          <w:p w14:paraId="0C357B9A" w14:textId="77777777" w:rsidR="00FA40DC" w:rsidRPr="00B30283" w:rsidRDefault="00FA40DC" w:rsidP="00FA40D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0.40 </w:t>
            </w:r>
            <w:r w:rsidRPr="00B30283">
              <w:rPr>
                <w:rFonts w:ascii="Times New Roman" w:eastAsia="宋体" w:hAnsi="Times New Roman" w:cs="Times New Roman"/>
                <w:sz w:val="20"/>
                <w:szCs w:val="20"/>
              </w:rPr>
              <w:t>±</w:t>
            </w:r>
            <w:r w:rsidRPr="00B30283">
              <w:rPr>
                <w:rFonts w:ascii="Times New Roman" w:hAnsi="Times New Roman" w:cs="Times New Roman"/>
                <w:sz w:val="20"/>
                <w:szCs w:val="20"/>
              </w:rPr>
              <w:t xml:space="preserve"> 0.01 a</w:t>
            </w:r>
          </w:p>
        </w:tc>
      </w:tr>
    </w:tbl>
    <w:p w14:paraId="1CCF0648" w14:textId="62ED4249" w:rsidR="00FA40DC" w:rsidRPr="00B30283" w:rsidRDefault="00FA40DC" w:rsidP="00A304A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30283">
        <w:rPr>
          <w:rFonts w:ascii="Times New Roman" w:hAnsi="Times New Roman" w:cs="Times New Roman"/>
          <w:sz w:val="20"/>
          <w:szCs w:val="20"/>
        </w:rPr>
        <w:t>The different letters represent significant differences among treatments (</w:t>
      </w:r>
      <w:r w:rsidR="00185797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B30283">
        <w:rPr>
          <w:rFonts w:ascii="Times New Roman" w:hAnsi="Times New Roman" w:cs="Times New Roman"/>
          <w:sz w:val="20"/>
          <w:szCs w:val="20"/>
        </w:rPr>
        <w:t xml:space="preserve"> ≤ 0.05), determined by one-way ANOVA and Duncan’s multiple range test. The data are the means of 3 replicates ± standard error.</w:t>
      </w:r>
    </w:p>
    <w:p w14:paraId="3659C014" w14:textId="77777777" w:rsidR="00350D03" w:rsidRPr="00B30283" w:rsidRDefault="00350D03" w:rsidP="00FA40DC">
      <w:pPr>
        <w:spacing w:line="480" w:lineRule="auto"/>
        <w:rPr>
          <w:sz w:val="20"/>
          <w:szCs w:val="20"/>
        </w:rPr>
      </w:pPr>
    </w:p>
    <w:sectPr w:rsidR="00350D03" w:rsidRPr="00B30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C43E9" w14:textId="77777777" w:rsidR="007A7C9B" w:rsidRDefault="007A7C9B" w:rsidP="000159C5">
      <w:r>
        <w:separator/>
      </w:r>
    </w:p>
  </w:endnote>
  <w:endnote w:type="continuationSeparator" w:id="0">
    <w:p w14:paraId="381A6ECB" w14:textId="77777777" w:rsidR="007A7C9B" w:rsidRDefault="007A7C9B" w:rsidP="00015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60A86" w14:textId="77777777" w:rsidR="007A7C9B" w:rsidRDefault="007A7C9B" w:rsidP="000159C5">
      <w:r>
        <w:separator/>
      </w:r>
    </w:p>
  </w:footnote>
  <w:footnote w:type="continuationSeparator" w:id="0">
    <w:p w14:paraId="7635D8ED" w14:textId="77777777" w:rsidR="007A7C9B" w:rsidRDefault="007A7C9B" w:rsidP="000159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FE4"/>
    <w:rsid w:val="000159C5"/>
    <w:rsid w:val="00035635"/>
    <w:rsid w:val="00185797"/>
    <w:rsid w:val="00255A7D"/>
    <w:rsid w:val="002C0CD7"/>
    <w:rsid w:val="00332FE4"/>
    <w:rsid w:val="00347F6D"/>
    <w:rsid w:val="00350D03"/>
    <w:rsid w:val="004E04FD"/>
    <w:rsid w:val="005110A8"/>
    <w:rsid w:val="005825CC"/>
    <w:rsid w:val="00680435"/>
    <w:rsid w:val="007A7C9B"/>
    <w:rsid w:val="009418F1"/>
    <w:rsid w:val="009453AA"/>
    <w:rsid w:val="00961959"/>
    <w:rsid w:val="009A7826"/>
    <w:rsid w:val="009B1822"/>
    <w:rsid w:val="00A304AF"/>
    <w:rsid w:val="00AA6387"/>
    <w:rsid w:val="00B03E27"/>
    <w:rsid w:val="00B30283"/>
    <w:rsid w:val="00B771DB"/>
    <w:rsid w:val="00BF36CE"/>
    <w:rsid w:val="00C20315"/>
    <w:rsid w:val="00D64A46"/>
    <w:rsid w:val="00DB3A3B"/>
    <w:rsid w:val="00F27378"/>
    <w:rsid w:val="00F53581"/>
    <w:rsid w:val="00FA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144968"/>
  <w14:defaultImageDpi w14:val="32767"/>
  <w15:chartTrackingRefBased/>
  <w15:docId w15:val="{8E0FFD94-5991-4B71-9AC6-73EE79CF2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9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9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59C5"/>
    <w:rPr>
      <w:sz w:val="18"/>
      <w:szCs w:val="18"/>
    </w:rPr>
  </w:style>
  <w:style w:type="paragraph" w:styleId="a7">
    <w:name w:val="List Paragraph"/>
    <w:basedOn w:val="a"/>
    <w:uiPriority w:val="34"/>
    <w:qFormat/>
    <w:rsid w:val="00350D03"/>
    <w:pPr>
      <w:ind w:firstLineChars="200" w:firstLine="420"/>
    </w:pPr>
    <w:rPr>
      <w:rFonts w:asciiTheme="minorHAnsi" w:eastAsiaTheme="minorEastAsia" w:hAnsiTheme="minorHAnsi"/>
    </w:rPr>
  </w:style>
  <w:style w:type="table" w:styleId="a8">
    <w:name w:val="Table Grid"/>
    <w:basedOn w:val="a1"/>
    <w:uiPriority w:val="39"/>
    <w:rsid w:val="00FA40DC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Yanhong Wang</dc:creator>
  <cp:keywords/>
  <dc:description/>
  <cp:lastModifiedBy>Yanhong Wang</cp:lastModifiedBy>
  <cp:revision>17</cp:revision>
  <dcterms:created xsi:type="dcterms:W3CDTF">2023-08-12T09:15:00Z</dcterms:created>
  <dcterms:modified xsi:type="dcterms:W3CDTF">2024-03-05T06:59:00Z</dcterms:modified>
</cp:coreProperties>
</file>