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313" w:afterLines="100" w:line="240" w:lineRule="auto"/>
        <w:jc w:val="left"/>
        <w:textAlignment w:val="auto"/>
        <w:outlineLvl w:val="9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27"/>
      <w:bookmarkStart w:id="1" w:name="OLE_LINK1"/>
      <w:r>
        <w:rPr>
          <w:rFonts w:ascii="Times New Roman" w:hAnsi="Times New Roman" w:cs="Times New Roman"/>
          <w:b/>
          <w:bCs/>
          <w:sz w:val="28"/>
          <w:szCs w:val="28"/>
        </w:rPr>
        <w:t xml:space="preserve">The Impact of Relaxing the Requirements for </w:t>
      </w:r>
      <w:bookmarkStart w:id="2" w:name="OLE_LINK8"/>
      <w:r>
        <w:rPr>
          <w:rFonts w:ascii="Times New Roman" w:hAnsi="Times New Roman" w:cs="Times New Roman"/>
          <w:b/>
          <w:bCs/>
          <w:sz w:val="28"/>
          <w:szCs w:val="28"/>
        </w:rPr>
        <w:t>Dyspeptic Symptom Onset Frequency and Duration</w:t>
      </w:r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 xml:space="preserve"> in Rome IV Criteria on the Diagnosis and Symptom Pattern of </w:t>
      </w:r>
      <w:bookmarkStart w:id="3" w:name="OLE_LINK28"/>
      <w:r>
        <w:rPr>
          <w:rFonts w:ascii="Times New Roman" w:hAnsi="Times New Roman" w:cs="Times New Roman"/>
          <w:b/>
          <w:bCs/>
          <w:sz w:val="28"/>
          <w:szCs w:val="28"/>
        </w:rPr>
        <w:t>Functional Dyspepsia</w:t>
      </w:r>
      <w:bookmarkEnd w:id="0"/>
      <w:bookmarkEnd w:id="3"/>
    </w:p>
    <w:p>
      <w:pPr>
        <w:spacing w:before="240" w:after="240"/>
        <w:rPr>
          <w:rFonts w:ascii="Times New Roman" w:hAnsi="Times New Roman" w:cs="Times New Roman"/>
          <w:b/>
          <w:bCs/>
          <w:sz w:val="24"/>
        </w:rPr>
      </w:pPr>
      <w:bookmarkStart w:id="4" w:name="_Hlk153226001"/>
      <w:r>
        <w:rPr>
          <w:rFonts w:ascii="Times New Roman" w:hAnsi="Times New Roman" w:cs="Times New Roman"/>
          <w:b/>
          <w:bCs/>
          <w:sz w:val="24"/>
        </w:rPr>
        <w:t>Jinsheng Wang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>1,2</w:t>
      </w:r>
      <w:r>
        <w:rPr>
          <w:rFonts w:ascii="Times New Roman" w:hAnsi="Times New Roman" w:cs="Times New Roman"/>
          <w:b/>
          <w:bCs/>
          <w:sz w:val="24"/>
        </w:rPr>
        <w:t>, Junhao Wu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</w:rPr>
        <w:t>, Xiaohua Hou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</w:rPr>
        <w:t>, Lei Zhang</w:t>
      </w:r>
      <w:r>
        <w:rPr>
          <w:rFonts w:ascii="Times New Roman" w:hAnsi="Times New Roman" w:cs="Times New Roman"/>
          <w:b/>
          <w:bCs/>
          <w:sz w:val="24"/>
          <w:vertAlign w:val="superscript"/>
        </w:rPr>
        <w:t>1#</w:t>
      </w:r>
      <w:r>
        <w:rPr>
          <w:rFonts w:ascii="Times New Roman" w:hAnsi="Times New Roman" w:cs="Times New Roman"/>
          <w:b/>
          <w:bCs/>
          <w:sz w:val="24"/>
        </w:rPr>
        <w:t xml:space="preserve">, </w:t>
      </w:r>
    </w:p>
    <w:bookmarkEnd w:id="4"/>
    <w:p>
      <w:pPr>
        <w:pStyle w:val="1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vertAlign w:val="superscript"/>
        </w:rPr>
        <w:t xml:space="preserve">1 </w:t>
      </w:r>
      <w:bookmarkStart w:id="5" w:name="_Hlk153372847"/>
      <w:r>
        <w:rPr>
          <w:rFonts w:ascii="Times New Roman" w:hAnsi="Times New Roman"/>
          <w:b/>
          <w:bCs/>
          <w:sz w:val="24"/>
          <w:szCs w:val="24"/>
        </w:rPr>
        <w:t>Division of Gastroenterology, Union Hospital, Tongji Medical College, Huazhong University of Science and Technology, Wuhan, Hubei, 430022, China</w:t>
      </w:r>
      <w:bookmarkEnd w:id="5"/>
    </w:p>
    <w:p>
      <w:pPr>
        <w:pStyle w:val="12"/>
        <w:spacing w:after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Department of Gastroenterology, </w:t>
      </w:r>
      <w:bookmarkStart w:id="6" w:name="OLE_LINK38"/>
      <w:r>
        <w:rPr>
          <w:rFonts w:ascii="Times New Roman" w:hAnsi="Times New Roman"/>
          <w:b/>
          <w:bCs/>
          <w:sz w:val="24"/>
          <w:szCs w:val="24"/>
        </w:rPr>
        <w:t>Sir Run Run Shaw Hospital, College of Medicine, Zhejiang University, Hangzhou, Zhejiang, 310000, China</w:t>
      </w:r>
    </w:p>
    <w:bookmarkEnd w:id="6"/>
    <w:p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Authors’ information:</w:t>
      </w:r>
    </w:p>
    <w:p>
      <w:pPr>
        <w:spacing w:after="240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>Jinsheng Wang</w:t>
      </w:r>
      <w:r>
        <w:rPr>
          <w:rFonts w:ascii="Times New Roman" w:hAnsi="Times New Roman"/>
          <w:b/>
          <w:bCs/>
          <w:kern w:val="0"/>
          <w:sz w:val="24"/>
        </w:rPr>
        <w:t xml:space="preserve">, </w:t>
      </w:r>
      <w:r>
        <w:rPr>
          <w:rFonts w:ascii="Times New Roman" w:hAnsi="Times New Roman"/>
          <w:sz w:val="24"/>
        </w:rPr>
        <w:t>M</w:t>
      </w:r>
      <w:r>
        <w:rPr>
          <w:rFonts w:hint="eastAsia"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D. Division of Gastroenterology, Union Hospital of Tongji Medical College, Huazhong University of Science and Technology, 1277 Jiefang Avenue, Wuhan, Hubei Province, China 430022; Department of Gastroenterology, Sir Run Run Shaw Hospital, College of Medicine, Zhejiang University, 3 East Qingchun Road, Hangzhou, Zhejiang Province, China 310000, E-mail: </w:t>
      </w:r>
      <w:r>
        <w:rPr>
          <w:rFonts w:hint="eastAsia" w:ascii="Times New Roman" w:hAnsi="Times New Roman"/>
          <w:sz w:val="24"/>
        </w:rPr>
        <w:t>wangjinsheng@zju.edu.cn,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ORCID: </w:t>
      </w:r>
      <w:bookmarkStart w:id="7" w:name="OLE_LINK37"/>
      <w:r>
        <w:fldChar w:fldCharType="begin"/>
      </w:r>
      <w:r>
        <w:instrText xml:space="preserve"> HYPERLINK "http://orcid.org/0000-0003-0596-4119" \t "_blank" \o "Click for public view of ORCID" </w:instrText>
      </w:r>
      <w:r>
        <w:fldChar w:fldCharType="separate"/>
      </w:r>
      <w:r>
        <w:rPr>
          <w:rFonts w:ascii="Times New Roman" w:hAnsi="Times New Roman" w:cs="Times New Roman"/>
          <w:kern w:val="0"/>
          <w:sz w:val="24"/>
        </w:rPr>
        <w:t>0000-0003-0596-4119</w:t>
      </w:r>
      <w:r>
        <w:rPr>
          <w:rFonts w:ascii="Times New Roman" w:hAnsi="Times New Roman" w:cs="Times New Roman"/>
          <w:kern w:val="0"/>
          <w:sz w:val="24"/>
        </w:rPr>
        <w:fldChar w:fldCharType="end"/>
      </w:r>
      <w:bookmarkEnd w:id="7"/>
    </w:p>
    <w:p>
      <w:pPr>
        <w:spacing w:after="240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 xml:space="preserve">Junhao Wu, </w:t>
      </w:r>
      <w:r>
        <w:rPr>
          <w:rFonts w:ascii="Times New Roman" w:hAnsi="Times New Roman" w:cs="Times New Roman"/>
          <w:kern w:val="0"/>
          <w:sz w:val="24"/>
        </w:rPr>
        <w:t>M.Sc.</w:t>
      </w:r>
      <w:r>
        <w:rPr>
          <w:rFonts w:ascii="Times New Roman" w:hAnsi="Times New Roman" w:cs="Times New Roman"/>
          <w:b/>
          <w:bCs/>
          <w:kern w:val="0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</w:rPr>
        <w:t>Department of Gastroenterology, Union Hospital, Tongji Medical College, Huazhong University of Science and Technology, Wuhan, Hubei, 430022, China</w:t>
      </w:r>
      <w:bookmarkStart w:id="8" w:name="OLE_LINK34"/>
      <w:r>
        <w:rPr>
          <w:rFonts w:hint="eastAsia" w:ascii="Times New Roman" w:hAnsi="Times New Roman" w:cs="Times New Roman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E-mail: </w:t>
      </w:r>
      <w:bookmarkStart w:id="9" w:name="OLE_LINK39"/>
      <w:r>
        <w:fldChar w:fldCharType="begin"/>
      </w:r>
      <w:r>
        <w:instrText xml:space="preserve"> HYPERLINK "mailto:drwujunhao@163.com" </w:instrText>
      </w:r>
      <w:r>
        <w:fldChar w:fldCharType="separate"/>
      </w:r>
      <w:r>
        <w:rPr>
          <w:rFonts w:ascii="Times New Roman" w:hAnsi="Times New Roman" w:cs="Times New Roman"/>
          <w:kern w:val="0"/>
          <w:sz w:val="24"/>
        </w:rPr>
        <w:t>drwujunhao@163.com</w:t>
      </w:r>
      <w:r>
        <w:rPr>
          <w:rFonts w:ascii="Times New Roman" w:hAnsi="Times New Roman" w:cs="Times New Roman"/>
          <w:kern w:val="0"/>
          <w:sz w:val="24"/>
        </w:rPr>
        <w:fldChar w:fldCharType="end"/>
      </w:r>
      <w:bookmarkEnd w:id="9"/>
      <w:r>
        <w:rPr>
          <w:rFonts w:hint="eastAsia" w:ascii="Times New Roman" w:hAnsi="Times New Roman" w:cs="Times New Roman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ORCID: 0000-0002-7308-5848</w:t>
      </w:r>
    </w:p>
    <w:bookmarkEnd w:id="8"/>
    <w:p>
      <w:pPr>
        <w:rPr>
          <w:rFonts w:ascii="Times New Roman" w:hAnsi="Times New Roman" w:cs="Times New Roman"/>
          <w:b/>
          <w:bCs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>Xiaohua Hou</w:t>
      </w:r>
      <w:r>
        <w:rPr>
          <w:rFonts w:hint="eastAsia" w:ascii="Times New Roman" w:hAnsi="Times New Roman" w:cs="Times New Roman"/>
          <w:b/>
          <w:bCs/>
          <w:kern w:val="0"/>
          <w:sz w:val="24"/>
        </w:rPr>
        <w:t>,</w:t>
      </w:r>
      <w:r>
        <w:rPr>
          <w:rFonts w:ascii="Times New Roman" w:hAnsi="Times New Roman" w:cs="Times New Roman"/>
          <w:b/>
          <w:bCs/>
          <w:kern w:val="0"/>
          <w:sz w:val="24"/>
        </w:rPr>
        <w:t xml:space="preserve"> </w:t>
      </w:r>
      <w:r>
        <w:rPr>
          <w:rFonts w:ascii="Times New Roman" w:hAnsi="Times New Roman"/>
          <w:kern w:val="0"/>
          <w:sz w:val="24"/>
        </w:rPr>
        <w:t xml:space="preserve">M.D. </w:t>
      </w:r>
      <w:bookmarkStart w:id="10" w:name="_Hlk153373174"/>
      <w:r>
        <w:rPr>
          <w:rFonts w:ascii="Times New Roman" w:hAnsi="Times New Roman"/>
          <w:kern w:val="0"/>
          <w:sz w:val="24"/>
        </w:rPr>
        <w:t>Ph.D. Professor. Division of Gastroenterology, Union Hospital of Tongji Medical College, Huazhong University of Science and Technology, 1277 Jiefang Avenue, Wuhan, Hubei Province,</w:t>
      </w:r>
      <w:bookmarkStart w:id="11" w:name="_Hlk66634255"/>
      <w:r>
        <w:rPr>
          <w:rFonts w:ascii="Times New Roman" w:hAnsi="Times New Roman"/>
          <w:kern w:val="0"/>
          <w:sz w:val="24"/>
        </w:rPr>
        <w:t xml:space="preserve"> China 430022. </w:t>
      </w:r>
      <w:bookmarkEnd w:id="10"/>
      <w:bookmarkEnd w:id="11"/>
      <w:r>
        <w:rPr>
          <w:rFonts w:ascii="Times New Roman" w:hAnsi="Times New Roman"/>
          <w:kern w:val="0"/>
          <w:sz w:val="24"/>
        </w:rPr>
        <w:t xml:space="preserve">E-mail: </w:t>
      </w:r>
      <w:r>
        <w:fldChar w:fldCharType="begin"/>
      </w:r>
      <w:r>
        <w:instrText xml:space="preserve"> HYPERLINK "mailto:houxh@hust.edu.cn" </w:instrText>
      </w:r>
      <w:r>
        <w:fldChar w:fldCharType="separate"/>
      </w:r>
      <w:r>
        <w:rPr>
          <w:rStyle w:val="9"/>
          <w:rFonts w:ascii="Times New Roman" w:hAnsi="Times New Roman"/>
          <w:kern w:val="0"/>
          <w:sz w:val="24"/>
        </w:rPr>
        <w:t>houxh@hust.edu.cn</w:t>
      </w:r>
      <w:r>
        <w:rPr>
          <w:rStyle w:val="9"/>
          <w:rFonts w:ascii="Times New Roman" w:hAnsi="Times New Roman"/>
          <w:kern w:val="0"/>
          <w:sz w:val="24"/>
        </w:rPr>
        <w:fldChar w:fldCharType="end"/>
      </w:r>
      <w:r>
        <w:rPr>
          <w:rFonts w:ascii="Times New Roman" w:hAnsi="Times New Roman"/>
          <w:kern w:val="0"/>
          <w:sz w:val="24"/>
        </w:rPr>
        <w:t xml:space="preserve">, </w:t>
      </w:r>
      <w:r>
        <w:rPr>
          <w:rFonts w:ascii="Times New Roman" w:hAnsi="Times New Roman" w:cs="Times New Roman"/>
          <w:kern w:val="0"/>
          <w:sz w:val="24"/>
        </w:rPr>
        <w:t>ORCID: 0000-0002-3694-2126</w:t>
      </w:r>
    </w:p>
    <w:p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  <w:b/>
          <w:bCs/>
          <w:kern w:val="0"/>
          <w:sz w:val="24"/>
        </w:rPr>
      </w:pPr>
      <w:r>
        <w:rPr>
          <w:rFonts w:ascii="Times New Roman" w:hAnsi="Times New Roman" w:cs="Times New Roman"/>
          <w:b/>
          <w:bCs/>
          <w:kern w:val="0"/>
          <w:sz w:val="24"/>
        </w:rPr>
        <w:t xml:space="preserve">#Correspondence to: </w:t>
      </w:r>
    </w:p>
    <w:p>
      <w:pPr>
        <w:spacing w:after="240"/>
        <w:rPr>
          <w:rFonts w:ascii="Times New Roman" w:hAnsi="Times New Roman" w:cs="Times New Roman"/>
          <w:kern w:val="0"/>
          <w:sz w:val="24"/>
        </w:rPr>
      </w:pPr>
      <w:bookmarkStart w:id="12" w:name="_Hlk59433704"/>
      <w:bookmarkEnd w:id="12"/>
      <w:r>
        <w:rPr>
          <w:rFonts w:ascii="Times New Roman" w:hAnsi="Times New Roman" w:cs="Times New Roman"/>
          <w:b/>
          <w:bCs/>
          <w:kern w:val="0"/>
          <w:sz w:val="24"/>
        </w:rPr>
        <w:t xml:space="preserve">Lei Zhang, </w:t>
      </w:r>
      <w:r>
        <w:rPr>
          <w:rFonts w:ascii="Times New Roman" w:hAnsi="Times New Roman" w:cs="Times New Roman"/>
          <w:kern w:val="0"/>
          <w:sz w:val="24"/>
        </w:rPr>
        <w:t xml:space="preserve">Ph.D. </w:t>
      </w:r>
      <w:bookmarkStart w:id="13" w:name="OLE_LINK35"/>
      <w:r>
        <w:rPr>
          <w:rFonts w:ascii="Times New Roman" w:hAnsi="Times New Roman" w:cs="Times New Roman"/>
          <w:kern w:val="0"/>
          <w:sz w:val="24"/>
        </w:rPr>
        <w:t>Division of Gastroenterology, Union Hospital of Tongji Medical College, Huazhong University of Science and Technology, 1277 Jiefang Avenue, Wuhan, Hubei Province, China 430022.</w:t>
      </w:r>
      <w:bookmarkEnd w:id="13"/>
      <w:bookmarkStart w:id="14" w:name="OLE_LINK33"/>
      <w:r>
        <w:rPr>
          <w:rFonts w:ascii="Times New Roman" w:hAnsi="Times New Roman" w:cs="Times New Roman"/>
          <w:kern w:val="0"/>
          <w:sz w:val="24"/>
        </w:rPr>
        <w:t xml:space="preserve"> E-mail: </w:t>
      </w:r>
      <w:bookmarkStart w:id="15" w:name="OLE_LINK40"/>
      <w:r>
        <w:fldChar w:fldCharType="begin"/>
      </w:r>
      <w:r>
        <w:instrText xml:space="preserve"> HYPERLINK "mailto:zhanglei2017@hust.edu.cn" </w:instrText>
      </w:r>
      <w:r>
        <w:fldChar w:fldCharType="separate"/>
      </w:r>
      <w:r>
        <w:rPr>
          <w:rStyle w:val="9"/>
          <w:rFonts w:ascii="Times New Roman" w:hAnsi="Times New Roman" w:cs="Times New Roman"/>
          <w:kern w:val="0"/>
          <w:sz w:val="24"/>
        </w:rPr>
        <w:t>zhanglei2017@hust.edu.cn</w:t>
      </w:r>
      <w:r>
        <w:rPr>
          <w:rStyle w:val="9"/>
          <w:rFonts w:ascii="Times New Roman" w:hAnsi="Times New Roman" w:cs="Times New Roman"/>
          <w:kern w:val="0"/>
          <w:sz w:val="24"/>
        </w:rPr>
        <w:fldChar w:fldCharType="end"/>
      </w:r>
      <w:bookmarkEnd w:id="14"/>
      <w:bookmarkEnd w:id="15"/>
      <w:r>
        <w:rPr>
          <w:rFonts w:hint="eastAsia" w:ascii="Times New Roman" w:hAnsi="Times New Roman" w:cs="Times New Roman"/>
          <w:kern w:val="0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ORCID: </w:t>
      </w:r>
      <w:r>
        <w:fldChar w:fldCharType="begin"/>
      </w:r>
      <w:r>
        <w:instrText xml:space="preserve"> HYPERLINK "http://orcid.org/0000-0003-4921-8986" \t "_blank" \o "Click for public view of ORCID" </w:instrText>
      </w:r>
      <w:r>
        <w:fldChar w:fldCharType="separate"/>
      </w:r>
      <w:r>
        <w:rPr>
          <w:rFonts w:ascii="Times New Roman" w:hAnsi="Times New Roman" w:cs="Times New Roman"/>
          <w:kern w:val="0"/>
          <w:sz w:val="24"/>
        </w:rPr>
        <w:t>0000-0003-4921-8986</w:t>
      </w:r>
      <w:r>
        <w:rPr>
          <w:rFonts w:ascii="Times New Roman" w:hAnsi="Times New Roman" w:cs="Times New Roman"/>
          <w:kern w:val="0"/>
          <w:sz w:val="24"/>
        </w:rPr>
        <w:fldChar w:fldCharType="end"/>
      </w:r>
    </w:p>
    <w:p>
      <w:pPr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18" w:name="_GoBack"/>
      <w:bookmarkEnd w:id="18"/>
    </w:p>
    <w:p>
      <w:pPr>
        <w:bidi w:val="0"/>
        <w:jc w:val="center"/>
        <w:rPr>
          <w:rFonts w:hint="default" w:ascii="Times New Roman" w:hAnsi="Times New Roman" w:cs="Times New Roman"/>
          <w:b/>
          <w:bCs/>
          <w:sz w:val="28"/>
          <w:szCs w:val="32"/>
        </w:rPr>
      </w:pPr>
      <w:r>
        <w:rPr>
          <w:rFonts w:hint="default" w:ascii="Times New Roman" w:hAnsi="Times New Roman" w:cs="Times New Roman"/>
          <w:b/>
          <w:bCs/>
          <w:sz w:val="28"/>
          <w:szCs w:val="32"/>
        </w:rPr>
        <w:t>Supplementary</w:t>
      </w:r>
      <w:bookmarkEnd w:id="1"/>
      <w:r>
        <w:rPr>
          <w:rFonts w:hint="default" w:ascii="Times New Roman" w:hAnsi="Times New Roman" w:cs="Times New Roman"/>
          <w:b/>
          <w:bCs/>
          <w:sz w:val="28"/>
          <w:szCs w:val="32"/>
        </w:rPr>
        <w:t xml:space="preserve"> materials</w:t>
      </w:r>
    </w:p>
    <w:p>
      <w:pPr>
        <w:rPr>
          <w:rFonts w:hint="default" w:ascii="Times New Roman" w:hAnsi="Times New Roman" w:cs="Times New Roman"/>
          <w:b/>
          <w:bCs/>
          <w:color w:val="000000" w:themeColor="text1"/>
          <w:kern w:val="0"/>
          <w:sz w:val="21"/>
          <w:szCs w:val="21"/>
          <w:lang w:bidi="ar"/>
          <w14:textFill>
            <w14:solidFill>
              <w14:schemeClr w14:val="tx1"/>
            </w14:solidFill>
          </w14:textFill>
        </w:rPr>
      </w:pPr>
      <w:bookmarkStart w:id="16" w:name="OLE_LINK2"/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Supplementary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t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able 1. Subgroup analysis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based on gender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for </w:t>
      </w:r>
      <w:r>
        <w:rPr>
          <w:rFonts w:hint="default" w:ascii="Times New Roman" w:hAnsi="Times New Roman" w:cs="Times New Roman"/>
          <w:b/>
          <w:bCs/>
          <w:color w:val="000000" w:themeColor="text1"/>
          <w:kern w:val="0"/>
          <w:sz w:val="21"/>
          <w:szCs w:val="21"/>
          <w:lang w:bidi="ar"/>
          <w14:textFill>
            <w14:solidFill>
              <w14:schemeClr w14:val="tx1"/>
            </w14:solidFill>
          </w14:textFill>
        </w:rPr>
        <w:t>symptom pattern between Rome IV criteria defined FD and potential FD that fulfilled Rome IV criteria but with 3-6 months’ duration.</w:t>
      </w:r>
    </w:p>
    <w:bookmarkEnd w:id="16"/>
    <w:tbl>
      <w:tblPr>
        <w:tblStyle w:val="7"/>
        <w:tblW w:w="6238" w:type="pct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57"/>
        <w:gridCol w:w="1046"/>
        <w:gridCol w:w="1259"/>
        <w:gridCol w:w="639"/>
        <w:gridCol w:w="1047"/>
        <w:gridCol w:w="1260"/>
        <w:gridCol w:w="654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413" w:type="pct"/>
            <w:gridSpan w:val="3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Male</w:t>
            </w:r>
          </w:p>
        </w:tc>
        <w:tc>
          <w:tcPr>
            <w:tcW w:w="1413" w:type="pct"/>
            <w:gridSpan w:val="3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Female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Within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>Rome IV criteria defined FD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Symptom duration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6 months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3-6 months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  <w:t>P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6 months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3-6 months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</w:rPr>
              <w:t>P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auto"/>
                <w:kern w:val="0"/>
                <w:sz w:val="21"/>
                <w:szCs w:val="21"/>
                <w:lang w:val="en-US" w:eastAsia="zh-CN"/>
              </w:rPr>
              <w:t>P (male vs. female)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457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165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194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58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Dyspepsia symptoms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 xml:space="preserve"> (N%)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Epigastric pain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79.2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78.8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0.909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57.2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65.5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0.259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Postprandial fullness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60.1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33.9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0.754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39.9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53.4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0.747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Early satiation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22.8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26.7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0.312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48.5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31.0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0.019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Epigastric burning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43.5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52.1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0.058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37.1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48.3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0.127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0.128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Postprandial pain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47.7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43.0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0.302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27.8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41.4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0.050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Postprandial nausea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0.2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0.6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0.460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5.2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0.730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0.003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Dysmotility-like symptoms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 xml:space="preserve"> (N%)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Any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40.3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41.2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0.831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68.0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62.1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0.397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Belching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27.8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28.5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0.865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49.5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50.0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0.945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Nausea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16.6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18.8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0.529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37.1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34.5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0.715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Vomiting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0.7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1.2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0.621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3.4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0.624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Reflux-like symptoms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 xml:space="preserve"> (N%)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Any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32.6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32.7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0.977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11.3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27.6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0.002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Heartburn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12.0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10.9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0.700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0.0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0.0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/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Acid reflux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30.9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29.7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0.782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9.3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27.6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&lt;0.001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Food reflux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4.2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3.0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0.519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1.7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0.919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0.518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Symptoms after meals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 xml:space="preserve"> (N%)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0.977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0.257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Aggravation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61.1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61.8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58.8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70.7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Relief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17.1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16.4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32.5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22.4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No change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21.9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21.8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8.8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6.9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Overall symptom severity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 w:bidi="ar"/>
              </w:rPr>
              <w:t xml:space="preserve"> (N%)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0.449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0.922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0.148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Moderate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74.6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77.6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79.9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79.3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Severe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25.4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22.4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20.1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20.7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</w:rPr>
              <w:t>Overall symptom frequency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465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Mean (SD)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3.05(1.789)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3.23(1.796)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0.258</w:t>
            </w:r>
          </w:p>
        </w:tc>
        <w:tc>
          <w:tcPr>
            <w:tcW w:w="502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4.35(1.407)</w:t>
            </w:r>
          </w:p>
        </w:tc>
        <w:tc>
          <w:tcPr>
            <w:tcW w:w="604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4.10(1.385)</w:t>
            </w:r>
          </w:p>
        </w:tc>
        <w:tc>
          <w:tcPr>
            <w:tcW w:w="306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0.240</w:t>
            </w:r>
          </w:p>
        </w:tc>
        <w:tc>
          <w:tcPr>
            <w:tcW w:w="707" w:type="pct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&lt;0.001</w:t>
            </w:r>
          </w:p>
        </w:tc>
      </w:tr>
    </w:tbl>
    <w:p>
      <w:pPr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The results of categorical variables were expressed as N%, and χ2 tests or the Fisher exact test was used according to the analysis requirements. The results of continuous variables were expressed as the mean (SD), and the t test or Kruskal-Wallis test was used according to the analysis requirements.</w:t>
      </w:r>
    </w:p>
    <w:p>
      <w:pPr>
        <w:widowControl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br w:type="page"/>
      </w:r>
    </w:p>
    <w:p>
      <w:pPr>
        <w:rPr>
          <w:rFonts w:hint="default" w:ascii="Times New Roman" w:hAnsi="Times New Roman" w:cs="Times New Roman"/>
          <w:b/>
          <w:bCs/>
          <w:color w:val="000000" w:themeColor="text1"/>
          <w:kern w:val="0"/>
          <w:sz w:val="21"/>
          <w:szCs w:val="21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Supplementary table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. Subgroup analysis based on 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age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for symptom pattern between Rome IV criteria defined FD and potential FD that fulfilled </w:t>
      </w:r>
      <w:bookmarkStart w:id="17" w:name="OLE_LINK3"/>
      <w:r>
        <w:rPr>
          <w:rFonts w:hint="default" w:ascii="Times New Roman" w:hAnsi="Times New Roman" w:cs="Times New Roman"/>
          <w:b/>
          <w:bCs/>
          <w:sz w:val="21"/>
          <w:szCs w:val="21"/>
        </w:rPr>
        <w:t>Rome IV criteria</w:t>
      </w:r>
      <w:bookmarkEnd w:id="17"/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but with 3-6 months’ duration.</w:t>
      </w:r>
    </w:p>
    <w:tbl>
      <w:tblPr>
        <w:tblStyle w:val="7"/>
        <w:tblW w:w="11797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97"/>
        <w:gridCol w:w="905"/>
        <w:gridCol w:w="972"/>
        <w:gridCol w:w="601"/>
        <w:gridCol w:w="935"/>
        <w:gridCol w:w="934"/>
        <w:gridCol w:w="552"/>
        <w:gridCol w:w="974"/>
        <w:gridCol w:w="958"/>
        <w:gridCol w:w="562"/>
        <w:gridCol w:w="843"/>
        <w:gridCol w:w="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Age (year)</w:t>
            </w:r>
          </w:p>
        </w:tc>
        <w:tc>
          <w:tcPr>
            <w:tcW w:w="2478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18-35</w:t>
            </w:r>
          </w:p>
        </w:tc>
        <w:tc>
          <w:tcPr>
            <w:tcW w:w="2421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36-59</w:t>
            </w:r>
          </w:p>
        </w:tc>
        <w:tc>
          <w:tcPr>
            <w:tcW w:w="2494" w:type="dxa"/>
            <w:gridSpan w:val="3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60 and above</w:t>
            </w:r>
          </w:p>
        </w:tc>
        <w:tc>
          <w:tcPr>
            <w:tcW w:w="1607" w:type="dxa"/>
            <w:gridSpan w:val="2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Within 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>Rome IV criteria defined FD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  <w:t>Symptom duration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6 months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3-6 months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6 months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3-6 months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≥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6 months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3-6 months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lang w:val="en-US" w:eastAsia="zh-CN"/>
              </w:rPr>
              <w:t>P (among groups)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</w:rPr>
              <w:t>Post hoc$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N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139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440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144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Dyspepsia symptoms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 (N%)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Epigastric pain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74.8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78.0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0.653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73.0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75.0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0.629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66.7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72.4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0.439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Postprandial fullness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34.5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24.0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0.170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36.1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41.7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0.234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56.9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51.7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0.633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0.002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a,a,b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Early satiation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15.8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12.0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28.9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26.4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0.567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68.1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62.1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0.565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a,b,c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Epigastric burning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40.3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52.0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0.152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44.5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53.5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0.062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26.4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37.9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0.014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ab,b,a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Postprandial pain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32.4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40.0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0.330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49.8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50.0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0.962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11.1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10.3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0.911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Postprandial nausea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0.265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0.714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/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Dysmotility-like symptoms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 (N%)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Any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25.2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22.0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0.653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53.6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50.7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0.539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62.5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69.0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0.539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Belching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23.7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18.0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35.9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34.7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0.796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44.4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58.6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0.197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0.005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a,b,b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Nausea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6.5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10.0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0.414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25.5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27.1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0.698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37.5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24.1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a,b,b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Vomiting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0.7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0.460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0.827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/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0.357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Reflux-like symptoms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 (N%)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Any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18.0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28.0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31.8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37.5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0.209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8.3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6.9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0.809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Heartburn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0.897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11.4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10.4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0.872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a,b,a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Acid reflux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16.5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24.0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0.245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29.8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34.7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0.265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6.9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10.3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0.567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a,b,a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Food reflux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0.394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5.0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0.647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0.494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0.084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Symptoms after meals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 (N%)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0.741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0.759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Aggravation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46.0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52.0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68.0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72.2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41.7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44.8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a,b,a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Relief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28.8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24.0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18.0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12.5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30.6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34.5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a,b,a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No change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25.2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24.0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14.1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15.3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27.8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20.7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>a,b,a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Overall symptom severity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1"/>
                <w:szCs w:val="21"/>
                <w:lang w:val="en-US" w:eastAsia="zh-CN" w:bidi="ar"/>
              </w:rPr>
              <w:t xml:space="preserve"> (N%)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0.737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0.897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黑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0.11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&lt;0.001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a,b,b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Moderate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53.2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56.0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83.9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83.3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73.6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89.7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Severe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46.8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44.0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16.1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16.7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26.4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10.3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2797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1"/>
                <w:szCs w:val="21"/>
              </w:rPr>
              <w:t>Overall symptom frequency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</w:rPr>
              <w:t>Mean (SD)</w:t>
            </w:r>
          </w:p>
        </w:tc>
        <w:tc>
          <w:tcPr>
            <w:tcW w:w="90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3.45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2.008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97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3.04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(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1.895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01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0.215</w:t>
            </w:r>
          </w:p>
        </w:tc>
        <w:tc>
          <w:tcPr>
            <w:tcW w:w="935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3.36(1.713)</w:t>
            </w:r>
          </w:p>
        </w:tc>
        <w:tc>
          <w:tcPr>
            <w:tcW w:w="93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3.59(1.703)</w:t>
            </w:r>
          </w:p>
        </w:tc>
        <w:tc>
          <w:tcPr>
            <w:tcW w:w="55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97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3.86(1.739)</w:t>
            </w:r>
          </w:p>
        </w:tc>
        <w:tc>
          <w:tcPr>
            <w:tcW w:w="958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3.52(1.573)</w:t>
            </w:r>
          </w:p>
        </w:tc>
        <w:tc>
          <w:tcPr>
            <w:tcW w:w="562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0.358</w:t>
            </w:r>
          </w:p>
        </w:tc>
        <w:tc>
          <w:tcPr>
            <w:tcW w:w="843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0.088</w:t>
            </w:r>
          </w:p>
        </w:tc>
        <w:tc>
          <w:tcPr>
            <w:tcW w:w="764" w:type="dxa"/>
            <w:shd w:val="clear" w:color="auto" w:fill="FFFFFF" w:themeFill="background1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eastAsia="zh-CN"/>
        </w:rPr>
        <w:t>The results of categorical variables were expressed as N%, and χ2 tests or the Fisher exact test was used according to the analysis requirements. The results of continuous variables were expressed as the mean (SD), and the t test or Kruskal-Wallis test was used according to the analysis requirements.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210" w:firstLineChars="100"/>
        <w:jc w:val="left"/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vertAlign w:val="superscript"/>
          <w:lang w:val="en-US" w:eastAsia="zh-CN" w:bidi="ar"/>
        </w:rPr>
        <w:t>#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P values were corrected by Bonferroni method. P&lt;0.05 indicates a statistical difference among groups;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210" w:firstLineChars="100"/>
        <w:jc w:val="left"/>
        <w:rPr>
          <w:rFonts w:hint="default" w:ascii="Times New Roman" w:hAnsi="Times New Roman" w:cs="Times New Roman"/>
          <w:color w:val="000000"/>
          <w:kern w:val="0"/>
          <w:szCs w:val="21"/>
          <w:lang w:val="en-US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vertAlign w:val="superscript"/>
          <w:lang w:val="en-US" w:eastAsia="zh-CN" w:bidi="ar"/>
        </w:rPr>
        <w:t>$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 xml:space="preserve"> Post hoc analyses were using Bonferroni method. Three sets of comma-separated letters represen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t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</w:rPr>
        <w:t>Rome IV criteria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defined FD aged 18-35 years, 36-59 years and over 60 years</w:t>
      </w:r>
      <w:r>
        <w:rPr>
          <w:rFonts w:hint="default" w:ascii="Times New Roman" w:hAnsi="Times New Roman" w:eastAsia="宋体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,  respectively. And if the same letter is </w:t>
      </w:r>
      <w:r>
        <w:rPr>
          <w:rFonts w:hint="default" w:ascii="Times New Roman" w:hAnsi="Times New Roman" w:eastAsia="宋体" w:cs="Times New Roman"/>
          <w:color w:val="000000"/>
          <w:kern w:val="0"/>
          <w:sz w:val="21"/>
          <w:szCs w:val="21"/>
          <w:lang w:val="en-US" w:eastAsia="zh-CN" w:bidi="ar"/>
        </w:rPr>
        <w:t>not present in the two groups, it indicates a statistical difference between the two groups.</w:t>
      </w:r>
    </w:p>
    <w:p>
      <w:pPr>
        <w:rPr>
          <w:rFonts w:hint="default" w:ascii="Times New Roman" w:hAnsi="Times New Roman" w:cs="Times New Roman"/>
          <w:lang w:eastAsia="zh-CN"/>
        </w:rPr>
      </w:pPr>
    </w:p>
    <w:p>
      <w:pPr>
        <w:widowControl/>
        <w:jc w:val="left"/>
        <w:rPr>
          <w:rFonts w:hint="default" w:ascii="Times New Roman" w:hAnsi="Times New Roman"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dkYjc0YTEzNzQ3ZWEyNTM4ZDdmZDc2ZWE4MTIwYTEifQ=="/>
  </w:docVars>
  <w:rsids>
    <w:rsidRoot w:val="00627BB4"/>
    <w:rsid w:val="00541361"/>
    <w:rsid w:val="005A6E62"/>
    <w:rsid w:val="00627BB4"/>
    <w:rsid w:val="006E5B3A"/>
    <w:rsid w:val="00894F63"/>
    <w:rsid w:val="198C7FDB"/>
    <w:rsid w:val="21124446"/>
    <w:rsid w:val="2DE1436C"/>
    <w:rsid w:val="484F570D"/>
    <w:rsid w:val="5CEB1EEF"/>
    <w:rsid w:val="614918DA"/>
    <w:rsid w:val="7B943A00"/>
    <w:rsid w:val="7DB3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35"/>
    <w:rPr>
      <w:rFonts w:ascii="Arial" w:hAnsi="Arial" w:eastAsia="黑体"/>
      <w:sz w:val="20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paragraph" w:customStyle="1" w:styleId="12">
    <w:name w:val="无间隔1"/>
    <w:basedOn w:val="1"/>
    <w:autoRedefine/>
    <w:qFormat/>
    <w:uiPriority w:val="0"/>
    <w:rPr>
      <w:rFonts w:ascii="等线" w:hAnsi="等线" w:eastAsia="等线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704</Words>
  <Characters>4018</Characters>
  <Lines>33</Lines>
  <Paragraphs>9</Paragraphs>
  <TotalTime>0</TotalTime>
  <ScaleCrop>false</ScaleCrop>
  <LinksUpToDate>false</LinksUpToDate>
  <CharactersWithSpaces>4713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2023-10-21T09:29:00Z</dcterms:created>
  <dc:creator>35</dc:creator>
  <cp:lastModifiedBy>老王老王你别狂</cp:lastModifiedBy>
  <dcterms:modified xsi:type="dcterms:W3CDTF">2024-03-05T07:25:14Z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BCFDE4248E8349AAB7087612F3BC094B_12</vt:lpwstr>
  </property>
</Properties>
</file>