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5A4FB" w14:textId="77777777" w:rsidR="00AF1438" w:rsidRDefault="00AF1438" w:rsidP="00AF14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>
        <w:rPr>
          <w:rFonts w:ascii="Times New Roman" w:hAnsi="Times New Roman" w:cs="Times New Roman"/>
          <w:sz w:val="24"/>
          <w:szCs w:val="24"/>
        </w:rPr>
        <w:t xml:space="preserve"> PPI dosage and omeprazole equivalent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2769"/>
        <w:gridCol w:w="3242"/>
      </w:tblGrid>
      <w:tr w:rsidR="00AF1438" w14:paraId="02B1E053" w14:textId="77777777" w:rsidTr="000A2EA6">
        <w:tc>
          <w:tcPr>
            <w:tcW w:w="30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86FE49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Agent</w:t>
            </w:r>
          </w:p>
        </w:tc>
        <w:tc>
          <w:tcPr>
            <w:tcW w:w="276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D60CD6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osage</w:t>
            </w:r>
          </w:p>
        </w:tc>
        <w:tc>
          <w:tcPr>
            <w:tcW w:w="32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B7512C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Omeprazole equivalent</w:t>
            </w:r>
          </w:p>
        </w:tc>
      </w:tr>
      <w:tr w:rsidR="00AF1438" w14:paraId="781569A2" w14:textId="77777777" w:rsidTr="000A2EA6">
        <w:tc>
          <w:tcPr>
            <w:tcW w:w="3005" w:type="dxa"/>
            <w:tcBorders>
              <w:top w:val="single" w:sz="4" w:space="0" w:color="auto"/>
            </w:tcBorders>
            <w:vAlign w:val="center"/>
          </w:tcPr>
          <w:p w14:paraId="7CF793BC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antoprazole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&lt;EndNote&gt;&lt;Cite&gt;&lt;Author&gt;Graham&lt;/Author&gt;&lt;Year&gt;2018&lt;/Year&gt;&lt;RecNum&gt;32&lt;/RecNum&gt;&lt;DisplayText&gt;&lt;style face="superscript"&gt;24&lt;/style&gt;&lt;/DisplayText&gt;&lt;record&gt;&lt;rec-number&gt;32&lt;/rec-number&gt;&lt;foreign-keys&gt;&lt;key app="EN" db-id="vx90tp02pz5fpdez0z3xxppstwxra2tfedta" timestamp="1691373590"&gt;32&lt;/key&gt;&lt;/foreign-keys&gt;&lt;ref-type name="Journal Article"&gt;17&lt;/ref-type&gt;&lt;contributors&gt;&lt;authors&gt;&lt;author&gt;Graham, David Y&lt;/author&gt;&lt;author&gt;Tansel, Aylin&lt;/author&gt;&lt;/authors&gt;&lt;/contributors&gt;&lt;titles&gt;&lt;title&gt;Interchangeable use of proton pump inhibitors based on relative potency&lt;/title&gt;&lt;secondary-title&gt;Clinical Gastroenterology and Hepatology&lt;/secondary-title&gt;&lt;/titles&gt;&lt;periodical&gt;&lt;full-title&gt;Clinical Gastroenterology and Hepatology&lt;/full-title&gt;&lt;/periodical&gt;&lt;pages&gt;800-808. e7&lt;/pages&gt;&lt;volume&gt;16&lt;/volume&gt;&lt;number&gt;6&lt;/number&gt;&lt;dates&gt;&lt;year&gt;2018&lt;/year&gt;&lt;/dates&gt;&lt;isbn&gt;1542-3565&lt;/isbn&gt;&lt;urls&gt;&lt;/urls&gt;&lt;/record&gt;&lt;/Cite&gt;&lt;/EndNote&gt;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tcBorders>
              <w:top w:val="single" w:sz="4" w:space="0" w:color="auto"/>
            </w:tcBorders>
            <w:vAlign w:val="center"/>
          </w:tcPr>
          <w:p w14:paraId="40EB8D5C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14:paraId="279AC8C8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AF1438" w14:paraId="606F893F" w14:textId="77777777" w:rsidTr="000A2EA6">
        <w:tc>
          <w:tcPr>
            <w:tcW w:w="3005" w:type="dxa"/>
            <w:vAlign w:val="center"/>
          </w:tcPr>
          <w:p w14:paraId="688268E8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-pantoprazole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&lt;EndNote&gt;&lt;Cite&gt;&lt;Author&gt;Cho&lt;/Author&gt;&lt;Year&gt;2012&lt;/Year&gt;&lt;RecNum&gt;33&lt;/RecNum&gt;&lt;DisplayText&gt;&lt;style face="superscript"&gt;25&lt;/style&gt;&lt;/DisplayText&gt;&lt;record&gt;&lt;rec-number&gt;33&lt;/rec-number&gt;&lt;foreign-keys&gt;&lt;key app="EN" db-id="vx90tp02pz5fpdez0z3xxppstwxra2tfedta" timestamp="1691373664"&gt;33&lt;/key&gt;&lt;/foreign-keys&gt;&lt;ref-type name="Journal Article"&gt;17&lt;/ref-type&gt;&lt;contributors&gt;&lt;authors&gt;&lt;author&gt;Cho, Yu Kyung&lt;/author&gt;&lt;author&gt;Choi, Myung-Gyu&lt;/author&gt;&lt;author&gt;Bak, Young-Tae&lt;/author&gt;&lt;author&gt;Rhee, Poong-Lyul&lt;/author&gt;&lt;author&gt;Kim, Sang Gyun&lt;/author&gt;&lt;author&gt;Jung, Hoon-Yong&lt;/author&gt;&lt;author&gt;Seol, Sang Young&lt;/author&gt;&lt;/authors&gt;&lt;/contributors&gt;&lt;titles&gt;&lt;title&gt;Efficacy of S-pantoprazole 20 mg compared with pantoprazole 40 mg in the treatment of reflux esophagitis: a randomized, double-blind comparative trial&lt;/title&gt;&lt;secondary-title&gt;Digestive diseases and sciences&lt;/secondary-title&gt;&lt;/titles&gt;&lt;periodical&gt;&lt;full-title&gt;Digestive diseases and sciences&lt;/full-title&gt;&lt;/periodical&gt;&lt;pages&gt;3189-3194&lt;/pages&gt;&lt;volume&gt;57&lt;/volume&gt;&lt;dates&gt;&lt;year&gt;2012&lt;/year&gt;&lt;/dates&gt;&lt;isbn&gt;0163-2116&lt;/isbn&gt;&lt;urls&gt;&lt;/urls&gt;&lt;/record&gt;&lt;/Cite&gt;&lt;/EndNote&gt;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6DFF6C43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vAlign w:val="center"/>
          </w:tcPr>
          <w:p w14:paraId="7AE93A53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AF1438" w14:paraId="1ECA0E25" w14:textId="77777777" w:rsidTr="000A2EA6">
        <w:tc>
          <w:tcPr>
            <w:tcW w:w="3005" w:type="dxa"/>
            <w:vAlign w:val="center"/>
          </w:tcPr>
          <w:p w14:paraId="31F122E9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ansoprazole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&lt;EndNote&gt;&lt;Cite&gt;&lt;Author&gt;Graham&lt;/Author&gt;&lt;Year&gt;2018&lt;/Year&gt;&lt;RecNum&gt;32&lt;/RecNum&gt;&lt;DisplayText&gt;&lt;style face="superscript"&gt;24&lt;/style&gt;&lt;/DisplayText&gt;&lt;record&gt;&lt;rec-number&gt;32&lt;/rec-number&gt;&lt;foreign-keys&gt;&lt;key app="EN" db-id="vx90tp02pz5fpdez0z3xxppstwxra2tfedta" timestamp="1691373590"&gt;32&lt;/key&gt;&lt;/foreign-keys&gt;&lt;ref-type name="Journal Article"&gt;17&lt;/ref-type&gt;&lt;contributors&gt;&lt;authors&gt;&lt;author&gt;Graham, David Y&lt;/author&gt;&lt;author&gt;Tansel, Aylin&lt;/author&gt;&lt;/authors&gt;&lt;/contributors&gt;&lt;titles&gt;&lt;title&gt;Interchangeable use of proton pump inhibitors based on relative potency&lt;/title&gt;&lt;secondary-title&gt;Clinical Gastroenterology and Hepatology&lt;/secondary-title&gt;&lt;/titles&gt;&lt;periodical&gt;&lt;full-title&gt;Clinical Gastroenterology and Hepatology&lt;/full-title&gt;&lt;/periodical&gt;&lt;pages&gt;800-808. e7&lt;/pages&gt;&lt;volume&gt;16&lt;/volume&gt;&lt;number&gt;6&lt;/number&gt;&lt;dates&gt;&lt;year&gt;2018&lt;/year&gt;&lt;/dates&gt;&lt;isbn&gt;1542-3565&lt;/isbn&gt;&lt;urls&gt;&lt;/urls&gt;&lt;/record&gt;&lt;/Cite&gt;&lt;/EndNote&gt;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0AD50323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5mg</w:t>
            </w:r>
          </w:p>
        </w:tc>
        <w:tc>
          <w:tcPr>
            <w:tcW w:w="3242" w:type="dxa"/>
            <w:vAlign w:val="center"/>
          </w:tcPr>
          <w:p w14:paraId="28E61BED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</w:tr>
      <w:tr w:rsidR="00AF1438" w14:paraId="0D3DCA0E" w14:textId="77777777" w:rsidTr="000A2EA6">
        <w:tc>
          <w:tcPr>
            <w:tcW w:w="3005" w:type="dxa"/>
            <w:vAlign w:val="center"/>
          </w:tcPr>
          <w:p w14:paraId="488D5A03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&lt;EndNote&gt;&lt;Cite&gt;&lt;Author&gt;Graham&lt;/Author&gt;&lt;Year&gt;2018&lt;/Year&gt;&lt;RecNum&gt;32&lt;/RecNum&gt;&lt;DisplayText&gt;&lt;style face="superscript"&gt;24&lt;/style&gt;&lt;/DisplayText&gt;&lt;record&gt;&lt;rec-number&gt;32&lt;/rec-number&gt;&lt;foreign-keys&gt;&lt;key app="EN" db-id="vx90tp02pz5fpdez0z3xxppstwxra2tfedta" timestamp="1691373590"&gt;32&lt;/key&gt;&lt;/foreign-keys&gt;&lt;ref-type name="Journal Article"&gt;17&lt;/ref-type&gt;&lt;contributors&gt;&lt;authors&gt;&lt;author&gt;Graham, David Y&lt;/author&gt;&lt;author&gt;Tansel, Aylin&lt;/author&gt;&lt;/authors&gt;&lt;/contributors&gt;&lt;titles&gt;&lt;title&gt;Interchangeable use of proton pump inhibitors based on relative potency&lt;/title&gt;&lt;secondary-title&gt;Clinical Gastroenterology and Hepatology&lt;/secondary-title&gt;&lt;/titles&gt;&lt;periodical&gt;&lt;full-title&gt;Clinical Gastroenterology and Hepatology&lt;/full-title&gt;&lt;/periodical&gt;&lt;pages&gt;800-808. e7&lt;/pages&gt;&lt;volume&gt;16&lt;/volume&gt;&lt;number&gt;6&lt;/number&gt;&lt;dates&gt;&lt;year&gt;2018&lt;/year&gt;&lt;/dates&gt;&lt;isbn&gt;1542-3565&lt;/isbn&gt;&lt;urls&gt;&lt;/urls&gt;&lt;/record&gt;&lt;/Cite&gt;&lt;/EndNote&gt;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71C3043F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vAlign w:val="center"/>
          </w:tcPr>
          <w:p w14:paraId="6186D8F3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1438" w14:paraId="7A076FD2" w14:textId="77777777" w:rsidTr="000A2EA6">
        <w:tc>
          <w:tcPr>
            <w:tcW w:w="3005" w:type="dxa"/>
            <w:vAlign w:val="center"/>
          </w:tcPr>
          <w:p w14:paraId="167D4485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&lt;EndNote&gt;&lt;Cite&gt;&lt;Author&gt;Wang&lt;/Author&gt;&lt;Year&gt;2011&lt;/Year&gt;&lt;RecNum&gt;34&lt;/RecNum&gt;&lt;DisplayText&gt;&lt;style face="superscript"&gt;26&lt;/style&gt;&lt;/DisplayText&gt;&lt;record&gt;&lt;rec-number&gt;34&lt;/rec-number&gt;&lt;foreign-keys&gt;&lt;key app="EN" db-id="vx90tp02pz5fpdez0z3xxppstwxra2tfedta" timestamp="1691373739"&gt;34&lt;/key&gt;&lt;/foreign-keys&gt;&lt;ref-type name="Journal Article"&gt;17&lt;/ref-type&gt;&lt;contributors&gt;&lt;authors&gt;&lt;author&gt;Wang, Ling&lt;/author&gt;&lt;author&gt;Zhou, Liya&lt;/author&gt;&lt;author&gt;Lin, Sanren&lt;/author&gt;&lt;author&gt;Hu, Haitang&lt;/author&gt;&lt;author&gt;Xia, Jielai&lt;/author&gt;&lt;/authors&gt;&lt;/contributors&gt;&lt;titles&gt;&lt;title&gt;A new PPI, ilaprazole compared with omeprazole in the treatment of duodenal ulcer: a randomized double-blind multicenter trial&lt;/title&gt;&lt;secondary-title&gt;Journal of clinical gastroenterology&lt;/secondary-title&gt;&lt;/titles&gt;&lt;periodical&gt;&lt;full-title&gt;Journal of clinical gastroenterology&lt;/full-title&gt;&lt;/periodical&gt;&lt;pages&gt;322-329&lt;/pages&gt;&lt;volume&gt;45&lt;/volume&gt;&lt;number&gt;4&lt;/number&gt;&lt;dates&gt;&lt;year&gt;2011&lt;/year&gt;&lt;/dates&gt;&lt;isbn&gt;0192-0790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5EBA5617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vAlign w:val="center"/>
          </w:tcPr>
          <w:p w14:paraId="2D859DE7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1438" w14:paraId="148459B1" w14:textId="77777777" w:rsidTr="000A2EA6">
        <w:tc>
          <w:tcPr>
            <w:tcW w:w="3005" w:type="dxa"/>
            <w:vAlign w:val="center"/>
          </w:tcPr>
          <w:p w14:paraId="0A59C161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someprazole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&lt;EndNote&gt;&lt;Cite&gt;&lt;Author&gt;Graham&lt;/Author&gt;&lt;Year&gt;2018&lt;/Year&gt;&lt;RecNum&gt;32&lt;/RecNum&gt;&lt;DisplayText&gt;&lt;style face="superscript"&gt;24&lt;/style&gt;&lt;/DisplayText&gt;&lt;record&gt;&lt;rec-number&gt;32&lt;/rec-number&gt;&lt;foreign-keys&gt;&lt;key app="EN" db-id="vx90tp02pz5fpdez0z3xxppstwxra2tfedta" timestamp="1691373590"&gt;32&lt;/key&gt;&lt;/foreign-keys&gt;&lt;ref-type name="Journal Article"&gt;17&lt;/ref-type&gt;&lt;contributors&gt;&lt;authors&gt;&lt;author&gt;Graham, David Y&lt;/author&gt;&lt;author&gt;Tansel, Aylin&lt;/author&gt;&lt;/authors&gt;&lt;/contributors&gt;&lt;titles&gt;&lt;title&gt;Interchangeable use of proton pump inhibitors based on relative potency&lt;/title&gt;&lt;secondary-title&gt;Clinical Gastroenterology and Hepatology&lt;/secondary-title&gt;&lt;/titles&gt;&lt;periodical&gt;&lt;full-title&gt;Clinical Gastroenterology and Hepatology&lt;/full-title&gt;&lt;/periodical&gt;&lt;pages&gt;800-808. e7&lt;/pages&gt;&lt;volume&gt;16&lt;/volume&gt;&lt;number&gt;6&lt;/number&gt;&lt;dates&gt;&lt;year&gt;2018&lt;/year&gt;&lt;/dates&gt;&lt;isbn&gt;1542-3565&lt;/isbn&gt;&lt;urls&gt;&lt;/urls&gt;&lt;/record&gt;&lt;/Cite&gt;&lt;/EndNote&gt;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305C63E8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vAlign w:val="center"/>
          </w:tcPr>
          <w:p w14:paraId="63718190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438" w14:paraId="40D59020" w14:textId="77777777" w:rsidTr="000A2EA6">
        <w:tc>
          <w:tcPr>
            <w:tcW w:w="3005" w:type="dxa"/>
            <w:vAlign w:val="center"/>
          </w:tcPr>
          <w:p w14:paraId="34718FC0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abeprazole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&lt;EndNote&gt;&lt;Cite&gt;&lt;Author&gt;Graham&lt;/Author&gt;&lt;Year&gt;2018&lt;/Year&gt;&lt;RecNum&gt;32&lt;/RecNum&gt;&lt;DisplayText&gt;&lt;style face="superscript"&gt;24&lt;/style&gt;&lt;/DisplayText&gt;&lt;record&gt;&lt;rec-number&gt;32&lt;/rec-number&gt;&lt;foreign-keys&gt;&lt;key app="EN" db-id="vx90tp02pz5fpdez0z3xxppstwxra2tfedta" timestamp="1691373590"&gt;32&lt;/key&gt;&lt;/foreign-keys&gt;&lt;ref-type name="Journal Article"&gt;17&lt;/ref-type&gt;&lt;contributors&gt;&lt;authors&gt;&lt;author&gt;Graham, David Y&lt;/author&gt;&lt;author&gt;Tansel, Aylin&lt;/author&gt;&lt;/authors&gt;&lt;/contributors&gt;&lt;titles&gt;&lt;title&gt;Interchangeable use of proton pump inhibitors based on relative potency&lt;/title&gt;&lt;secondary-title&gt;Clinical Gastroenterology and Hepatology&lt;/secondary-title&gt;&lt;/titles&gt;&lt;periodical&gt;&lt;full-title&gt;Clinical Gastroenterology and Hepatology&lt;/full-title&gt;&lt;/periodical&gt;&lt;pages&gt;800-808. e7&lt;/pages&gt;&lt;volume&gt;16&lt;/volume&gt;&lt;number&gt;6&lt;/number&gt;&lt;dates&gt;&lt;year&gt;2018&lt;/year&gt;&lt;/dates&gt;&lt;isbn&gt;1542-3565&lt;/isbn&gt;&lt;urls&gt;&lt;/urls&gt;&lt;/record&gt;&lt;/Cite&gt;&lt;/EndNote&gt;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vAlign w:val="center"/>
          </w:tcPr>
          <w:p w14:paraId="03A4984A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vAlign w:val="center"/>
          </w:tcPr>
          <w:p w14:paraId="5C72F2B2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1438" w14:paraId="449C14BB" w14:textId="77777777" w:rsidTr="000A2EA6">
        <w:tc>
          <w:tcPr>
            <w:tcW w:w="3005" w:type="dxa"/>
            <w:tcBorders>
              <w:bottom w:val="single" w:sz="12" w:space="0" w:color="auto"/>
            </w:tcBorders>
            <w:vAlign w:val="center"/>
          </w:tcPr>
          <w:p w14:paraId="5C06DFF5" w14:textId="77777777" w:rsidR="00AF1438" w:rsidRDefault="00AF1438" w:rsidP="000A2EA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exlansoprazole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instrText xml:space="preserve"> ADDIN EN.CITE &lt;EndNote&gt;&lt;Cite&gt;&lt;Author&gt;Graham&lt;/Author&gt;&lt;Year&gt;2018&lt;/Year&gt;&lt;RecNum&gt;32&lt;/RecNum&gt;&lt;DisplayText&gt;&lt;style face="superscript"&gt;24&lt;/style&gt;&lt;/DisplayText&gt;&lt;record&gt;&lt;rec-number&gt;32&lt;/rec-number&gt;&lt;foreign-keys&gt;&lt;key app="EN" db-id="vx90tp02pz5fpdez0z3xxppstwxra2tfedta" timestamp="1691373590"&gt;32&lt;/key&gt;&lt;/foreign-keys&gt;&lt;ref-type name="Journal Article"&gt;17&lt;/ref-type&gt;&lt;contributors&gt;&lt;authors&gt;&lt;author&gt;Graham, David Y&lt;/author&gt;&lt;author&gt;Tansel, Aylin&lt;/author&gt;&lt;/authors&gt;&lt;/contributors&gt;&lt;titles&gt;&lt;title&gt;Interchangeable use of proton pump inhibitors based on relative potency&lt;/title&gt;&lt;secondary-title&gt;Clinical Gastroenterology and Hepatology&lt;/secondary-title&gt;&lt;/titles&gt;&lt;periodical&gt;&lt;full-title&gt;Clinical Gastroenterology and Hepatology&lt;/full-title&gt;&lt;/periodical&gt;&lt;pages&gt;800-808. e7&lt;/pages&gt;&lt;volume&gt;16&lt;/volume&gt;&lt;number&gt;6&lt;/number&gt;&lt;dates&gt;&lt;year&gt;2018&lt;/year&gt;&lt;/dates&gt;&lt;isbn&gt;1542-3565&lt;/isbn&gt;&lt;urls&gt;&lt;/urls&gt;&lt;/record&gt;&lt;/Cite&gt;&lt;/EndNote&gt;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ldChar w:fldCharType="end"/>
            </w:r>
          </w:p>
        </w:tc>
        <w:tc>
          <w:tcPr>
            <w:tcW w:w="2769" w:type="dxa"/>
            <w:tcBorders>
              <w:bottom w:val="single" w:sz="12" w:space="0" w:color="auto"/>
            </w:tcBorders>
            <w:vAlign w:val="center"/>
          </w:tcPr>
          <w:p w14:paraId="0ECAAD06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0mg</w:t>
            </w:r>
          </w:p>
        </w:tc>
        <w:tc>
          <w:tcPr>
            <w:tcW w:w="3242" w:type="dxa"/>
            <w:tcBorders>
              <w:bottom w:val="single" w:sz="12" w:space="0" w:color="auto"/>
            </w:tcBorders>
            <w:vAlign w:val="center"/>
          </w:tcPr>
          <w:p w14:paraId="105C6BB1" w14:textId="77777777" w:rsidR="00AF1438" w:rsidRDefault="00AF1438" w:rsidP="000A2EA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2D422F3" w14:textId="77777777" w:rsidR="00AF1438" w:rsidRDefault="00AF1438" w:rsidP="00AF14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EECE6C" w14:textId="77777777" w:rsidR="00AF1438" w:rsidRDefault="00AF1438"/>
    <w:sectPr w:rsidR="00AF1438" w:rsidSect="00351394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38"/>
    <w:rsid w:val="00351394"/>
    <w:rsid w:val="00A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7C336"/>
  <w15:chartTrackingRefBased/>
  <w15:docId w15:val="{F9DE8716-9787-4136-9C2B-2A33C210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438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F1438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F1438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F1438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F1438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F1438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F1438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F1438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F1438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F1438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F14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F14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F14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F14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F14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F14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F14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F14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F14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F143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AF1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F1438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AF14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F1438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AF143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F1438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AF143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F1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AF143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F1438"/>
    <w:rPr>
      <w:b/>
      <w:bCs/>
      <w:smallCaps/>
      <w:color w:val="0F4761" w:themeColor="accent1" w:themeShade="BF"/>
      <w:spacing w:val="5"/>
    </w:rPr>
  </w:style>
  <w:style w:type="table" w:customStyle="1" w:styleId="10">
    <w:name w:val="표 구분선1"/>
    <w:basedOn w:val="a1"/>
    <w:uiPriority w:val="39"/>
    <w:rsid w:val="00AF1438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6573</Characters>
  <Application>Microsoft Office Word</Application>
  <DocSecurity>0</DocSecurity>
  <Lines>54</Lines>
  <Paragraphs>15</Paragraphs>
  <ScaleCrop>false</ScaleCrop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yeseul kim</dc:creator>
  <cp:keywords/>
  <dc:description/>
  <cp:lastModifiedBy>yeseul kim</cp:lastModifiedBy>
  <cp:revision>1</cp:revision>
  <dcterms:created xsi:type="dcterms:W3CDTF">2024-03-15T03:40:00Z</dcterms:created>
  <dcterms:modified xsi:type="dcterms:W3CDTF">2024-03-15T03:41:00Z</dcterms:modified>
</cp:coreProperties>
</file>