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861" w:rsidRDefault="00B012DC">
      <w:pPr>
        <w:spacing w:line="480" w:lineRule="auto"/>
        <w:rPr>
          <w:rFonts w:ascii="Arial" w:eastAsia="宋体" w:hAnsi="Arial" w:cs="Arial"/>
          <w:b/>
          <w:bCs/>
          <w:position w:val="-12"/>
          <w:sz w:val="30"/>
          <w:szCs w:val="30"/>
        </w:rPr>
      </w:pPr>
      <w:r>
        <w:rPr>
          <w:rFonts w:ascii="Arial" w:eastAsia="宋体" w:hAnsi="Arial" w:cs="Arial" w:hint="eastAsia"/>
          <w:b/>
          <w:bCs/>
          <w:position w:val="-12"/>
          <w:sz w:val="30"/>
          <w:szCs w:val="30"/>
        </w:rPr>
        <w:t>Supplementary materials</w:t>
      </w:r>
    </w:p>
    <w:p w:rsidR="007C4861" w:rsidRDefault="00B012DC">
      <w:pPr>
        <w:spacing w:line="480" w:lineRule="auto"/>
        <w:rPr>
          <w:rFonts w:ascii="Arial" w:hAnsi="Arial" w:cs="Arial"/>
          <w:b/>
          <w:color w:val="000000" w:themeColor="text1"/>
          <w:sz w:val="24"/>
        </w:rPr>
      </w:pPr>
      <w:r>
        <w:rPr>
          <w:rFonts w:ascii="Arial" w:hAnsi="Arial" w:cs="Arial"/>
          <w:b/>
          <w:color w:val="000000" w:themeColor="text1"/>
          <w:sz w:val="30"/>
          <w:szCs w:val="30"/>
        </w:rPr>
        <w:t>Materials and Methods</w:t>
      </w:r>
    </w:p>
    <w:p w:rsidR="007C4861" w:rsidRDefault="00B012DC">
      <w:pPr>
        <w:spacing w:line="480" w:lineRule="auto"/>
        <w:rPr>
          <w:rFonts w:ascii="Arial" w:hAnsi="Arial" w:cs="Arial"/>
          <w:b/>
          <w:color w:val="000000" w:themeColor="text1"/>
          <w:sz w:val="24"/>
        </w:rPr>
      </w:pPr>
      <w:r>
        <w:rPr>
          <w:rFonts w:ascii="Arial" w:hAnsi="Arial" w:cs="Arial"/>
          <w:b/>
          <w:color w:val="000000" w:themeColor="text1"/>
          <w:sz w:val="24"/>
        </w:rPr>
        <w:t>Subjects</w:t>
      </w:r>
    </w:p>
    <w:p w:rsidR="00E24CF8" w:rsidRDefault="00C33694" w:rsidP="009B0D9C">
      <w:pPr>
        <w:spacing w:line="480" w:lineRule="auto"/>
        <w:ind w:firstLineChars="200" w:firstLine="480"/>
        <w:rPr>
          <w:rFonts w:ascii="Arial" w:hAnsi="Arial" w:cs="Arial"/>
          <w:sz w:val="24"/>
        </w:rPr>
      </w:pPr>
      <w:r>
        <w:rPr>
          <w:rFonts w:ascii="Arial" w:hAnsi="Arial" w:cs="Arial"/>
          <w:sz w:val="24"/>
        </w:rPr>
        <w:t>A total of 81 right-handed men were enrolled in the study, including 46 individuals with LPE and 35 HCs</w:t>
      </w:r>
      <w:r w:rsidR="00E24CF8">
        <w:rPr>
          <w:rFonts w:ascii="Arial" w:hAnsi="Arial" w:cs="Arial"/>
          <w:sz w:val="24"/>
        </w:rPr>
        <w:t xml:space="preserve">, and they all </w:t>
      </w:r>
      <w:r w:rsidR="00B012DC">
        <w:rPr>
          <w:rFonts w:ascii="Arial" w:eastAsia="宋体" w:hAnsi="Arial" w:cs="Arial"/>
          <w:color w:val="000000" w:themeColor="text1"/>
          <w:sz w:val="24"/>
        </w:rPr>
        <w:t>underwent history taking and physical examination. Based on</w:t>
      </w:r>
      <w:r w:rsidR="003F66F9">
        <w:rPr>
          <w:rFonts w:ascii="Arial" w:eastAsia="宋体" w:hAnsi="Arial" w:cs="Arial"/>
          <w:color w:val="000000" w:themeColor="text1"/>
          <w:sz w:val="24"/>
        </w:rPr>
        <w:t xml:space="preserve"> the</w:t>
      </w:r>
      <w:r w:rsidR="00B012DC">
        <w:rPr>
          <w:rFonts w:ascii="Arial" w:eastAsia="宋体" w:hAnsi="Arial" w:cs="Arial"/>
          <w:color w:val="000000" w:themeColor="text1"/>
          <w:sz w:val="24"/>
        </w:rPr>
        <w:t xml:space="preserve"> ISSM Guidelines, the inclusion criteria of </w:t>
      </w:r>
      <w:r w:rsidR="00705631">
        <w:rPr>
          <w:rFonts w:ascii="Arial" w:eastAsia="宋体" w:hAnsi="Arial" w:cs="Arial"/>
          <w:color w:val="000000" w:themeColor="text1"/>
          <w:sz w:val="24"/>
        </w:rPr>
        <w:t>LPE patients</w:t>
      </w:r>
      <w:r w:rsidR="00B8430F">
        <w:rPr>
          <w:rFonts w:ascii="Arial" w:eastAsia="宋体" w:hAnsi="Arial" w:cs="Arial"/>
          <w:color w:val="000000" w:themeColor="text1"/>
          <w:sz w:val="24"/>
        </w:rPr>
        <w:t xml:space="preserve"> </w:t>
      </w:r>
      <w:r w:rsidR="00B012DC">
        <w:rPr>
          <w:rFonts w:ascii="Arial" w:eastAsia="宋体" w:hAnsi="Arial" w:cs="Arial"/>
          <w:color w:val="000000" w:themeColor="text1"/>
          <w:sz w:val="24"/>
        </w:rPr>
        <w:t>were as follows:</w:t>
      </w:r>
      <w:r w:rsidR="00B8430F" w:rsidRPr="00B8430F">
        <w:rPr>
          <w:rFonts w:ascii="Arial" w:hAnsi="Arial" w:cs="Arial"/>
          <w:sz w:val="24"/>
        </w:rPr>
        <w:t xml:space="preserve"> </w:t>
      </w:r>
      <w:r w:rsidR="009B0D9C" w:rsidRPr="009B0D9C">
        <w:rPr>
          <w:rFonts w:ascii="Arial" w:hAnsi="Arial" w:cs="Arial"/>
          <w:sz w:val="24"/>
        </w:rPr>
        <w:t>(i)</w:t>
      </w:r>
      <w:r w:rsidR="00705631" w:rsidRPr="00705631">
        <w:rPr>
          <w:rFonts w:ascii="Arial" w:hAnsi="Arial" w:cs="Arial"/>
          <w:sz w:val="24"/>
        </w:rPr>
        <w:t xml:space="preserve"> </w:t>
      </w:r>
      <w:r w:rsidR="00705631" w:rsidRPr="009B0D9C">
        <w:rPr>
          <w:rFonts w:ascii="Arial" w:hAnsi="Arial" w:cs="Arial"/>
          <w:sz w:val="24"/>
        </w:rPr>
        <w:t>premature ejaculation diagnostic (PEDT) score &gt; 11</w:t>
      </w:r>
      <w:r w:rsidR="00E24CF8">
        <w:rPr>
          <w:rFonts w:ascii="Arial" w:hAnsi="Arial" w:cs="Arial"/>
          <w:sz w:val="24"/>
        </w:rPr>
        <w:t>;</w:t>
      </w:r>
      <w:r w:rsidR="009B0D9C" w:rsidRPr="009B0D9C">
        <w:rPr>
          <w:rFonts w:ascii="Arial" w:hAnsi="Arial" w:cs="Arial"/>
          <w:sz w:val="24"/>
        </w:rPr>
        <w:t xml:space="preserve"> (ii) </w:t>
      </w:r>
      <w:r w:rsidR="00705631" w:rsidRPr="009B0D9C">
        <w:rPr>
          <w:rFonts w:ascii="Arial" w:hAnsi="Arial" w:cs="Arial"/>
          <w:sz w:val="24"/>
        </w:rPr>
        <w:t>an intravaginal ejaculatory latency time (IELT) &lt; 1 minute</w:t>
      </w:r>
      <w:r w:rsidR="00E24CF8">
        <w:rPr>
          <w:rFonts w:ascii="Arial" w:hAnsi="Arial" w:cs="Arial"/>
          <w:sz w:val="24"/>
        </w:rPr>
        <w:t>;</w:t>
      </w:r>
      <w:r w:rsidR="009B0D9C" w:rsidRPr="009B0D9C">
        <w:rPr>
          <w:rFonts w:ascii="Arial" w:hAnsi="Arial" w:cs="Arial"/>
          <w:sz w:val="24"/>
        </w:rPr>
        <w:t xml:space="preserve"> (iii) International Index of Erectile Function (IIEF-5) scores &gt; 21; and (iv) heterosexual males. The inclusion criteria of HCs were as</w:t>
      </w:r>
      <w:r w:rsidR="009B0D9C" w:rsidRPr="009B0D9C">
        <w:rPr>
          <w:rFonts w:ascii="Arial" w:hAnsi="Arial" w:cs="Arial" w:hint="eastAsia"/>
          <w:sz w:val="24"/>
        </w:rPr>
        <w:t xml:space="preserve"> follows: (i) </w:t>
      </w:r>
      <w:r w:rsidR="00E24CF8" w:rsidRPr="009B0D9C">
        <w:rPr>
          <w:rFonts w:ascii="Arial" w:hAnsi="Arial" w:cs="Arial" w:hint="eastAsia"/>
          <w:sz w:val="24"/>
        </w:rPr>
        <w:t>PEDT score &lt;5</w:t>
      </w:r>
      <w:r w:rsidR="009B0D9C" w:rsidRPr="009B0D9C">
        <w:rPr>
          <w:rFonts w:ascii="Arial" w:hAnsi="Arial" w:cs="Arial" w:hint="eastAsia"/>
          <w:sz w:val="24"/>
        </w:rPr>
        <w:t>; (ii)</w:t>
      </w:r>
      <w:r w:rsidR="00E24CF8" w:rsidRPr="00E24CF8">
        <w:rPr>
          <w:rFonts w:ascii="Arial" w:hAnsi="Arial" w:cs="Arial" w:hint="eastAsia"/>
          <w:sz w:val="24"/>
        </w:rPr>
        <w:t xml:space="preserve"> </w:t>
      </w:r>
      <w:r w:rsidR="00E24CF8" w:rsidRPr="009B0D9C">
        <w:rPr>
          <w:rFonts w:ascii="Arial" w:hAnsi="Arial" w:cs="Arial" w:hint="eastAsia"/>
          <w:sz w:val="24"/>
        </w:rPr>
        <w:t xml:space="preserve">IELT </w:t>
      </w:r>
      <w:r w:rsidR="00E24CF8" w:rsidRPr="009B0D9C">
        <w:rPr>
          <w:rFonts w:ascii="Arial" w:hAnsi="Arial" w:cs="Arial" w:hint="eastAsia"/>
          <w:sz w:val="24"/>
        </w:rPr>
        <w:t>≥</w:t>
      </w:r>
      <w:r w:rsidR="00E24CF8" w:rsidRPr="009B0D9C">
        <w:rPr>
          <w:rFonts w:ascii="Arial" w:hAnsi="Arial" w:cs="Arial" w:hint="eastAsia"/>
          <w:sz w:val="24"/>
        </w:rPr>
        <w:t>5.4 minutes</w:t>
      </w:r>
      <w:r w:rsidR="009B0D9C" w:rsidRPr="009B0D9C">
        <w:rPr>
          <w:rFonts w:ascii="Arial" w:hAnsi="Arial" w:cs="Arial" w:hint="eastAsia"/>
          <w:sz w:val="24"/>
        </w:rPr>
        <w:t>; (iii) IIEF-5 &gt;21; (iv) age-matched with patients; and (v) sexual orientation- and hand do</w:t>
      </w:r>
      <w:r w:rsidR="00E24CF8">
        <w:rPr>
          <w:rFonts w:ascii="Arial" w:hAnsi="Arial" w:cs="Arial" w:hint="eastAsia"/>
          <w:sz w:val="24"/>
        </w:rPr>
        <w:t xml:space="preserve">minant- matched with patients. </w:t>
      </w:r>
    </w:p>
    <w:p w:rsidR="007C4861" w:rsidRDefault="00B012DC" w:rsidP="00E24CF8">
      <w:pPr>
        <w:spacing w:line="480" w:lineRule="auto"/>
        <w:rPr>
          <w:rFonts w:ascii="Arial" w:hAnsi="Arial" w:cs="Arial"/>
          <w:b/>
          <w:color w:val="000000" w:themeColor="text1"/>
          <w:sz w:val="24"/>
        </w:rPr>
      </w:pPr>
      <w:r>
        <w:rPr>
          <w:rFonts w:ascii="Arial" w:hAnsi="Arial" w:cs="Arial"/>
          <w:b/>
          <w:color w:val="000000" w:themeColor="text1"/>
          <w:sz w:val="24"/>
        </w:rPr>
        <w:t>MRI data acquisition</w:t>
      </w:r>
    </w:p>
    <w:p w:rsidR="00D53E9F" w:rsidRDefault="00842FE1" w:rsidP="00843416">
      <w:pPr>
        <w:spacing w:line="480" w:lineRule="auto"/>
        <w:ind w:firstLineChars="200" w:firstLine="480"/>
        <w:rPr>
          <w:rFonts w:ascii="Arial" w:hAnsi="Arial" w:cs="Arial"/>
          <w:sz w:val="24"/>
        </w:rPr>
      </w:pPr>
      <w:r>
        <w:rPr>
          <w:rFonts w:ascii="Arial" w:hAnsi="Arial" w:cs="Arial"/>
          <w:sz w:val="24"/>
        </w:rPr>
        <w:t>The imaging data used in this study were collected using a 3.0 T MRI scanner (Excite, General Electric) and a standard birdcage head coil obtained from a local hospital.</w:t>
      </w:r>
      <w:r w:rsidR="00B012DC">
        <w:rPr>
          <w:rFonts w:ascii="Arial" w:eastAsia="宋体" w:hAnsi="Arial" w:cs="Arial"/>
          <w:color w:val="000000" w:themeColor="text1"/>
          <w:sz w:val="24"/>
        </w:rPr>
        <w:t xml:space="preserve"> The scan parameters of bra</w:t>
      </w:r>
      <w:r w:rsidR="00C8206E">
        <w:rPr>
          <w:rFonts w:ascii="Arial" w:eastAsia="宋体" w:hAnsi="Arial" w:cs="Arial"/>
          <w:color w:val="000000" w:themeColor="text1"/>
          <w:sz w:val="24"/>
        </w:rPr>
        <w:t>in fMRI images were as follows:</w:t>
      </w:r>
      <w:r w:rsidR="00C8206E">
        <w:rPr>
          <w:rFonts w:ascii="Arial" w:hAnsi="Arial" w:cs="Arial"/>
          <w:sz w:val="24"/>
        </w:rPr>
        <w:t xml:space="preserve"> echo time (TE) = 30 ms, repetition time (TR) = 2000 ms, slice thickness = 3.5 mm, field of view(FOV) = 240 × 240 mm</w:t>
      </w:r>
      <w:r w:rsidR="00C8206E">
        <w:rPr>
          <w:rFonts w:ascii="Arial" w:hAnsi="Arial" w:cs="Arial"/>
          <w:sz w:val="24"/>
          <w:vertAlign w:val="superscript"/>
        </w:rPr>
        <w:t>2</w:t>
      </w:r>
      <w:r w:rsidR="00C8206E">
        <w:rPr>
          <w:rFonts w:ascii="Arial" w:hAnsi="Arial" w:cs="Arial"/>
          <w:sz w:val="24"/>
        </w:rPr>
        <w:t>, flip angle = 90°, in-plane resolution = 3.75 × 3.75 mm</w:t>
      </w:r>
      <w:r w:rsidR="00C8206E">
        <w:rPr>
          <w:rFonts w:ascii="Arial" w:hAnsi="Arial" w:cs="Arial"/>
          <w:sz w:val="24"/>
          <w:vertAlign w:val="superscript"/>
        </w:rPr>
        <w:t>2</w:t>
      </w:r>
      <w:r w:rsidR="00C8206E">
        <w:rPr>
          <w:rFonts w:ascii="Arial" w:hAnsi="Arial" w:cs="Arial"/>
          <w:sz w:val="24"/>
        </w:rPr>
        <w:t>, data matrix = 64 × 64. The scanning parameters for T1 images were as follows: TE = 3.2 ms, TR = 8.2 ms, slice thickness = 1 mm, FOV = 256 × 256 mm</w:t>
      </w:r>
      <w:r w:rsidR="00C8206E">
        <w:rPr>
          <w:rFonts w:ascii="Arial" w:hAnsi="Arial" w:cs="Arial"/>
          <w:sz w:val="24"/>
          <w:vertAlign w:val="superscript"/>
        </w:rPr>
        <w:t>2</w:t>
      </w:r>
      <w:r w:rsidR="00C8206E">
        <w:rPr>
          <w:rFonts w:ascii="Arial" w:hAnsi="Arial" w:cs="Arial"/>
          <w:sz w:val="24"/>
        </w:rPr>
        <w:t xml:space="preserve">, flip angle = 12°, in-plane resolution </w:t>
      </w:r>
      <w:r w:rsidR="00C8206E">
        <w:rPr>
          <w:rFonts w:ascii="Arial" w:hAnsi="Arial" w:cs="Arial"/>
          <w:sz w:val="24"/>
        </w:rPr>
        <w:lastRenderedPageBreak/>
        <w:t>= 1 × 1 mm</w:t>
      </w:r>
      <w:r w:rsidR="00C8206E">
        <w:rPr>
          <w:rFonts w:ascii="Arial" w:hAnsi="Arial" w:cs="Arial"/>
          <w:sz w:val="24"/>
          <w:vertAlign w:val="superscript"/>
        </w:rPr>
        <w:t>2</w:t>
      </w:r>
      <w:r w:rsidR="00FF1E7F">
        <w:rPr>
          <w:rFonts w:ascii="Arial" w:hAnsi="Arial" w:cs="Arial"/>
          <w:sz w:val="24"/>
        </w:rPr>
        <w:t xml:space="preserve">. </w:t>
      </w:r>
      <w:r w:rsidR="00843416">
        <w:rPr>
          <w:rFonts w:ascii="Arial" w:hAnsi="Arial" w:cs="Arial"/>
          <w:sz w:val="24"/>
        </w:rPr>
        <w:t>During the resting state scanning, participants were instructed to keep their eyes open and avoid engaging in any specific thoughts.</w:t>
      </w:r>
    </w:p>
    <w:p w:rsidR="007C4861" w:rsidRDefault="00B012DC" w:rsidP="00D53E9F">
      <w:pPr>
        <w:spacing w:line="480" w:lineRule="auto"/>
        <w:rPr>
          <w:rFonts w:ascii="Arial" w:hAnsi="Arial" w:cs="Arial"/>
          <w:b/>
          <w:color w:val="000000" w:themeColor="text1"/>
          <w:sz w:val="24"/>
        </w:rPr>
      </w:pPr>
      <w:r>
        <w:rPr>
          <w:rFonts w:ascii="Arial" w:hAnsi="Arial" w:cs="Arial"/>
          <w:b/>
          <w:color w:val="000000" w:themeColor="text1"/>
          <w:sz w:val="24"/>
        </w:rPr>
        <w:t xml:space="preserve">MRI data preprocessing </w:t>
      </w:r>
    </w:p>
    <w:p w:rsidR="00CD61EB" w:rsidRDefault="00CD61EB" w:rsidP="00CD61EB">
      <w:pPr>
        <w:spacing w:line="480" w:lineRule="auto"/>
        <w:ind w:firstLineChars="200" w:firstLine="480"/>
        <w:rPr>
          <w:rFonts w:ascii="Arial" w:hAnsi="Arial" w:cs="Arial"/>
          <w:sz w:val="24"/>
        </w:rPr>
      </w:pPr>
      <w:r>
        <w:rPr>
          <w:rFonts w:ascii="Arial" w:hAnsi="Arial" w:cs="Arial"/>
          <w:sz w:val="24"/>
        </w:rPr>
        <w:t>The functional data underwent pre-processing using</w:t>
      </w:r>
      <w:r>
        <w:rPr>
          <w:rFonts w:ascii="Arial" w:hAnsi="Arial" w:cs="Arial"/>
          <w:sz w:val="24"/>
          <w:shd w:val="clear" w:color="auto" w:fill="FFFFFF"/>
        </w:rPr>
        <w:t xml:space="preserve"> Data Processing Assistant for Resting-State fMRI 6.2 (</w:t>
      </w:r>
      <w:r>
        <w:rPr>
          <w:rFonts w:ascii="Arial" w:hAnsi="Arial" w:cs="Arial"/>
          <w:sz w:val="24"/>
        </w:rPr>
        <w:t>DPARSF v6.2</w:t>
      </w:r>
      <w:r w:rsidRPr="00772016">
        <w:rPr>
          <w:rFonts w:ascii="Arial" w:hAnsi="Arial" w:cs="Arial"/>
          <w:sz w:val="24"/>
          <w:shd w:val="clear" w:color="auto" w:fill="FFFFFF"/>
        </w:rPr>
        <w:t xml:space="preserve"> http://www.rfmri.org/dpabi) </w:t>
      </w:r>
      <w:r>
        <w:rPr>
          <w:rFonts w:ascii="Arial" w:hAnsi="Arial" w:cs="Arial"/>
          <w:sz w:val="24"/>
        </w:rPr>
        <w:t>toolbox in accordance with standard protocols. For data preprocessing, the first ten volumes were discarded to ensure only steady-state data was used. Motion correction was performed to correct timing differences and head movement</w:t>
      </w:r>
      <w:r>
        <w:rPr>
          <w:rFonts w:ascii="Arial" w:hAnsi="Arial" w:cs="Arial" w:hint="eastAsia"/>
          <w:sz w:val="24"/>
        </w:rPr>
        <w:t>.</w:t>
      </w:r>
      <w:r>
        <w:rPr>
          <w:rFonts w:ascii="Arial" w:hAnsi="Arial" w:cs="Arial"/>
          <w:sz w:val="24"/>
        </w:rPr>
        <w:t xml:space="preserve">  Then the motion-corrected images underwent normalization to the Montreal Neurological Institute (MNI) space using the echo planar imaging (EPI) template and were resampled to voxels size of 3 mm × 3 mm × 3 mm. Furthermore, a comprehensive regression analysis was conducted on each subject's time series to eliminate extraneous factors unrelated to the research signals, including 24 head movement parameters, global signals, cerebrospinal fluid (CSF) signals, and white matter (WM) signals. To mitigate the impact of low-frequency drift and high-frequency noise, a bandpass filter with a frequency range of 0.01 Hz &lt; f &lt; 0.1 Hz was implemented to analyze dALFF and dReHo</w:t>
      </w:r>
      <w:r w:rsidR="00453788">
        <w:rPr>
          <w:rFonts w:ascii="Arial" w:hAnsi="Arial" w:cs="Arial"/>
          <w:sz w:val="24"/>
        </w:rPr>
        <w:t>.</w:t>
      </w:r>
    </w:p>
    <w:p w:rsidR="00C844D5" w:rsidRPr="00C844D5" w:rsidRDefault="00C844D5" w:rsidP="00C844D5">
      <w:pPr>
        <w:spacing w:line="480" w:lineRule="auto"/>
        <w:rPr>
          <w:rFonts w:ascii="Arial" w:hAnsi="Arial" w:cs="Arial"/>
          <w:b/>
          <w:sz w:val="24"/>
        </w:rPr>
      </w:pPr>
      <w:r w:rsidRPr="00C844D5">
        <w:rPr>
          <w:rFonts w:ascii="Arial" w:hAnsi="Arial" w:cs="Arial" w:hint="eastAsia"/>
          <w:b/>
          <w:sz w:val="24"/>
        </w:rPr>
        <w:t xml:space="preserve">Analysis </w:t>
      </w:r>
      <w:r w:rsidRPr="00C844D5">
        <w:rPr>
          <w:rFonts w:ascii="Arial" w:hAnsi="Arial" w:cs="Arial"/>
          <w:b/>
          <w:sz w:val="24"/>
        </w:rPr>
        <w:t>of dReHo and dALFF</w:t>
      </w:r>
    </w:p>
    <w:p w:rsidR="006A323B" w:rsidRPr="003B5C2B" w:rsidRDefault="00C844D5" w:rsidP="003B5C2B">
      <w:pPr>
        <w:spacing w:line="480" w:lineRule="auto"/>
        <w:ind w:firstLineChars="200" w:firstLine="480"/>
        <w:rPr>
          <w:rFonts w:ascii="Arial" w:hAnsi="Arial" w:cs="Arial" w:hint="eastAsia"/>
          <w:sz w:val="24"/>
        </w:rPr>
      </w:pPr>
      <w:r w:rsidRPr="00C844D5">
        <w:rPr>
          <w:rFonts w:ascii="Arial" w:hAnsi="Arial" w:cs="Arial"/>
          <w:sz w:val="24"/>
        </w:rPr>
        <w:t xml:space="preserve">The dynamic ALFF and ReHo </w:t>
      </w:r>
      <w:r w:rsidR="00453788">
        <w:rPr>
          <w:rFonts w:ascii="Arial" w:hAnsi="Arial" w:cs="Arial"/>
          <w:sz w:val="24"/>
        </w:rPr>
        <w:t>maps</w:t>
      </w:r>
      <w:r w:rsidRPr="00C844D5">
        <w:rPr>
          <w:rFonts w:ascii="Arial" w:hAnsi="Arial" w:cs="Arial"/>
          <w:sz w:val="24"/>
        </w:rPr>
        <w:t xml:space="preserve"> are computed. Specifically, for a given voxel, the time series within the window was first transformed to the frequency </w:t>
      </w:r>
      <w:bookmarkStart w:id="0" w:name="_GoBack"/>
      <w:bookmarkEnd w:id="0"/>
      <w:r w:rsidRPr="00C844D5">
        <w:rPr>
          <w:rFonts w:ascii="Arial" w:hAnsi="Arial" w:cs="Arial"/>
          <w:sz w:val="24"/>
        </w:rPr>
        <w:t xml:space="preserve">domain using the Fast Fourier Transform (FFT). The square root of </w:t>
      </w:r>
      <w:r w:rsidRPr="00C844D5">
        <w:rPr>
          <w:rFonts w:ascii="Arial" w:hAnsi="Arial" w:cs="Arial"/>
          <w:sz w:val="24"/>
        </w:rPr>
        <w:lastRenderedPageBreak/>
        <w:t>the power spectrum was calculated. The average value over a predefined frequency range (0.01-0.1 Hz) was taken. This average square root was considered to be the Alf for that particular voxel.</w:t>
      </w:r>
      <w:r w:rsidR="00453788">
        <w:rPr>
          <w:rFonts w:ascii="Arial" w:hAnsi="Arial" w:cs="Arial"/>
          <w:sz w:val="24"/>
        </w:rPr>
        <w:t xml:space="preserve"> </w:t>
      </w:r>
      <w:r w:rsidRPr="00C844D5">
        <w:rPr>
          <w:rFonts w:ascii="Arial" w:hAnsi="Arial" w:cs="Arial"/>
          <w:sz w:val="24"/>
        </w:rPr>
        <w:t>ReHo was obtained by calculating the Kendall coordination coefficient between a given voxel and its nearest 26 neighbouring voxels. Within each delineated window, the ALFF and ReHo maps were calculated separately for whole-brain voxels, and then the above steps were applied to all windows to obtai</w:t>
      </w:r>
      <w:r w:rsidR="003B5C2B">
        <w:rPr>
          <w:rFonts w:ascii="Arial" w:hAnsi="Arial" w:cs="Arial"/>
          <w:sz w:val="24"/>
        </w:rPr>
        <w:t>n dynamic dALFF and dReHo maps.</w:t>
      </w:r>
    </w:p>
    <w:sectPr w:rsidR="006A323B" w:rsidRPr="003B5C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12D5" w:rsidRDefault="006F12D5" w:rsidP="004C22AF">
      <w:r>
        <w:separator/>
      </w:r>
    </w:p>
  </w:endnote>
  <w:endnote w:type="continuationSeparator" w:id="0">
    <w:p w:rsidR="006F12D5" w:rsidRDefault="006F12D5" w:rsidP="004C22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12D5" w:rsidRDefault="006F12D5" w:rsidP="004C22AF">
      <w:r>
        <w:separator/>
      </w:r>
    </w:p>
  </w:footnote>
  <w:footnote w:type="continuationSeparator" w:id="0">
    <w:p w:rsidR="006F12D5" w:rsidRDefault="006F12D5" w:rsidP="004C22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xZDkyMTQyZjZmZDE0ZDljYWM2NmJiZGYzNzZkN2QifQ=="/>
  </w:docVars>
  <w:rsids>
    <w:rsidRoot w:val="6C4E63BE"/>
    <w:rsid w:val="00007A4D"/>
    <w:rsid w:val="00076037"/>
    <w:rsid w:val="0014558A"/>
    <w:rsid w:val="00153027"/>
    <w:rsid w:val="00241B4C"/>
    <w:rsid w:val="002813AB"/>
    <w:rsid w:val="00353E49"/>
    <w:rsid w:val="003733D2"/>
    <w:rsid w:val="003B0F40"/>
    <w:rsid w:val="003B5C2B"/>
    <w:rsid w:val="003D5F9E"/>
    <w:rsid w:val="003F66F9"/>
    <w:rsid w:val="00453788"/>
    <w:rsid w:val="004559C8"/>
    <w:rsid w:val="004619CA"/>
    <w:rsid w:val="004711E1"/>
    <w:rsid w:val="004B689C"/>
    <w:rsid w:val="004C22AF"/>
    <w:rsid w:val="004C4FA8"/>
    <w:rsid w:val="004E4C7E"/>
    <w:rsid w:val="00536C7B"/>
    <w:rsid w:val="005636F3"/>
    <w:rsid w:val="005645D0"/>
    <w:rsid w:val="005B5150"/>
    <w:rsid w:val="005E4759"/>
    <w:rsid w:val="00663A76"/>
    <w:rsid w:val="00672A76"/>
    <w:rsid w:val="006776C4"/>
    <w:rsid w:val="006A323B"/>
    <w:rsid w:val="006C737D"/>
    <w:rsid w:val="006F12D5"/>
    <w:rsid w:val="00705631"/>
    <w:rsid w:val="00733B3F"/>
    <w:rsid w:val="00741293"/>
    <w:rsid w:val="00742A61"/>
    <w:rsid w:val="007759CE"/>
    <w:rsid w:val="007C3D3A"/>
    <w:rsid w:val="007C4861"/>
    <w:rsid w:val="00842FE1"/>
    <w:rsid w:val="00843416"/>
    <w:rsid w:val="0087019D"/>
    <w:rsid w:val="00885BD3"/>
    <w:rsid w:val="00892D17"/>
    <w:rsid w:val="008B1F9D"/>
    <w:rsid w:val="009B0D9C"/>
    <w:rsid w:val="00A0096E"/>
    <w:rsid w:val="00A15DD4"/>
    <w:rsid w:val="00A57000"/>
    <w:rsid w:val="00B012DC"/>
    <w:rsid w:val="00B720D0"/>
    <w:rsid w:val="00B8430F"/>
    <w:rsid w:val="00B97191"/>
    <w:rsid w:val="00C33694"/>
    <w:rsid w:val="00C8206E"/>
    <w:rsid w:val="00C844D5"/>
    <w:rsid w:val="00CD61EB"/>
    <w:rsid w:val="00D200AB"/>
    <w:rsid w:val="00D53E9F"/>
    <w:rsid w:val="00D9763A"/>
    <w:rsid w:val="00DC4FEE"/>
    <w:rsid w:val="00E24CF8"/>
    <w:rsid w:val="00E25744"/>
    <w:rsid w:val="00E967A7"/>
    <w:rsid w:val="00EF41E8"/>
    <w:rsid w:val="00EF593E"/>
    <w:rsid w:val="00EF596E"/>
    <w:rsid w:val="00F12832"/>
    <w:rsid w:val="00F92F5E"/>
    <w:rsid w:val="00FC481E"/>
    <w:rsid w:val="00FF1E7F"/>
    <w:rsid w:val="04675A50"/>
    <w:rsid w:val="0EC74FCE"/>
    <w:rsid w:val="1C4306F9"/>
    <w:rsid w:val="2C672E2F"/>
    <w:rsid w:val="3DC106FF"/>
    <w:rsid w:val="4FD32219"/>
    <w:rsid w:val="6C4E63BE"/>
    <w:rsid w:val="6F506DEB"/>
    <w:rsid w:val="7D140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C792E0"/>
  <w15:docId w15:val="{906F7247-187A-4B2F-9913-B8A164DAD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C22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C22AF"/>
    <w:rPr>
      <w:kern w:val="2"/>
      <w:sz w:val="18"/>
      <w:szCs w:val="18"/>
    </w:rPr>
  </w:style>
  <w:style w:type="paragraph" w:styleId="a5">
    <w:name w:val="footer"/>
    <w:basedOn w:val="a"/>
    <w:link w:val="a6"/>
    <w:rsid w:val="004C22AF"/>
    <w:pPr>
      <w:tabs>
        <w:tab w:val="center" w:pos="4153"/>
        <w:tab w:val="right" w:pos="8306"/>
      </w:tabs>
      <w:snapToGrid w:val="0"/>
      <w:jc w:val="left"/>
    </w:pPr>
    <w:rPr>
      <w:sz w:val="18"/>
      <w:szCs w:val="18"/>
    </w:rPr>
  </w:style>
  <w:style w:type="character" w:customStyle="1" w:styleId="a6">
    <w:name w:val="页脚 字符"/>
    <w:basedOn w:val="a0"/>
    <w:link w:val="a5"/>
    <w:rsid w:val="004C22AF"/>
    <w:rPr>
      <w:kern w:val="2"/>
      <w:sz w:val="18"/>
      <w:szCs w:val="18"/>
    </w:rPr>
  </w:style>
  <w:style w:type="table" w:styleId="a7">
    <w:name w:val="Table Grid"/>
    <w:basedOn w:val="a1"/>
    <w:rsid w:val="006A32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Plain Table 3"/>
    <w:basedOn w:val="a1"/>
    <w:uiPriority w:val="43"/>
    <w:rsid w:val="006A323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
    <w:name w:val="三线表1"/>
    <w:basedOn w:val="a1"/>
    <w:uiPriority w:val="99"/>
    <w:rsid w:val="00FC481E"/>
    <w:rPr>
      <w:rFonts w:ascii="Arial" w:eastAsia="宋体" w:hAnsi="Arial"/>
      <w:kern w:val="2"/>
      <w:sz w:val="21"/>
      <w:szCs w:val="22"/>
    </w:rPr>
    <w:tblPr>
      <w:tblInd w:w="0" w:type="nil"/>
      <w:tblBorders>
        <w:top w:val="single" w:sz="12" w:space="0" w:color="auto"/>
        <w:bottom w:val="single" w:sz="12" w:space="0" w:color="auto"/>
      </w:tblBorders>
    </w:tblPr>
    <w:tblStylePr w:type="firstRow">
      <w:pPr>
        <w:wordWrap/>
        <w:spacing w:line="360" w:lineRule="exact"/>
        <w:jc w:val="center"/>
      </w:pPr>
      <w:rPr>
        <w:rFonts w:ascii="Arial" w:eastAsia="宋体" w:hAnsi="Arial" w:cs="Arial" w:hint="default"/>
        <w:b w:val="0"/>
        <w:i w:val="0"/>
        <w:sz w:val="21"/>
        <w:szCs w:val="21"/>
      </w:rPr>
      <w:tblPr/>
      <w:tcPr>
        <w:tcBorders>
          <w:top w:val="single" w:sz="12" w:space="0" w:color="auto"/>
          <w:left w:val="nil"/>
          <w:bottom w:val="single" w:sz="6"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702C8-0404-4F91-9F3A-6EF31B56D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3</Pages>
  <Words>498</Words>
  <Characters>2841</Characters>
  <Application>Microsoft Office Word</Application>
  <DocSecurity>0</DocSecurity>
  <Lines>23</Lines>
  <Paragraphs>6</Paragraphs>
  <ScaleCrop>false</ScaleCrop>
  <Company>china</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Chengxiang Liu</dc:creator>
  <cp:lastModifiedBy>Nie Dingxin</cp:lastModifiedBy>
  <cp:revision>61</cp:revision>
  <dcterms:created xsi:type="dcterms:W3CDTF">2023-10-28T04:11:00Z</dcterms:created>
  <dcterms:modified xsi:type="dcterms:W3CDTF">2024-03-04T10:02:00Z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3EDBBE77AAA04D3EB1E6017D88F02133_11</vt:lpwstr>
  </property>
</Properties>
</file>