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D4997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  <w:bookmarkStart w:id="0" w:name="_Toc80658383"/>
      <w:bookmarkStart w:id="1" w:name="_GoBack"/>
      <w:bookmarkEnd w:id="1"/>
    </w:p>
    <w:p w14:paraId="095B967A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6F219B1B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2D655903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3871C4F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72B1E19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03EC539" w14:textId="39BBA86D" w:rsidR="00176799" w:rsidRDefault="00176799" w:rsidP="007655DA">
      <w:pPr>
        <w:jc w:val="center"/>
        <w:rPr>
          <w:rFonts w:ascii="Cambria" w:hAnsi="Cambria"/>
          <w:b/>
          <w:bCs/>
          <w:sz w:val="48"/>
          <w:szCs w:val="48"/>
          <w:lang w:val="en-GB"/>
        </w:rPr>
      </w:pPr>
      <w:r w:rsidRPr="004E3FBB">
        <w:rPr>
          <w:rFonts w:ascii="Cambria" w:hAnsi="Cambria"/>
          <w:b/>
          <w:bCs/>
          <w:sz w:val="48"/>
          <w:szCs w:val="48"/>
          <w:lang w:val="en-GB"/>
        </w:rPr>
        <w:t>Supplementary Information</w:t>
      </w:r>
      <w:bookmarkEnd w:id="0"/>
    </w:p>
    <w:p w14:paraId="6F392B12" w14:textId="7F364AB2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60DC83ED" w14:textId="06BDFF48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1F71B03" w14:textId="3FD42239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831C045" w14:textId="37A9EF8F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0D580849" w14:textId="05428901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648E8C7B" w14:textId="103A8C20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311E5FD3" w14:textId="754EDDF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6DA65566" w14:textId="77777777" w:rsidR="007655DA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4119A778" w14:textId="77777777" w:rsidR="007655DA" w:rsidRPr="004E3FBB" w:rsidRDefault="007655DA" w:rsidP="00692041">
      <w:pPr>
        <w:rPr>
          <w:rFonts w:ascii="Cambria" w:hAnsi="Cambria"/>
          <w:b/>
          <w:bCs/>
          <w:sz w:val="48"/>
          <w:szCs w:val="48"/>
          <w:lang w:val="en-GB"/>
        </w:rPr>
      </w:pPr>
    </w:p>
    <w:p w14:paraId="1277EE6F" w14:textId="1E02C1FD" w:rsidR="00176799" w:rsidRDefault="00176799" w:rsidP="00692041">
      <w:pPr>
        <w:rPr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4993201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6427C6" w14:textId="484C7F47" w:rsidR="007655DA" w:rsidRDefault="007655DA" w:rsidP="00692041">
          <w:pPr>
            <w:pStyle w:val="TOCHeading"/>
            <w:rPr>
              <w:rFonts w:ascii="Cambria" w:hAnsi="Cambria"/>
              <w:b/>
              <w:bCs/>
              <w:color w:val="000000" w:themeColor="text1"/>
              <w:sz w:val="28"/>
              <w:szCs w:val="28"/>
            </w:rPr>
          </w:pPr>
        </w:p>
        <w:p w14:paraId="7F9B3DFF" w14:textId="0A56A54F" w:rsidR="00176799" w:rsidRPr="002B11F9" w:rsidRDefault="00176799" w:rsidP="00692041">
          <w:pPr>
            <w:pStyle w:val="TOCHeading"/>
            <w:rPr>
              <w:rFonts w:ascii="Cambria" w:hAnsi="Cambria"/>
              <w:b/>
              <w:bCs/>
              <w:color w:val="000000" w:themeColor="text1"/>
              <w:sz w:val="28"/>
              <w:szCs w:val="28"/>
            </w:rPr>
          </w:pPr>
          <w:r w:rsidRPr="002B11F9">
            <w:rPr>
              <w:rFonts w:ascii="Cambria" w:hAnsi="Cambria"/>
              <w:b/>
              <w:bCs/>
              <w:color w:val="000000" w:themeColor="text1"/>
              <w:sz w:val="28"/>
              <w:szCs w:val="28"/>
            </w:rPr>
            <w:t>Table of Contents</w:t>
          </w:r>
        </w:p>
        <w:p w14:paraId="67571724" w14:textId="77777777" w:rsidR="00466DF9" w:rsidRPr="00466DF9" w:rsidRDefault="00466DF9" w:rsidP="00692041"/>
        <w:p w14:paraId="0212D1DB" w14:textId="1ED03B6D" w:rsidR="00E36998" w:rsidRPr="002B11F9" w:rsidRDefault="00176799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r w:rsidRPr="00466DF9">
            <w:rPr>
              <w:rFonts w:ascii="Cambria" w:hAnsi="Cambria"/>
              <w:sz w:val="24"/>
              <w:szCs w:val="24"/>
            </w:rPr>
            <w:fldChar w:fldCharType="begin"/>
          </w:r>
          <w:r w:rsidRPr="00466DF9">
            <w:rPr>
              <w:rFonts w:ascii="Cambria" w:hAnsi="Cambria"/>
              <w:sz w:val="24"/>
              <w:szCs w:val="24"/>
            </w:rPr>
            <w:instrText xml:space="preserve"> TOC \o "1-3" \h \z \u </w:instrText>
          </w:r>
          <w:r w:rsidRPr="00466DF9">
            <w:rPr>
              <w:rFonts w:ascii="Cambria" w:hAnsi="Cambria"/>
              <w:sz w:val="24"/>
              <w:szCs w:val="24"/>
            </w:rPr>
            <w:fldChar w:fldCharType="separate"/>
          </w:r>
          <w:hyperlink w:anchor="_Toc92451744" w:history="1">
            <w:r w:rsidR="00E36998" w:rsidRPr="002B11F9">
              <w:rPr>
                <w:rStyle w:val="Hyperlink"/>
                <w:rFonts w:ascii="Cambria" w:hAnsi="Cambria"/>
                <w:noProof/>
                <w:lang w:val="en-GB"/>
              </w:rPr>
              <w:t>1.</w:t>
            </w:r>
            <w:r w:rsidR="00E36998" w:rsidRPr="002B11F9">
              <w:rPr>
                <w:rFonts w:eastAsiaTheme="minorEastAsia"/>
                <w:noProof/>
              </w:rPr>
              <w:tab/>
            </w:r>
            <w:r w:rsidR="00E36998" w:rsidRPr="002B11F9">
              <w:rPr>
                <w:rStyle w:val="Hyperlink"/>
                <w:rFonts w:ascii="Cambria" w:hAnsi="Cambria"/>
                <w:noProof/>
                <w:lang w:val="en-GB"/>
              </w:rPr>
              <w:t>Construction of Remoteness Index for Kenya</w:t>
            </w:r>
            <w:r w:rsidR="00E36998" w:rsidRPr="002B11F9">
              <w:rPr>
                <w:noProof/>
                <w:webHidden/>
              </w:rPr>
              <w:tab/>
            </w:r>
            <w:r w:rsidR="00E36998" w:rsidRPr="002B11F9">
              <w:rPr>
                <w:noProof/>
                <w:webHidden/>
              </w:rPr>
              <w:fldChar w:fldCharType="begin"/>
            </w:r>
            <w:r w:rsidR="00E36998" w:rsidRPr="002B11F9">
              <w:rPr>
                <w:noProof/>
                <w:webHidden/>
              </w:rPr>
              <w:instrText xml:space="preserve"> PAGEREF _Toc92451744 \h </w:instrText>
            </w:r>
            <w:r w:rsidR="00E36998" w:rsidRPr="002B11F9">
              <w:rPr>
                <w:noProof/>
                <w:webHidden/>
              </w:rPr>
            </w:r>
            <w:r w:rsidR="00E36998" w:rsidRPr="002B11F9">
              <w:rPr>
                <w:noProof/>
                <w:webHidden/>
              </w:rPr>
              <w:fldChar w:fldCharType="separate"/>
            </w:r>
            <w:r w:rsidR="00E36998" w:rsidRPr="002B11F9">
              <w:rPr>
                <w:noProof/>
                <w:webHidden/>
              </w:rPr>
              <w:t>3</w:t>
            </w:r>
            <w:r w:rsidR="00E36998" w:rsidRPr="002B11F9">
              <w:rPr>
                <w:noProof/>
                <w:webHidden/>
              </w:rPr>
              <w:fldChar w:fldCharType="end"/>
            </w:r>
          </w:hyperlink>
        </w:p>
        <w:p w14:paraId="270977E1" w14:textId="5AF9CF54" w:rsidR="00E36998" w:rsidRPr="002B11F9" w:rsidRDefault="000A237B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92451745" w:history="1">
            <w:r w:rsidR="00E36998" w:rsidRPr="002B11F9">
              <w:rPr>
                <w:rStyle w:val="Hyperlink"/>
                <w:rFonts w:ascii="Cambria" w:hAnsi="Cambria"/>
                <w:noProof/>
              </w:rPr>
              <w:t>2.</w:t>
            </w:r>
            <w:r w:rsidR="00E36998" w:rsidRPr="002B11F9">
              <w:rPr>
                <w:rFonts w:eastAsiaTheme="minorEastAsia"/>
                <w:noProof/>
              </w:rPr>
              <w:tab/>
            </w:r>
            <w:r w:rsidR="00E36998" w:rsidRPr="002B11F9">
              <w:rPr>
                <w:rStyle w:val="Hyperlink"/>
                <w:rFonts w:ascii="Cambria" w:hAnsi="Cambria"/>
                <w:noProof/>
              </w:rPr>
              <w:t>Additional information on Model Fitting results and validation</w:t>
            </w:r>
            <w:r w:rsidR="00E36998" w:rsidRPr="002B11F9">
              <w:rPr>
                <w:noProof/>
                <w:webHidden/>
              </w:rPr>
              <w:tab/>
            </w:r>
            <w:r w:rsidR="00E36998" w:rsidRPr="002B11F9">
              <w:rPr>
                <w:noProof/>
                <w:webHidden/>
              </w:rPr>
              <w:fldChar w:fldCharType="begin"/>
            </w:r>
            <w:r w:rsidR="00E36998" w:rsidRPr="002B11F9">
              <w:rPr>
                <w:noProof/>
                <w:webHidden/>
              </w:rPr>
              <w:instrText xml:space="preserve"> PAGEREF _Toc92451745 \h </w:instrText>
            </w:r>
            <w:r w:rsidR="00E36998" w:rsidRPr="002B11F9">
              <w:rPr>
                <w:noProof/>
                <w:webHidden/>
              </w:rPr>
            </w:r>
            <w:r w:rsidR="00E36998" w:rsidRPr="002B11F9">
              <w:rPr>
                <w:noProof/>
                <w:webHidden/>
              </w:rPr>
              <w:fldChar w:fldCharType="separate"/>
            </w:r>
            <w:r w:rsidR="00E36998" w:rsidRPr="002B11F9">
              <w:rPr>
                <w:noProof/>
                <w:webHidden/>
              </w:rPr>
              <w:t>4</w:t>
            </w:r>
            <w:r w:rsidR="00E36998" w:rsidRPr="002B11F9">
              <w:rPr>
                <w:noProof/>
                <w:webHidden/>
              </w:rPr>
              <w:fldChar w:fldCharType="end"/>
            </w:r>
          </w:hyperlink>
        </w:p>
        <w:p w14:paraId="3148CADC" w14:textId="2F9B2D51" w:rsidR="00E36998" w:rsidRPr="002B11F9" w:rsidRDefault="000A237B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</w:rPr>
          </w:pPr>
          <w:hyperlink w:anchor="_Toc92451746" w:history="1">
            <w:r w:rsidR="00E36998" w:rsidRPr="002B11F9">
              <w:rPr>
                <w:rStyle w:val="Hyperlink"/>
                <w:rFonts w:ascii="Cambria" w:hAnsi="Cambria"/>
                <w:noProof/>
                <w:lang w:val="en-GB"/>
              </w:rPr>
              <w:t>3.</w:t>
            </w:r>
            <w:r w:rsidR="00E36998" w:rsidRPr="002B11F9">
              <w:rPr>
                <w:rFonts w:eastAsiaTheme="minorEastAsia"/>
                <w:noProof/>
              </w:rPr>
              <w:tab/>
            </w:r>
            <w:r w:rsidR="00E36998" w:rsidRPr="002B11F9">
              <w:rPr>
                <w:rStyle w:val="Hyperlink"/>
                <w:rFonts w:ascii="Cambria" w:hAnsi="Cambria"/>
                <w:noProof/>
                <w:lang w:val="en-GB"/>
              </w:rPr>
              <w:t>References</w:t>
            </w:r>
            <w:r w:rsidR="00E36998" w:rsidRPr="002B11F9">
              <w:rPr>
                <w:noProof/>
                <w:webHidden/>
              </w:rPr>
              <w:tab/>
            </w:r>
            <w:r w:rsidR="00E36998" w:rsidRPr="002B11F9">
              <w:rPr>
                <w:noProof/>
                <w:webHidden/>
              </w:rPr>
              <w:fldChar w:fldCharType="begin"/>
            </w:r>
            <w:r w:rsidR="00E36998" w:rsidRPr="002B11F9">
              <w:rPr>
                <w:noProof/>
                <w:webHidden/>
              </w:rPr>
              <w:instrText xml:space="preserve"> PAGEREF _Toc92451746 \h </w:instrText>
            </w:r>
            <w:r w:rsidR="00E36998" w:rsidRPr="002B11F9">
              <w:rPr>
                <w:noProof/>
                <w:webHidden/>
              </w:rPr>
            </w:r>
            <w:r w:rsidR="00E36998" w:rsidRPr="002B11F9">
              <w:rPr>
                <w:noProof/>
                <w:webHidden/>
              </w:rPr>
              <w:fldChar w:fldCharType="separate"/>
            </w:r>
            <w:r w:rsidR="00E36998" w:rsidRPr="002B11F9">
              <w:rPr>
                <w:noProof/>
                <w:webHidden/>
              </w:rPr>
              <w:t>6</w:t>
            </w:r>
            <w:r w:rsidR="00E36998" w:rsidRPr="002B11F9">
              <w:rPr>
                <w:noProof/>
                <w:webHidden/>
              </w:rPr>
              <w:fldChar w:fldCharType="end"/>
            </w:r>
          </w:hyperlink>
        </w:p>
        <w:p w14:paraId="01A650A2" w14:textId="509B156A" w:rsidR="00176799" w:rsidRDefault="00176799" w:rsidP="00692041">
          <w:r w:rsidRPr="00466DF9">
            <w:rPr>
              <w:rFonts w:ascii="Cambria" w:hAnsi="Cambria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AD8BA15" w14:textId="77777777" w:rsidR="00176799" w:rsidRPr="00176799" w:rsidRDefault="00176799" w:rsidP="00176799">
      <w:pPr>
        <w:rPr>
          <w:lang w:val="en-GB"/>
        </w:rPr>
      </w:pPr>
    </w:p>
    <w:p w14:paraId="64AC342E" w14:textId="77777777" w:rsidR="00176799" w:rsidRDefault="00176799">
      <w:pPr>
        <w:rPr>
          <w:rFonts w:ascii="Cambria" w:eastAsiaTheme="majorEastAsia" w:hAnsi="Cambria" w:cstheme="majorBid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mbria" w:hAnsi="Cambria"/>
          <w:b/>
          <w:bCs/>
          <w:color w:val="000000" w:themeColor="text1"/>
          <w:sz w:val="24"/>
          <w:szCs w:val="24"/>
          <w:lang w:val="en-GB"/>
        </w:rPr>
        <w:br w:type="page"/>
      </w:r>
    </w:p>
    <w:p w14:paraId="77203661" w14:textId="3785E0F1" w:rsidR="008E5757" w:rsidRDefault="008E5757" w:rsidP="00E8502E">
      <w:pPr>
        <w:pStyle w:val="Heading1"/>
        <w:numPr>
          <w:ilvl w:val="0"/>
          <w:numId w:val="8"/>
        </w:numPr>
        <w:rPr>
          <w:rFonts w:ascii="Cambria" w:hAnsi="Cambria"/>
          <w:b/>
          <w:bCs/>
          <w:color w:val="000000" w:themeColor="text1"/>
          <w:sz w:val="24"/>
          <w:szCs w:val="24"/>
          <w:lang w:val="en-GB"/>
        </w:rPr>
      </w:pPr>
      <w:bookmarkStart w:id="2" w:name="_Toc92451744"/>
      <w:r w:rsidRPr="00421072">
        <w:rPr>
          <w:rFonts w:ascii="Cambria" w:hAnsi="Cambria"/>
          <w:b/>
          <w:bCs/>
          <w:color w:val="000000" w:themeColor="text1"/>
          <w:sz w:val="24"/>
          <w:szCs w:val="24"/>
          <w:lang w:val="en-GB"/>
        </w:rPr>
        <w:lastRenderedPageBreak/>
        <w:t>Construction of Remoteness Index for Kenya</w:t>
      </w:r>
      <w:bookmarkEnd w:id="2"/>
    </w:p>
    <w:p w14:paraId="7EA8C4E3" w14:textId="77777777" w:rsidR="00E8502E" w:rsidRPr="00E8502E" w:rsidRDefault="00E8502E" w:rsidP="00E8502E">
      <w:pPr>
        <w:rPr>
          <w:lang w:val="en-GB"/>
        </w:rPr>
      </w:pPr>
    </w:p>
    <w:p w14:paraId="29D316E2" w14:textId="7E866633" w:rsidR="008E5757" w:rsidRPr="0093678B" w:rsidRDefault="008E5757" w:rsidP="002F5E64">
      <w:pPr>
        <w:spacing w:line="360" w:lineRule="auto"/>
        <w:rPr>
          <w:rFonts w:ascii="Cambria" w:hAnsi="Cambria"/>
        </w:rPr>
      </w:pPr>
      <w:r w:rsidRPr="0093678B">
        <w:rPr>
          <w:rFonts w:ascii="Cambria" w:hAnsi="Cambria" w:cstheme="minorHAnsi"/>
          <w:lang w:val="en-GB"/>
        </w:rPr>
        <w:t>Remoteness for this study was defined using weighted spatial accessibility to basic health services provided in urban centres as explained in previous studies</w:t>
      </w:r>
      <w:r w:rsidR="00CC1190">
        <w:rPr>
          <w:rFonts w:ascii="Cambria" w:hAnsi="Cambria" w:cstheme="minorHAnsi"/>
          <w:lang w:val="en-GB"/>
        </w:rPr>
        <w:t xml:space="preserve"> </w:t>
      </w:r>
      <w:r w:rsidR="00CC1190">
        <w:rPr>
          <w:rFonts w:ascii="Cambria" w:hAnsi="Cambria" w:cstheme="minorHAnsi"/>
          <w:lang w:val="en-GB"/>
        </w:rPr>
        <w:fldChar w:fldCharType="begin"/>
      </w:r>
      <w:r w:rsidR="00CC1190">
        <w:rPr>
          <w:rFonts w:ascii="Cambria" w:hAnsi="Cambria" w:cstheme="minorHAnsi"/>
          <w:lang w:val="en-GB"/>
        </w:rPr>
        <w:instrText xml:space="preserve"> ADDIN EN.CITE &lt;EndNote&gt;&lt;Cite&gt;&lt;Author&gt;Health&lt;/Author&gt;&lt;Year&gt;2004&lt;/Year&gt;&lt;RecNum&gt;61&lt;/RecNum&gt;&lt;DisplayText&gt;[1, 2]&lt;/DisplayText&gt;&lt;record&gt;&lt;rec-number&gt;61&lt;/rec-number&gt;&lt;foreign-keys&gt;&lt;key app="EN" db-id="wxfe9vzr0z2sflesd5xpt9f7rp9rs5pfezwx" timestamp="1629737047"&gt;61&lt;/key&gt;&lt;/foreign-keys&gt;&lt;ref-type name="Journal Article"&gt;17&lt;/ref-type&gt;&lt;contributors&gt;&lt;authors&gt;&lt;author&gt;Australian Institute of Health&lt;/author&gt;&lt;author&gt;Welfare&lt;/author&gt;&lt;/authors&gt;&lt;/contributors&gt;&lt;titles&gt;&lt;title&gt;Rural, regional and remote health: a guide to remoteness classifications&lt;/title&gt;&lt;secondary-title&gt;Canberra: Australian Institute of Health and Welfare&lt;/secondary-title&gt;&lt;/titles&gt;&lt;periodical&gt;&lt;full-title&gt;Canberra: Australian Institute of Health and Welfare&lt;/full-title&gt;&lt;/periodical&gt;&lt;dates&gt;&lt;year&gt;2004&lt;/year&gt;&lt;/dates&gt;&lt;urls&gt;&lt;/urls&gt;&lt;/record&gt;&lt;/Cite&gt;&lt;Cite&gt;&lt;Author&gt;Noor&lt;/Author&gt;&lt;Year&gt;2012&lt;/Year&gt;&lt;RecNum&gt;62&lt;/RecNum&gt;&lt;record&gt;&lt;rec-number&gt;62&lt;/rec-number&gt;&lt;foreign-keys&gt;&lt;key app="EN" db-id="wxfe9vzr0z2sflesd5xpt9f7rp9rs5pfezwx" timestamp="1629737074"&gt;62&lt;/key&gt;&lt;/foreign-keys&gt;&lt;ref-type name="Generic"&gt;13&lt;/ref-type&gt;&lt;contributors&gt;&lt;authors&gt;&lt;author&gt;Noor, AM&lt;/author&gt;&lt;author&gt;Alegana, VA&lt;/author&gt;&lt;author&gt;Yé, Y&lt;/author&gt;&lt;author&gt;Arnold, F&lt;/author&gt;&lt;/authors&gt;&lt;/contributors&gt;&lt;titles&gt;&lt;title&gt;Defining remoteness in Kenya, Ghana and Madagascar for the evaluation of the phase 1 AMFm project. A report for Affordable Medicines Facility-malaria (AMFm), independent evaluation&lt;/title&gt;&lt;/titles&gt;&lt;dates&gt;&lt;year&gt;2012&lt;/year&gt;&lt;/dates&gt;&lt;publisher&gt;Calverton, MD: ICF-Macro&lt;/publisher&gt;&lt;urls&gt;&lt;/urls&gt;&lt;/record&gt;&lt;/Cite&gt;&lt;/EndNote&gt;</w:instrText>
      </w:r>
      <w:r w:rsidR="00CC1190">
        <w:rPr>
          <w:rFonts w:ascii="Cambria" w:hAnsi="Cambria" w:cstheme="minorHAnsi"/>
          <w:lang w:val="en-GB"/>
        </w:rPr>
        <w:fldChar w:fldCharType="separate"/>
      </w:r>
      <w:r w:rsidR="00CC1190">
        <w:rPr>
          <w:rFonts w:ascii="Cambria" w:hAnsi="Cambria" w:cstheme="minorHAnsi"/>
          <w:noProof/>
          <w:lang w:val="en-GB"/>
        </w:rPr>
        <w:t>[1, 2]</w:t>
      </w:r>
      <w:r w:rsidR="00CC1190">
        <w:rPr>
          <w:rFonts w:ascii="Cambria" w:hAnsi="Cambria" w:cstheme="minorHAnsi"/>
          <w:lang w:val="en-GB"/>
        </w:rPr>
        <w:fldChar w:fldCharType="end"/>
      </w:r>
      <w:r w:rsidRPr="0093678B">
        <w:rPr>
          <w:rFonts w:ascii="Cambria" w:hAnsi="Cambria" w:cstheme="minorHAnsi"/>
          <w:lang w:val="en-GB"/>
        </w:rPr>
        <w:t xml:space="preserve">. </w:t>
      </w:r>
      <w:r w:rsidRPr="0093678B">
        <w:rPr>
          <w:rFonts w:ascii="Cambria" w:hAnsi="Cambria"/>
        </w:rPr>
        <w:t>Accessibility was measured using a combination of  the Euclidean distance to the nearest urban center, number of urban centers in an average distance and the mean distance to all urban centers.</w:t>
      </w:r>
      <w:r w:rsidRPr="0093678B">
        <w:rPr>
          <w:rFonts w:ascii="Cambria" w:hAnsi="Cambria" w:cstheme="minorHAnsi"/>
          <w:lang w:val="en-GB"/>
        </w:rPr>
        <w:t xml:space="preserve"> </w:t>
      </w:r>
      <w:r w:rsidRPr="0093678B">
        <w:rPr>
          <w:rFonts w:ascii="Cambria" w:hAnsi="Cambria"/>
        </w:rPr>
        <w:t xml:space="preserve">Urban centers data was assembled as cities, major towns, small towns and market and trading centers  and further classified into three distinct urban centers; urban centers 1 (market and trading centers, n=1557); urban centers 2 (small towns, n=264) and urban centers 3 (cities and major towns n=153). </w:t>
      </w:r>
    </w:p>
    <w:p w14:paraId="2221A875" w14:textId="387427FC" w:rsidR="008E5757" w:rsidRDefault="008E5757" w:rsidP="002F5E64">
      <w:pPr>
        <w:spacing w:line="360" w:lineRule="auto"/>
        <w:rPr>
          <w:rFonts w:ascii="Cambria" w:hAnsi="Cambria"/>
        </w:rPr>
      </w:pPr>
      <w:r w:rsidRPr="0093678B">
        <w:rPr>
          <w:rFonts w:ascii="Cambria" w:hAnsi="Cambria"/>
        </w:rPr>
        <w:t>A surface of travel time to urban centers was generated to define access to these urban centers and determine the degree of remoteness on a continuous surface of 1 × 1 km spatial resolution using a combination of land cover, roads, and DEM layers</w:t>
      </w:r>
      <w:r w:rsidR="00B71E7E">
        <w:rPr>
          <w:rFonts w:ascii="Cambria" w:hAnsi="Cambria"/>
        </w:rPr>
        <w:t xml:space="preserve"> in AccessMod </w:t>
      </w:r>
      <w:r w:rsidR="00B71E7E">
        <w:rPr>
          <w:rFonts w:ascii="Cambria" w:hAnsi="Cambria"/>
        </w:rPr>
        <w:fldChar w:fldCharType="begin"/>
      </w:r>
      <w:r w:rsidR="00B71E7E">
        <w:rPr>
          <w:rFonts w:ascii="Cambria" w:hAnsi="Cambria"/>
        </w:rPr>
        <w:instrText xml:space="preserve"> ADDIN EN.CITE &lt;EndNote&gt;&lt;Cite&gt;&lt;Author&gt;Ray&lt;/Author&gt;&lt;Year&gt;2008&lt;/Year&gt;&lt;RecNum&gt;23&lt;/RecNum&gt;&lt;DisplayText&gt;[3]&lt;/DisplayText&gt;&lt;record&gt;&lt;rec-number&gt;23&lt;/rec-number&gt;&lt;foreign-keys&gt;&lt;key app="EN" db-id="wxfe9vzr0z2sflesd5xpt9f7rp9rs5pfezwx" timestamp="1626702867"&gt;23&lt;/key&gt;&lt;/foreign-keys&gt;&lt;ref-type name="Journal Article"&gt;17&lt;/ref-type&gt;&lt;contributors&gt;&lt;authors&gt;&lt;author&gt;Ray, Nicolas&lt;/author&gt;&lt;author&gt;Ebener, Steeve&lt;/author&gt;&lt;/authors&gt;&lt;/contributors&gt;&lt;titles&gt;&lt;title&gt;AccessMod 3.0: computing geographic coverage and accessibility to health care services using anisotropic movement of patients&lt;/title&gt;&lt;secondary-title&gt;International journal of health geographics&lt;/secondary-title&gt;&lt;/titles&gt;&lt;periodical&gt;&lt;full-title&gt;International journal of health geographics&lt;/full-title&gt;&lt;/periodical&gt;&lt;pages&gt;1-17&lt;/pages&gt;&lt;volume&gt;7&lt;/volume&gt;&lt;number&gt;1&lt;/number&gt;&lt;dates&gt;&lt;year&gt;2008&lt;/year&gt;&lt;/dates&gt;&lt;isbn&gt;1476-072X&lt;/isbn&gt;&lt;urls&gt;&lt;/urls&gt;&lt;/record&gt;&lt;/Cite&gt;&lt;/EndNote&gt;</w:instrText>
      </w:r>
      <w:r w:rsidR="00B71E7E">
        <w:rPr>
          <w:rFonts w:ascii="Cambria" w:hAnsi="Cambria"/>
        </w:rPr>
        <w:fldChar w:fldCharType="separate"/>
      </w:r>
      <w:r w:rsidR="00B71E7E">
        <w:rPr>
          <w:rFonts w:ascii="Cambria" w:hAnsi="Cambria"/>
          <w:noProof/>
        </w:rPr>
        <w:t>[3]</w:t>
      </w:r>
      <w:r w:rsidR="00B71E7E">
        <w:rPr>
          <w:rFonts w:ascii="Cambria" w:hAnsi="Cambria"/>
        </w:rPr>
        <w:fldChar w:fldCharType="end"/>
      </w:r>
      <w:r w:rsidRPr="0093678B">
        <w:rPr>
          <w:rFonts w:ascii="Cambria" w:hAnsi="Cambria"/>
        </w:rPr>
        <w:t xml:space="preserve">. Access to these urban centers was calculated from the 1 × 1 km grid surfaces and assessed by travel time based on cumulative travel speeds with the assumption of the mode of transport used to reach the destination: </w:t>
      </w:r>
      <w:r w:rsidRPr="0093678B">
        <w:rPr>
          <w:rFonts w:ascii="Cambria" w:hAnsi="Cambria" w:cstheme="minorHAnsi"/>
          <w:lang w:val="en-GB"/>
        </w:rPr>
        <w:t>a) by walking, (b) by cycling or (c) by vehicular transport</w:t>
      </w:r>
      <w:r w:rsidRPr="0093678B">
        <w:rPr>
          <w:rFonts w:ascii="Cambria" w:hAnsi="Cambria"/>
        </w:rPr>
        <w:t>.</w:t>
      </w:r>
      <w:r w:rsidR="002A0195">
        <w:rPr>
          <w:rFonts w:ascii="Cambria" w:hAnsi="Cambria"/>
        </w:rPr>
        <w:t xml:space="preserve"> </w:t>
      </w:r>
      <w:r w:rsidRPr="0093678B">
        <w:rPr>
          <w:rFonts w:ascii="Cambria" w:hAnsi="Cambria"/>
        </w:rPr>
        <w:t xml:space="preserve">From each grid pixel the travel time to any category of urban center was divided by the average travel time to that category. </w:t>
      </w:r>
    </w:p>
    <w:p w14:paraId="0BCC19CB" w14:textId="77777777" w:rsidR="002F5E64" w:rsidRDefault="008E5757" w:rsidP="002F5E64">
      <w:pPr>
        <w:spacing w:line="360" w:lineRule="auto"/>
        <w:rPr>
          <w:rFonts w:cstheme="minorHAnsi"/>
          <w:noProof/>
          <w:sz w:val="24"/>
          <w:szCs w:val="24"/>
          <w:lang w:val="en-GB"/>
        </w:rPr>
      </w:pPr>
      <w:r w:rsidRPr="0093678B">
        <w:rPr>
          <w:rFonts w:ascii="Cambria" w:hAnsi="Cambria"/>
        </w:rPr>
        <w:t>The result was a surface of ratio-to-mean travel time. This ratio for each pixel was capped at a value of 0.5 to be equivalent to half an hour to Service Center 1; 1.5 hours to Service Center 2 and 2 hours to Service Center 3. All pixels where ratio-to-mean to any service center was ≥ 0.5 were then assigned a ratio-to-mean of 0.5. This was done to reduce the influence of the longer travel times to larger but fewer service centers on the overall index.  The capped ratio-to-mean surfaces to each type of Service Center were summed resulting in a continuous index of remoteness ranging from 0 to 1.5. The continuous surface was then classified into four categories as follows:</w:t>
      </w:r>
      <w:r w:rsidR="00694596">
        <w:rPr>
          <w:rFonts w:ascii="Cambria" w:hAnsi="Cambria"/>
        </w:rPr>
        <w:t xml:space="preserve"> (a)h</w:t>
      </w:r>
      <w:r w:rsidRPr="00694596">
        <w:rPr>
          <w:rFonts w:ascii="Cambria" w:hAnsi="Cambria"/>
        </w:rPr>
        <w:t>ighly Accessible</w:t>
      </w:r>
      <w:r w:rsidRPr="0093678B">
        <w:rPr>
          <w:rFonts w:ascii="Cambria" w:hAnsi="Cambria"/>
        </w:rPr>
        <w:t xml:space="preserve"> (0 - ≤ 0.3)</w:t>
      </w:r>
      <w:r w:rsidR="00694596">
        <w:rPr>
          <w:rFonts w:ascii="Cambria" w:hAnsi="Cambria"/>
        </w:rPr>
        <w:t>, (b) a</w:t>
      </w:r>
      <w:r w:rsidR="00694596" w:rsidRPr="00694596">
        <w:rPr>
          <w:rFonts w:ascii="Cambria" w:hAnsi="Cambria"/>
        </w:rPr>
        <w:t>ccessible (&gt; 0.3 - ≤ 0.6)</w:t>
      </w:r>
      <w:r w:rsidR="00694596">
        <w:rPr>
          <w:rFonts w:ascii="Cambria" w:hAnsi="Cambria"/>
        </w:rPr>
        <w:t xml:space="preserve">, (c) moderately accessible </w:t>
      </w:r>
      <w:r w:rsidR="00694596" w:rsidRPr="0093678B">
        <w:rPr>
          <w:rFonts w:ascii="Cambria" w:hAnsi="Cambria"/>
        </w:rPr>
        <w:t>(&gt; 0.6 - ≤ 0.9)</w:t>
      </w:r>
      <w:r w:rsidR="00694596">
        <w:rPr>
          <w:rFonts w:ascii="Cambria" w:hAnsi="Cambria"/>
        </w:rPr>
        <w:t xml:space="preserve">, (d) remote </w:t>
      </w:r>
      <w:r w:rsidR="00694596" w:rsidRPr="0093678B">
        <w:rPr>
          <w:rFonts w:ascii="Cambria" w:hAnsi="Cambria"/>
        </w:rPr>
        <w:t>(&gt; 0.9 - ≤ 1.2)</w:t>
      </w:r>
      <w:r w:rsidR="00694596">
        <w:rPr>
          <w:rFonts w:ascii="Cambria" w:hAnsi="Cambria"/>
        </w:rPr>
        <w:t xml:space="preserve"> and (d) very remote </w:t>
      </w:r>
      <w:r w:rsidR="00694596" w:rsidRPr="0093678B">
        <w:rPr>
          <w:rFonts w:ascii="Cambria" w:hAnsi="Cambria"/>
        </w:rPr>
        <w:t>(&gt; 1.2 – 1.5)</w:t>
      </w:r>
      <w:r w:rsidR="00694596">
        <w:rPr>
          <w:rFonts w:ascii="Cambria" w:hAnsi="Cambria"/>
        </w:rPr>
        <w:t xml:space="preserve">. </w:t>
      </w:r>
      <w:r w:rsidRPr="0093678B">
        <w:rPr>
          <w:rFonts w:ascii="Cambria" w:hAnsi="Cambria"/>
        </w:rPr>
        <w:t xml:space="preserve">These categories were further aggregated </w:t>
      </w:r>
      <w:r w:rsidR="00421072" w:rsidRPr="0093678B">
        <w:rPr>
          <w:rFonts w:ascii="Cambria" w:hAnsi="Cambria"/>
        </w:rPr>
        <w:t>into</w:t>
      </w:r>
      <w:r w:rsidRPr="0093678B">
        <w:rPr>
          <w:rFonts w:ascii="Cambria" w:hAnsi="Cambria"/>
        </w:rPr>
        <w:t xml:space="preserve"> </w:t>
      </w:r>
      <w:r>
        <w:rPr>
          <w:rFonts w:ascii="Cambria" w:hAnsi="Cambria"/>
        </w:rPr>
        <w:t>urban</w:t>
      </w:r>
      <w:r w:rsidRPr="0093678B">
        <w:rPr>
          <w:rFonts w:ascii="Cambria" w:hAnsi="Cambria"/>
        </w:rPr>
        <w:t xml:space="preserve"> (0 - ≤0.7</w:t>
      </w:r>
      <w:r>
        <w:rPr>
          <w:rFonts w:ascii="Cambria" w:hAnsi="Cambria"/>
        </w:rPr>
        <w:t>5</w:t>
      </w:r>
      <w:r w:rsidRPr="0093678B">
        <w:rPr>
          <w:rFonts w:ascii="Cambria" w:hAnsi="Cambria"/>
        </w:rPr>
        <w:t xml:space="preserve">); and </w:t>
      </w:r>
      <w:r>
        <w:rPr>
          <w:rFonts w:ascii="Cambria" w:hAnsi="Cambria"/>
        </w:rPr>
        <w:t>rural</w:t>
      </w:r>
      <w:r w:rsidRPr="0093678B">
        <w:rPr>
          <w:rFonts w:ascii="Cambria" w:hAnsi="Cambria"/>
        </w:rPr>
        <w:t xml:space="preserve"> (&gt;0.7</w:t>
      </w:r>
      <w:r>
        <w:rPr>
          <w:rFonts w:ascii="Cambria" w:hAnsi="Cambria"/>
        </w:rPr>
        <w:t>5</w:t>
      </w:r>
      <w:r w:rsidRPr="0093678B">
        <w:rPr>
          <w:rFonts w:ascii="Cambria" w:hAnsi="Cambria"/>
        </w:rPr>
        <w:t>).</w:t>
      </w:r>
      <w:r w:rsidR="00694596" w:rsidRPr="00694596">
        <w:rPr>
          <w:rFonts w:cstheme="minorHAnsi"/>
          <w:noProof/>
          <w:sz w:val="24"/>
          <w:szCs w:val="24"/>
          <w:lang w:val="en-GB"/>
        </w:rPr>
        <w:t xml:space="preserve"> </w:t>
      </w:r>
    </w:p>
    <w:p w14:paraId="1DDA7C3B" w14:textId="5BBE8858" w:rsidR="008E5757" w:rsidRPr="003561D1" w:rsidRDefault="00F1324D" w:rsidP="003561D1">
      <w:pPr>
        <w:spacing w:line="360" w:lineRule="auto"/>
        <w:rPr>
          <w:rFonts w:ascii="Cambria" w:hAnsi="Cambria"/>
        </w:rPr>
      </w:pPr>
      <w:r>
        <w:rPr>
          <w:rFonts w:ascii="Cambria" w:hAnsi="Cambria"/>
          <w:noProof/>
        </w:rPr>
        <w:lastRenderedPageBreak/>
        <w:drawing>
          <wp:inline distT="0" distB="0" distL="0" distR="0" wp14:anchorId="378178A1" wp14:editId="4E3448F2">
            <wp:extent cx="5943600" cy="27691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6EFE" w14:textId="56F90633" w:rsidR="003E6582" w:rsidRDefault="005378E1" w:rsidP="003561D1">
      <w:pPr>
        <w:pStyle w:val="Caption"/>
        <w:spacing w:line="360" w:lineRule="auto"/>
        <w:rPr>
          <w:rFonts w:ascii="Cambria" w:hAnsi="Cambria"/>
          <w:i w:val="0"/>
          <w:iCs w:val="0"/>
          <w:color w:val="auto"/>
          <w:sz w:val="22"/>
          <w:szCs w:val="22"/>
        </w:rPr>
      </w:pP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SI</w:t>
      </w:r>
      <w:r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Figure</w:t>
      </w:r>
      <w:r w:rsidR="00BB5AF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E5757" w:rsidRPr="000A6A31">
        <w:rPr>
          <w:rFonts w:ascii="Cambria" w:hAnsi="Cambria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:</w:t>
      </w:r>
      <w:r w:rsidR="008E5757" w:rsidRPr="000A6A3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(A)</w:t>
      </w:r>
      <w:r w:rsidR="008E5757" w:rsidRPr="000A6A3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</w:t>
      </w:r>
      <w:r w:rsidR="00F00AEB">
        <w:rPr>
          <w:rFonts w:ascii="Cambria" w:hAnsi="Cambria"/>
          <w:i w:val="0"/>
          <w:iCs w:val="0"/>
          <w:color w:val="auto"/>
          <w:sz w:val="22"/>
          <w:szCs w:val="22"/>
        </w:rPr>
        <w:t>Ratio-to-mean</w:t>
      </w:r>
      <w:r w:rsidR="008E5757" w:rsidRPr="000A6A3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travel time to urban centers as a continuous surface of 1 × 1 km spatial resolution ranging from 0 to 1.5. 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(B)</w:t>
      </w:r>
      <w:r w:rsidR="008E5757" w:rsidRPr="000A6A3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 Categories of spatial accessibility to urban centers </w:t>
      </w:r>
      <w:r w:rsidR="008E5757" w:rsidRPr="000A6A31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(C)</w:t>
      </w:r>
      <w:r w:rsidR="008E5757" w:rsidRPr="000A6A3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Remoteness class</w:t>
      </w:r>
      <w:r w:rsidR="008E5757">
        <w:rPr>
          <w:rFonts w:ascii="Cambria" w:hAnsi="Cambria"/>
          <w:i w:val="0"/>
          <w:iCs w:val="0"/>
          <w:color w:val="auto"/>
          <w:sz w:val="22"/>
          <w:szCs w:val="22"/>
        </w:rPr>
        <w:t>ification map showing the two major classes as urban and rural.</w:t>
      </w:r>
    </w:p>
    <w:p w14:paraId="12E0CB25" w14:textId="77777777" w:rsidR="00466DF9" w:rsidRPr="00466DF9" w:rsidRDefault="00466DF9" w:rsidP="00466DF9"/>
    <w:p w14:paraId="1267F4E2" w14:textId="70A6619E" w:rsidR="00AA357F" w:rsidRDefault="00AA357F" w:rsidP="00692041">
      <w:pPr>
        <w:pStyle w:val="Heading1"/>
        <w:numPr>
          <w:ilvl w:val="0"/>
          <w:numId w:val="8"/>
        </w:numPr>
        <w:rPr>
          <w:rFonts w:ascii="Cambria" w:hAnsi="Cambria"/>
          <w:color w:val="auto"/>
          <w:sz w:val="22"/>
          <w:szCs w:val="22"/>
        </w:rPr>
      </w:pPr>
      <w:bookmarkStart w:id="3" w:name="_Toc79926949"/>
      <w:bookmarkStart w:id="4" w:name="_Toc92451745"/>
      <w:r>
        <w:rPr>
          <w:rFonts w:ascii="Cambria" w:hAnsi="Cambria"/>
          <w:b/>
          <w:bCs/>
          <w:color w:val="auto"/>
          <w:sz w:val="24"/>
          <w:szCs w:val="24"/>
        </w:rPr>
        <w:t xml:space="preserve">Additional information on </w:t>
      </w:r>
      <w:r w:rsidRPr="001615E8">
        <w:rPr>
          <w:rFonts w:ascii="Cambria" w:hAnsi="Cambria"/>
          <w:b/>
          <w:bCs/>
          <w:color w:val="auto"/>
          <w:sz w:val="24"/>
          <w:szCs w:val="24"/>
        </w:rPr>
        <w:t>Model Fitting</w:t>
      </w:r>
      <w:r>
        <w:rPr>
          <w:rFonts w:ascii="Cambria" w:hAnsi="Cambria"/>
          <w:b/>
          <w:bCs/>
          <w:color w:val="auto"/>
          <w:sz w:val="24"/>
          <w:szCs w:val="24"/>
        </w:rPr>
        <w:t xml:space="preserve"> results</w:t>
      </w:r>
      <w:r w:rsidRPr="001615E8">
        <w:rPr>
          <w:rFonts w:ascii="Cambria" w:hAnsi="Cambria"/>
          <w:b/>
          <w:bCs/>
          <w:color w:val="auto"/>
          <w:sz w:val="24"/>
          <w:szCs w:val="24"/>
        </w:rPr>
        <w:t xml:space="preserve"> and validation</w:t>
      </w:r>
      <w:bookmarkEnd w:id="3"/>
      <w:bookmarkEnd w:id="4"/>
      <w:r w:rsidRPr="001615E8">
        <w:rPr>
          <w:rFonts w:ascii="Cambria" w:hAnsi="Cambria"/>
          <w:color w:val="auto"/>
          <w:sz w:val="22"/>
          <w:szCs w:val="22"/>
        </w:rPr>
        <w:t xml:space="preserve">  </w:t>
      </w:r>
    </w:p>
    <w:p w14:paraId="39FBDE17" w14:textId="77777777" w:rsidR="007C21E5" w:rsidRPr="007C21E5" w:rsidRDefault="007C21E5" w:rsidP="007C21E5"/>
    <w:p w14:paraId="51E70A37" w14:textId="6A00C872" w:rsidR="007C21E5" w:rsidRDefault="007C21E5" w:rsidP="007C21E5">
      <w:pPr>
        <w:spacing w:line="360" w:lineRule="auto"/>
        <w:rPr>
          <w:rFonts w:ascii="Cambria" w:hAnsi="Cambria"/>
        </w:rPr>
      </w:pPr>
      <w:r w:rsidRPr="007C21E5">
        <w:rPr>
          <w:rFonts w:ascii="Cambria" w:hAnsi="Cambria"/>
        </w:rPr>
        <w:t>Model fitting results are summarized in supplementary table 1. Model 1 was a null model with no adjustments and covariates, model 2 included  geospatial covariates and temporal adjustments and model 3 included an addition of spatial effects (fixed and random) to the basic temporal model. The DICs for model 3 was consistently lower compared to the other two models suggesting that better estimates would be obtained from the model with additional correlated spatial effect. Thus, model 3 was considered the best model choice for indicator estimation.</w:t>
      </w:r>
    </w:p>
    <w:p w14:paraId="3B16B66D" w14:textId="365E4C4C" w:rsidR="00A323FF" w:rsidRDefault="00A323FF" w:rsidP="007C21E5">
      <w:pPr>
        <w:spacing w:line="360" w:lineRule="auto"/>
        <w:rPr>
          <w:rFonts w:ascii="Cambria" w:hAnsi="Cambria"/>
        </w:rPr>
      </w:pPr>
    </w:p>
    <w:p w14:paraId="7299253E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66B2C18E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23171810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314BBCBA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62F748FA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16D00D05" w14:textId="77777777" w:rsidR="007655DA" w:rsidRDefault="007655DA" w:rsidP="007C21E5">
      <w:pPr>
        <w:pStyle w:val="Caption"/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</w:pPr>
    </w:p>
    <w:p w14:paraId="78414E92" w14:textId="46904684" w:rsidR="001D10AD" w:rsidRPr="007C21E5" w:rsidRDefault="007C21E5" w:rsidP="007C21E5">
      <w:pPr>
        <w:pStyle w:val="Caption"/>
        <w:rPr>
          <w:rFonts w:ascii="Cambria" w:hAnsi="Cambria"/>
          <w:i w:val="0"/>
          <w:iCs w:val="0"/>
          <w:color w:val="auto"/>
          <w:sz w:val="22"/>
          <w:szCs w:val="22"/>
        </w:rPr>
      </w:pP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lastRenderedPageBreak/>
        <w:t>SI</w:t>
      </w:r>
      <w:r w:rsidR="007655DA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774434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Table</w:t>
      </w: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1</w:t>
      </w:r>
      <w:r w:rsidRPr="00774434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: </w:t>
      </w:r>
      <w:r w:rsidRPr="008A656D">
        <w:rPr>
          <w:rFonts w:ascii="Cambria" w:hAnsi="Cambria"/>
          <w:i w:val="0"/>
          <w:iCs w:val="0"/>
          <w:color w:val="auto"/>
          <w:sz w:val="22"/>
          <w:szCs w:val="22"/>
        </w:rPr>
        <w:t>Model</w:t>
      </w: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Cambria" w:hAnsi="Cambria"/>
          <w:i w:val="0"/>
          <w:iCs w:val="0"/>
          <w:color w:val="auto"/>
          <w:sz w:val="22"/>
          <w:szCs w:val="22"/>
        </w:rPr>
        <w:t>g</w:t>
      </w:r>
      <w:r w:rsidRPr="006E33EB">
        <w:rPr>
          <w:rFonts w:ascii="Cambria" w:hAnsi="Cambria"/>
          <w:i w:val="0"/>
          <w:iCs w:val="0"/>
          <w:color w:val="auto"/>
          <w:sz w:val="22"/>
          <w:szCs w:val="22"/>
        </w:rPr>
        <w:t xml:space="preserve">oodness of fit and comparison of the three </w:t>
      </w:r>
      <w:r>
        <w:rPr>
          <w:rFonts w:ascii="Cambria" w:hAnsi="Cambria"/>
          <w:i w:val="0"/>
          <w:iCs w:val="0"/>
          <w:color w:val="auto"/>
          <w:sz w:val="22"/>
          <w:szCs w:val="22"/>
        </w:rPr>
        <w:t xml:space="preserve">fitted </w:t>
      </w:r>
      <w:r w:rsidRPr="006E33EB">
        <w:rPr>
          <w:rFonts w:ascii="Cambria" w:hAnsi="Cambria"/>
          <w:i w:val="0"/>
          <w:iCs w:val="0"/>
          <w:color w:val="auto"/>
          <w:sz w:val="22"/>
          <w:szCs w:val="22"/>
        </w:rPr>
        <w:t xml:space="preserve">Bayesian models. </w:t>
      </w:r>
    </w:p>
    <w:tbl>
      <w:tblPr>
        <w:tblStyle w:val="GridTable1Light"/>
        <w:tblpPr w:leftFromText="180" w:rightFromText="180" w:vertAnchor="page" w:horzAnchor="margin" w:tblpY="2236"/>
        <w:tblW w:w="4626" w:type="pct"/>
        <w:tblLayout w:type="fixed"/>
        <w:tblLook w:val="04A0" w:firstRow="1" w:lastRow="0" w:firstColumn="1" w:lastColumn="0" w:noHBand="0" w:noVBand="1"/>
      </w:tblPr>
      <w:tblGrid>
        <w:gridCol w:w="1826"/>
        <w:gridCol w:w="1011"/>
        <w:gridCol w:w="1183"/>
        <w:gridCol w:w="2227"/>
        <w:gridCol w:w="697"/>
        <w:gridCol w:w="908"/>
        <w:gridCol w:w="799"/>
      </w:tblGrid>
      <w:tr w:rsidR="00A323FF" w:rsidRPr="00D00084" w14:paraId="5F28E2A6" w14:textId="77777777" w:rsidTr="00765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noWrap/>
            <w:hideMark/>
          </w:tcPr>
          <w:p w14:paraId="41198A39" w14:textId="77777777" w:rsidR="00A323FF" w:rsidRPr="00D00084" w:rsidRDefault="00A323FF" w:rsidP="007655DA">
            <w:pPr>
              <w:jc w:val="center"/>
              <w:rPr>
                <w:rFonts w:ascii="Cambria" w:hAnsi="Cambria"/>
              </w:rPr>
            </w:pPr>
            <w:r w:rsidRPr="00D00084">
              <w:rPr>
                <w:rFonts w:ascii="Cambria" w:hAnsi="Cambria"/>
              </w:rPr>
              <w:t>Indicator</w:t>
            </w:r>
          </w:p>
        </w:tc>
        <w:tc>
          <w:tcPr>
            <w:tcW w:w="584" w:type="pct"/>
            <w:noWrap/>
            <w:hideMark/>
          </w:tcPr>
          <w:p w14:paraId="0BD8820E" w14:textId="77777777" w:rsidR="00A323FF" w:rsidRPr="00D00084" w:rsidRDefault="00A323FF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00084">
              <w:rPr>
                <w:rFonts w:ascii="Cambria" w:hAnsi="Cambria"/>
              </w:rPr>
              <w:t>Model</w:t>
            </w:r>
          </w:p>
        </w:tc>
        <w:tc>
          <w:tcPr>
            <w:tcW w:w="684" w:type="pct"/>
            <w:noWrap/>
            <w:hideMark/>
          </w:tcPr>
          <w:p w14:paraId="0C02024B" w14:textId="77777777" w:rsidR="00A323FF" w:rsidRPr="00D00084" w:rsidRDefault="00A323FF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00084">
              <w:rPr>
                <w:rFonts w:ascii="Cambria" w:hAnsi="Cambria"/>
              </w:rPr>
              <w:t>DIC</w:t>
            </w:r>
          </w:p>
        </w:tc>
        <w:tc>
          <w:tcPr>
            <w:tcW w:w="1287" w:type="pct"/>
            <w:noWrap/>
            <w:hideMark/>
          </w:tcPr>
          <w:p w14:paraId="441EBB5B" w14:textId="77777777" w:rsidR="00A323FF" w:rsidRPr="00D00084" w:rsidRDefault="00A323FF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00084">
              <w:rPr>
                <w:rFonts w:ascii="Cambria" w:hAnsi="Cambria"/>
              </w:rPr>
              <w:t>Marginal Likelihood</w:t>
            </w:r>
          </w:p>
        </w:tc>
        <w:tc>
          <w:tcPr>
            <w:tcW w:w="403" w:type="pct"/>
          </w:tcPr>
          <w:p w14:paraId="6A06702B" w14:textId="77777777" w:rsidR="00A323FF" w:rsidRPr="00D00084" w:rsidRDefault="000A237B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Times New Roman"/>
                <w:b w:val="0"/>
                <w:bCs w:val="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5" w:type="pct"/>
          </w:tcPr>
          <w:p w14:paraId="140A00DC" w14:textId="77777777" w:rsidR="00A323FF" w:rsidRPr="00D00084" w:rsidRDefault="00A323FF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libri" w:hAnsi="Cambria" w:cs="Times New Roman"/>
                <w:b w:val="0"/>
                <w:bCs w:val="0"/>
              </w:rPr>
            </w:pPr>
            <w:r>
              <w:rPr>
                <w:rFonts w:ascii="Cambria" w:hAnsi="Cambria"/>
              </w:rPr>
              <w:t>R</w:t>
            </w:r>
            <w:r w:rsidRPr="00D00084">
              <w:rPr>
                <w:rFonts w:ascii="Cambria" w:hAnsi="Cambria"/>
              </w:rPr>
              <w:t>MSE</w:t>
            </w:r>
          </w:p>
        </w:tc>
        <w:tc>
          <w:tcPr>
            <w:tcW w:w="462" w:type="pct"/>
            <w:noWrap/>
            <w:hideMark/>
          </w:tcPr>
          <w:p w14:paraId="5ECFA63A" w14:textId="77777777" w:rsidR="00A323FF" w:rsidRPr="00D00084" w:rsidRDefault="00A323FF" w:rsidP="00765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00084">
              <w:rPr>
                <w:rFonts w:ascii="Cambria" w:eastAsia="Calibri" w:hAnsi="Cambria" w:cs="Times New Roman"/>
              </w:rPr>
              <w:t>MAE</w:t>
            </w:r>
          </w:p>
        </w:tc>
      </w:tr>
      <w:tr w:rsidR="00A323FF" w:rsidRPr="00D00084" w14:paraId="4039C8E1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noWrap/>
            <w:hideMark/>
          </w:tcPr>
          <w:p w14:paraId="3E8BE381" w14:textId="6454796C" w:rsidR="00A323FF" w:rsidRPr="002913EB" w:rsidRDefault="00E043C5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FP</w:t>
            </w:r>
          </w:p>
        </w:tc>
        <w:tc>
          <w:tcPr>
            <w:tcW w:w="584" w:type="pct"/>
            <w:noWrap/>
            <w:hideMark/>
          </w:tcPr>
          <w:p w14:paraId="17A3A69B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noWrap/>
            <w:hideMark/>
          </w:tcPr>
          <w:p w14:paraId="7C3B3A82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3,171,729</w:t>
            </w:r>
          </w:p>
        </w:tc>
        <w:tc>
          <w:tcPr>
            <w:tcW w:w="1287" w:type="pct"/>
            <w:noWrap/>
            <w:hideMark/>
          </w:tcPr>
          <w:p w14:paraId="074081E5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-162,8645.4</w:t>
            </w:r>
          </w:p>
        </w:tc>
        <w:tc>
          <w:tcPr>
            <w:tcW w:w="403" w:type="pct"/>
          </w:tcPr>
          <w:p w14:paraId="50C3DAA0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04A6FAF4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14F6196B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323FF" w:rsidRPr="00D00084" w14:paraId="68FA163D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03DC439F" w14:textId="77777777" w:rsidR="00A323FF" w:rsidRPr="002913EB" w:rsidRDefault="00A323FF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341AE31C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noWrap/>
            <w:hideMark/>
          </w:tcPr>
          <w:p w14:paraId="0687736E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2,566,264</w:t>
            </w:r>
          </w:p>
        </w:tc>
        <w:tc>
          <w:tcPr>
            <w:tcW w:w="1287" w:type="pct"/>
            <w:noWrap/>
            <w:hideMark/>
          </w:tcPr>
          <w:p w14:paraId="1563F6AA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-1,322,236</w:t>
            </w:r>
          </w:p>
        </w:tc>
        <w:tc>
          <w:tcPr>
            <w:tcW w:w="403" w:type="pct"/>
          </w:tcPr>
          <w:p w14:paraId="36FA97F9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46A4F87C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41DD7C65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323FF" w:rsidRPr="00D00084" w14:paraId="4AC5C75D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tcBorders>
              <w:bottom w:val="single" w:sz="4" w:space="0" w:color="999999" w:themeColor="text1" w:themeTint="66"/>
            </w:tcBorders>
            <w:noWrap/>
            <w:hideMark/>
          </w:tcPr>
          <w:p w14:paraId="5D342369" w14:textId="77777777" w:rsidR="00A323FF" w:rsidRPr="002913EB" w:rsidRDefault="00A323FF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343F59A6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7D5EFB5C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897,264.1</w:t>
            </w:r>
          </w:p>
        </w:tc>
        <w:tc>
          <w:tcPr>
            <w:tcW w:w="1287" w:type="pct"/>
            <w:tcBorders>
              <w:bottom w:val="single" w:sz="4" w:space="0" w:color="999999" w:themeColor="text1" w:themeTint="66"/>
            </w:tcBorders>
            <w:noWrap/>
            <w:hideMark/>
          </w:tcPr>
          <w:p w14:paraId="3FDDF241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-495,929.8</w:t>
            </w:r>
          </w:p>
        </w:tc>
        <w:tc>
          <w:tcPr>
            <w:tcW w:w="403" w:type="pct"/>
            <w:tcBorders>
              <w:bottom w:val="single" w:sz="4" w:space="0" w:color="999999" w:themeColor="text1" w:themeTint="66"/>
            </w:tcBorders>
          </w:tcPr>
          <w:p w14:paraId="40A38EF1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0.68</w:t>
            </w:r>
          </w:p>
        </w:tc>
        <w:tc>
          <w:tcPr>
            <w:tcW w:w="525" w:type="pct"/>
            <w:tcBorders>
              <w:bottom w:val="single" w:sz="4" w:space="0" w:color="999999" w:themeColor="text1" w:themeTint="66"/>
            </w:tcBorders>
          </w:tcPr>
          <w:p w14:paraId="5DAF7988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0.1</w:t>
            </w:r>
          </w:p>
        </w:tc>
        <w:tc>
          <w:tcPr>
            <w:tcW w:w="462" w:type="pct"/>
            <w:tcBorders>
              <w:bottom w:val="single" w:sz="4" w:space="0" w:color="999999" w:themeColor="text1" w:themeTint="66"/>
            </w:tcBorders>
            <w:noWrap/>
          </w:tcPr>
          <w:p w14:paraId="2FD64946" w14:textId="77777777" w:rsidR="00A323FF" w:rsidRPr="002913EB" w:rsidRDefault="00A323FF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0.08</w:t>
            </w:r>
          </w:p>
        </w:tc>
      </w:tr>
      <w:tr w:rsidR="00680ABC" w:rsidRPr="00D00084" w14:paraId="4E010DB4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tcBorders>
              <w:top w:val="single" w:sz="4" w:space="0" w:color="auto"/>
            </w:tcBorders>
            <w:noWrap/>
          </w:tcPr>
          <w:p w14:paraId="4728EE4F" w14:textId="7403CEA5" w:rsidR="00680ABC" w:rsidRDefault="00680AB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ANC</w:t>
            </w:r>
          </w:p>
        </w:tc>
        <w:tc>
          <w:tcPr>
            <w:tcW w:w="584" w:type="pct"/>
            <w:tcBorders>
              <w:top w:val="single" w:sz="4" w:space="0" w:color="auto"/>
            </w:tcBorders>
            <w:noWrap/>
          </w:tcPr>
          <w:p w14:paraId="084B3707" w14:textId="1C8F1A11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tcBorders>
              <w:top w:val="single" w:sz="4" w:space="0" w:color="auto"/>
            </w:tcBorders>
            <w:noWrap/>
          </w:tcPr>
          <w:p w14:paraId="488AB15A" w14:textId="426C00C4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DA738C">
              <w:rPr>
                <w:rFonts w:ascii="Cambria" w:hAnsi="Cambria"/>
                <w:sz w:val="20"/>
                <w:szCs w:val="20"/>
              </w:rPr>
              <w:t>616790.57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noWrap/>
          </w:tcPr>
          <w:p w14:paraId="0BC2B12D" w14:textId="1BE500A7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680ABC">
              <w:rPr>
                <w:rFonts w:ascii="Cambria" w:hAnsi="Cambria"/>
                <w:sz w:val="20"/>
                <w:szCs w:val="20"/>
              </w:rPr>
              <w:t>-308470.59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4713B8E7" w14:textId="092BB7FB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5AA9608A" w14:textId="6D3DD612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</w:tcBorders>
            <w:noWrap/>
          </w:tcPr>
          <w:p w14:paraId="2EE97A2E" w14:textId="784A7216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680ABC" w:rsidRPr="00D00084" w14:paraId="4C370977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</w:tcPr>
          <w:p w14:paraId="238C9334" w14:textId="77777777" w:rsidR="00680ABC" w:rsidRDefault="00680AB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noWrap/>
          </w:tcPr>
          <w:p w14:paraId="62F7E4C4" w14:textId="5B07B871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tcBorders>
              <w:top w:val="single" w:sz="4" w:space="0" w:color="auto"/>
            </w:tcBorders>
            <w:noWrap/>
          </w:tcPr>
          <w:p w14:paraId="5B1030DB" w14:textId="134C814E" w:rsidR="00680ABC" w:rsidRPr="002913EB" w:rsidRDefault="00C54C17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C54C17">
              <w:rPr>
                <w:rFonts w:ascii="Cambria" w:hAnsi="Cambria"/>
                <w:sz w:val="20"/>
                <w:szCs w:val="20"/>
              </w:rPr>
              <w:t>540796.54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noWrap/>
          </w:tcPr>
          <w:p w14:paraId="172F32DA" w14:textId="7B24B5BE" w:rsidR="00680ABC" w:rsidRPr="002913EB" w:rsidRDefault="00C54C17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C54C17">
              <w:rPr>
                <w:rFonts w:ascii="Cambria" w:hAnsi="Cambria"/>
                <w:sz w:val="20"/>
                <w:szCs w:val="20"/>
              </w:rPr>
              <w:t>-270521.60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08BEA140" w14:textId="7818AA8C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143CD5BE" w14:textId="6553B8CA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</w:tcBorders>
            <w:noWrap/>
          </w:tcPr>
          <w:p w14:paraId="7CE0840E" w14:textId="57E50801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680ABC" w:rsidRPr="00D00084" w14:paraId="6C052BF2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</w:tcPr>
          <w:p w14:paraId="555AC26A" w14:textId="77777777" w:rsidR="00680ABC" w:rsidRDefault="00680AB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</w:tcBorders>
            <w:noWrap/>
          </w:tcPr>
          <w:p w14:paraId="15E1481C" w14:textId="0870FA6A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tcBorders>
              <w:top w:val="single" w:sz="4" w:space="0" w:color="auto"/>
            </w:tcBorders>
            <w:noWrap/>
          </w:tcPr>
          <w:p w14:paraId="7E98075A" w14:textId="5559028F" w:rsidR="00680ABC" w:rsidRPr="002913EB" w:rsidRDefault="00325DAB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325DAB">
              <w:rPr>
                <w:rFonts w:ascii="Cambria" w:hAnsi="Cambria"/>
                <w:sz w:val="20"/>
                <w:szCs w:val="20"/>
              </w:rPr>
              <w:t>255503.40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noWrap/>
          </w:tcPr>
          <w:p w14:paraId="295EF5D7" w14:textId="42177F88" w:rsidR="00680ABC" w:rsidRPr="002913EB" w:rsidRDefault="00325DAB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325DAB">
              <w:rPr>
                <w:rFonts w:ascii="Cambria" w:hAnsi="Cambria"/>
                <w:sz w:val="20"/>
                <w:szCs w:val="20"/>
              </w:rPr>
              <w:t>-128649.87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3B0A138B" w14:textId="1ECBB76D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</w:t>
            </w:r>
            <w:r w:rsidR="00DD5789">
              <w:rPr>
                <w:rFonts w:ascii="Cambria" w:hAnsi="Cambria"/>
                <w:sz w:val="20"/>
                <w:szCs w:val="20"/>
              </w:rPr>
              <w:t>5</w:t>
            </w:r>
            <w:r w:rsidR="00384730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0C9C9E8E" w14:textId="3D1B3BD1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0.1</w:t>
            </w:r>
          </w:p>
        </w:tc>
        <w:tc>
          <w:tcPr>
            <w:tcW w:w="462" w:type="pct"/>
            <w:tcBorders>
              <w:top w:val="single" w:sz="4" w:space="0" w:color="auto"/>
            </w:tcBorders>
            <w:noWrap/>
          </w:tcPr>
          <w:p w14:paraId="6F7B6601" w14:textId="5995500B" w:rsidR="00680ABC" w:rsidRPr="002913EB" w:rsidRDefault="00680AB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0.0</w:t>
            </w:r>
            <w:r w:rsidR="00BC42E0">
              <w:rPr>
                <w:rFonts w:ascii="Cambria" w:hAnsi="Cambria"/>
                <w:sz w:val="20"/>
                <w:szCs w:val="20"/>
              </w:rPr>
              <w:t>5</w:t>
            </w:r>
          </w:p>
        </w:tc>
      </w:tr>
      <w:tr w:rsidR="004A4CFC" w:rsidRPr="00D00084" w14:paraId="1B93DF35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1EAF01BB" w14:textId="5FAFCFB9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SBA</w:t>
            </w:r>
          </w:p>
        </w:tc>
        <w:tc>
          <w:tcPr>
            <w:tcW w:w="584" w:type="pct"/>
            <w:tcBorders>
              <w:top w:val="single" w:sz="4" w:space="0" w:color="auto"/>
            </w:tcBorders>
            <w:noWrap/>
            <w:hideMark/>
          </w:tcPr>
          <w:p w14:paraId="3AE2216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tcBorders>
              <w:top w:val="single" w:sz="4" w:space="0" w:color="auto"/>
            </w:tcBorders>
            <w:noWrap/>
            <w:hideMark/>
          </w:tcPr>
          <w:p w14:paraId="102918CF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580,758.6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noWrap/>
            <w:hideMark/>
          </w:tcPr>
          <w:p w14:paraId="13A9783F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-290,860.2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6776C17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51E884A9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</w:tcBorders>
            <w:noWrap/>
            <w:hideMark/>
          </w:tcPr>
          <w:p w14:paraId="60363B7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77A42741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12E6B6B8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37FC68BE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noWrap/>
            <w:hideMark/>
          </w:tcPr>
          <w:p w14:paraId="694B07D4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549,424.5</w:t>
            </w:r>
          </w:p>
        </w:tc>
        <w:tc>
          <w:tcPr>
            <w:tcW w:w="1287" w:type="pct"/>
            <w:noWrap/>
            <w:hideMark/>
          </w:tcPr>
          <w:p w14:paraId="7E7842C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-275,213</w:t>
            </w:r>
          </w:p>
        </w:tc>
        <w:tc>
          <w:tcPr>
            <w:tcW w:w="403" w:type="pct"/>
          </w:tcPr>
          <w:p w14:paraId="66A7BD2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4C10D67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3D01584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2FDEC1B0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6F82E0CC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0AF6D970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noWrap/>
            <w:hideMark/>
          </w:tcPr>
          <w:p w14:paraId="3B0063BF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155,456.4</w:t>
            </w:r>
          </w:p>
        </w:tc>
        <w:tc>
          <w:tcPr>
            <w:tcW w:w="1287" w:type="pct"/>
            <w:noWrap/>
            <w:hideMark/>
          </w:tcPr>
          <w:p w14:paraId="18FF69D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-79,835.1</w:t>
            </w:r>
          </w:p>
        </w:tc>
        <w:tc>
          <w:tcPr>
            <w:tcW w:w="403" w:type="pct"/>
          </w:tcPr>
          <w:p w14:paraId="198CDDB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0.78</w:t>
            </w:r>
          </w:p>
        </w:tc>
        <w:tc>
          <w:tcPr>
            <w:tcW w:w="525" w:type="pct"/>
          </w:tcPr>
          <w:p w14:paraId="4C2353B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0.1</w:t>
            </w:r>
          </w:p>
        </w:tc>
        <w:tc>
          <w:tcPr>
            <w:tcW w:w="462" w:type="pct"/>
            <w:noWrap/>
            <w:hideMark/>
          </w:tcPr>
          <w:p w14:paraId="024F1B80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0.07</w:t>
            </w:r>
          </w:p>
        </w:tc>
      </w:tr>
      <w:tr w:rsidR="004A4CFC" w:rsidRPr="00D00084" w14:paraId="1124F78B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noWrap/>
            <w:hideMark/>
          </w:tcPr>
          <w:p w14:paraId="0AE32475" w14:textId="210934C3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FMMR</w:t>
            </w:r>
          </w:p>
        </w:tc>
        <w:tc>
          <w:tcPr>
            <w:tcW w:w="584" w:type="pct"/>
            <w:noWrap/>
            <w:hideMark/>
          </w:tcPr>
          <w:p w14:paraId="46FA481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noWrap/>
            <w:hideMark/>
          </w:tcPr>
          <w:p w14:paraId="0AAD4F70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15,674.3</w:t>
            </w:r>
          </w:p>
        </w:tc>
        <w:tc>
          <w:tcPr>
            <w:tcW w:w="1287" w:type="pct"/>
            <w:noWrap/>
            <w:hideMark/>
          </w:tcPr>
          <w:p w14:paraId="35CD396E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-7,842.8</w:t>
            </w:r>
          </w:p>
        </w:tc>
        <w:tc>
          <w:tcPr>
            <w:tcW w:w="403" w:type="pct"/>
          </w:tcPr>
          <w:p w14:paraId="1D20FE37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15C541E0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4B7CE333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5E25440C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52394512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7A1B9881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noWrap/>
            <w:hideMark/>
          </w:tcPr>
          <w:p w14:paraId="0FB68C52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14,393.1</w:t>
            </w:r>
          </w:p>
        </w:tc>
        <w:tc>
          <w:tcPr>
            <w:tcW w:w="1287" w:type="pct"/>
            <w:noWrap/>
            <w:hideMark/>
          </w:tcPr>
          <w:p w14:paraId="6931D837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-7,240.3</w:t>
            </w:r>
          </w:p>
        </w:tc>
        <w:tc>
          <w:tcPr>
            <w:tcW w:w="403" w:type="pct"/>
          </w:tcPr>
          <w:p w14:paraId="38409930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21418CC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6AC33716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66B3075C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56B06044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4769FDB9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noWrap/>
            <w:hideMark/>
          </w:tcPr>
          <w:p w14:paraId="4837870F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11,662.2</w:t>
            </w:r>
          </w:p>
        </w:tc>
        <w:tc>
          <w:tcPr>
            <w:tcW w:w="1287" w:type="pct"/>
            <w:noWrap/>
            <w:hideMark/>
          </w:tcPr>
          <w:p w14:paraId="15453706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-5,924.9</w:t>
            </w:r>
          </w:p>
        </w:tc>
        <w:tc>
          <w:tcPr>
            <w:tcW w:w="403" w:type="pct"/>
          </w:tcPr>
          <w:p w14:paraId="1B5C9C3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0.39</w:t>
            </w:r>
          </w:p>
        </w:tc>
        <w:tc>
          <w:tcPr>
            <w:tcW w:w="525" w:type="pct"/>
          </w:tcPr>
          <w:p w14:paraId="4AE215A4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0.06</w:t>
            </w:r>
          </w:p>
        </w:tc>
        <w:tc>
          <w:tcPr>
            <w:tcW w:w="462" w:type="pct"/>
            <w:noWrap/>
            <w:hideMark/>
          </w:tcPr>
          <w:p w14:paraId="5E6513B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0.24</w:t>
            </w:r>
          </w:p>
        </w:tc>
      </w:tr>
      <w:tr w:rsidR="004A4CFC" w:rsidRPr="00D00084" w14:paraId="1351EE6F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noWrap/>
            <w:hideMark/>
          </w:tcPr>
          <w:p w14:paraId="30067839" w14:textId="4373D34D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FIC</w:t>
            </w:r>
          </w:p>
        </w:tc>
        <w:tc>
          <w:tcPr>
            <w:tcW w:w="584" w:type="pct"/>
            <w:noWrap/>
            <w:hideMark/>
          </w:tcPr>
          <w:p w14:paraId="033EE46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noWrap/>
            <w:hideMark/>
          </w:tcPr>
          <w:p w14:paraId="1ECDC22D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268,894.4</w:t>
            </w:r>
          </w:p>
        </w:tc>
        <w:tc>
          <w:tcPr>
            <w:tcW w:w="1287" w:type="pct"/>
            <w:noWrap/>
            <w:hideMark/>
          </w:tcPr>
          <w:p w14:paraId="569F0201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-13,4641.7</w:t>
            </w:r>
          </w:p>
        </w:tc>
        <w:tc>
          <w:tcPr>
            <w:tcW w:w="403" w:type="pct"/>
          </w:tcPr>
          <w:p w14:paraId="2D1CC00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4300647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011B672E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7F38CCDE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4934DDEF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0C32F55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noWrap/>
            <w:hideMark/>
          </w:tcPr>
          <w:p w14:paraId="19FB3F7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255,449.9</w:t>
            </w:r>
          </w:p>
        </w:tc>
        <w:tc>
          <w:tcPr>
            <w:tcW w:w="1287" w:type="pct"/>
            <w:noWrap/>
            <w:hideMark/>
          </w:tcPr>
          <w:p w14:paraId="56BF3DF4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-12,7962.2</w:t>
            </w:r>
          </w:p>
        </w:tc>
        <w:tc>
          <w:tcPr>
            <w:tcW w:w="403" w:type="pct"/>
          </w:tcPr>
          <w:p w14:paraId="01B8A58B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23B36831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34B0D71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157AB6AE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41186B57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60DACAD6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noWrap/>
            <w:hideMark/>
          </w:tcPr>
          <w:p w14:paraId="44A4529A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195,813.5</w:t>
            </w:r>
          </w:p>
        </w:tc>
        <w:tc>
          <w:tcPr>
            <w:tcW w:w="1287" w:type="pct"/>
            <w:noWrap/>
            <w:hideMark/>
          </w:tcPr>
          <w:p w14:paraId="6F01B622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-98,794.7</w:t>
            </w:r>
          </w:p>
        </w:tc>
        <w:tc>
          <w:tcPr>
            <w:tcW w:w="403" w:type="pct"/>
          </w:tcPr>
          <w:p w14:paraId="2FB52E8A" w14:textId="4E62CD51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</w:t>
            </w:r>
            <w:r w:rsidR="00DD5789">
              <w:rPr>
                <w:rFonts w:ascii="Cambria" w:hAnsi="Cambria"/>
                <w:sz w:val="20"/>
                <w:szCs w:val="20"/>
              </w:rPr>
              <w:t>78</w:t>
            </w:r>
          </w:p>
        </w:tc>
        <w:tc>
          <w:tcPr>
            <w:tcW w:w="525" w:type="pct"/>
          </w:tcPr>
          <w:p w14:paraId="54C72518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0.13</w:t>
            </w:r>
          </w:p>
        </w:tc>
        <w:tc>
          <w:tcPr>
            <w:tcW w:w="462" w:type="pct"/>
            <w:noWrap/>
            <w:hideMark/>
          </w:tcPr>
          <w:p w14:paraId="76E6F610" w14:textId="429D9B4C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</w:t>
            </w:r>
            <w:r w:rsidR="00BC42E0">
              <w:rPr>
                <w:rFonts w:ascii="Cambria" w:hAnsi="Cambria"/>
                <w:sz w:val="20"/>
                <w:szCs w:val="20"/>
              </w:rPr>
              <w:t>0</w:t>
            </w:r>
            <w:r w:rsidRPr="002913EB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4A4CFC" w:rsidRPr="00D00084" w14:paraId="17D01B9E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 w:val="restart"/>
            <w:noWrap/>
            <w:hideMark/>
          </w:tcPr>
          <w:p w14:paraId="548D66C9" w14:textId="4FE586B8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Underweight</w:t>
            </w:r>
            <w:r>
              <w:rPr>
                <w:rFonts w:ascii="Cambria" w:hAnsi="Cambria"/>
                <w:sz w:val="20"/>
                <w:szCs w:val="20"/>
              </w:rPr>
              <w:t>ing</w:t>
            </w:r>
          </w:p>
        </w:tc>
        <w:tc>
          <w:tcPr>
            <w:tcW w:w="584" w:type="pct"/>
            <w:noWrap/>
            <w:hideMark/>
          </w:tcPr>
          <w:p w14:paraId="4FAD05E2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1</w:t>
            </w:r>
          </w:p>
        </w:tc>
        <w:tc>
          <w:tcPr>
            <w:tcW w:w="684" w:type="pct"/>
            <w:noWrap/>
            <w:hideMark/>
          </w:tcPr>
          <w:p w14:paraId="3BC79947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1,273,867</w:t>
            </w:r>
          </w:p>
        </w:tc>
        <w:tc>
          <w:tcPr>
            <w:tcW w:w="1287" w:type="pct"/>
            <w:noWrap/>
            <w:hideMark/>
          </w:tcPr>
          <w:p w14:paraId="734FFB07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-63,8175.1</w:t>
            </w:r>
          </w:p>
        </w:tc>
        <w:tc>
          <w:tcPr>
            <w:tcW w:w="403" w:type="pct"/>
          </w:tcPr>
          <w:p w14:paraId="5E5E2B42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5DAE7C9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09EE58C4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3B652A2A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25C029A8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580AE0C8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2</w:t>
            </w:r>
          </w:p>
        </w:tc>
        <w:tc>
          <w:tcPr>
            <w:tcW w:w="684" w:type="pct"/>
            <w:noWrap/>
            <w:hideMark/>
          </w:tcPr>
          <w:p w14:paraId="345E2ED3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888,429.5</w:t>
            </w:r>
          </w:p>
        </w:tc>
        <w:tc>
          <w:tcPr>
            <w:tcW w:w="1287" w:type="pct"/>
            <w:noWrap/>
            <w:hideMark/>
          </w:tcPr>
          <w:p w14:paraId="1C372A26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-445,299.2</w:t>
            </w:r>
          </w:p>
        </w:tc>
        <w:tc>
          <w:tcPr>
            <w:tcW w:w="403" w:type="pct"/>
          </w:tcPr>
          <w:p w14:paraId="0B58B0F3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525" w:type="pct"/>
          </w:tcPr>
          <w:p w14:paraId="6489162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462" w:type="pct"/>
            <w:noWrap/>
            <w:hideMark/>
          </w:tcPr>
          <w:p w14:paraId="7A23684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4A4CFC" w:rsidRPr="00D00084" w14:paraId="4AA796FA" w14:textId="77777777" w:rsidTr="007655D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5" w:type="pct"/>
            <w:vMerge/>
            <w:noWrap/>
            <w:hideMark/>
          </w:tcPr>
          <w:p w14:paraId="330F5F28" w14:textId="77777777" w:rsidR="004A4CFC" w:rsidRPr="002913EB" w:rsidRDefault="004A4CFC" w:rsidP="007655D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84" w:type="pct"/>
            <w:noWrap/>
            <w:hideMark/>
          </w:tcPr>
          <w:p w14:paraId="6FC24976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Model 3</w:t>
            </w:r>
          </w:p>
        </w:tc>
        <w:tc>
          <w:tcPr>
            <w:tcW w:w="684" w:type="pct"/>
            <w:noWrap/>
            <w:hideMark/>
          </w:tcPr>
          <w:p w14:paraId="0B891C19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305,648.2</w:t>
            </w:r>
          </w:p>
        </w:tc>
        <w:tc>
          <w:tcPr>
            <w:tcW w:w="1287" w:type="pct"/>
            <w:noWrap/>
            <w:hideMark/>
          </w:tcPr>
          <w:p w14:paraId="260791AC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-158,276.3</w:t>
            </w:r>
          </w:p>
        </w:tc>
        <w:tc>
          <w:tcPr>
            <w:tcW w:w="403" w:type="pct"/>
          </w:tcPr>
          <w:p w14:paraId="0B6C3BDE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0.81</w:t>
            </w:r>
          </w:p>
        </w:tc>
        <w:tc>
          <w:tcPr>
            <w:tcW w:w="525" w:type="pct"/>
          </w:tcPr>
          <w:p w14:paraId="524178F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0.02</w:t>
            </w:r>
          </w:p>
        </w:tc>
        <w:tc>
          <w:tcPr>
            <w:tcW w:w="462" w:type="pct"/>
            <w:noWrap/>
            <w:hideMark/>
          </w:tcPr>
          <w:p w14:paraId="34CA2985" w14:textId="77777777" w:rsidR="004A4CFC" w:rsidRPr="002913EB" w:rsidRDefault="004A4CFC" w:rsidP="007655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0"/>
                <w:szCs w:val="20"/>
              </w:rPr>
            </w:pPr>
            <w:r w:rsidRPr="002913EB">
              <w:rPr>
                <w:rFonts w:ascii="Cambria" w:hAnsi="Cambria"/>
                <w:sz w:val="20"/>
                <w:szCs w:val="20"/>
              </w:rPr>
              <w:t>0.01</w:t>
            </w:r>
          </w:p>
        </w:tc>
      </w:tr>
    </w:tbl>
    <w:p w14:paraId="6F6226A4" w14:textId="77777777" w:rsidR="00CA6F95" w:rsidRDefault="00CA6F95" w:rsidP="00694596">
      <w:pPr>
        <w:rPr>
          <w:rFonts w:ascii="Cambria" w:hAnsi="Cambria"/>
          <w:b/>
          <w:bCs/>
          <w:noProof/>
          <w:color w:val="000000" w:themeColor="text1"/>
          <w:sz w:val="24"/>
          <w:szCs w:val="24"/>
        </w:rPr>
      </w:pPr>
    </w:p>
    <w:p w14:paraId="4EC6F294" w14:textId="77777777" w:rsidR="00CA6F95" w:rsidRDefault="00CA6F95" w:rsidP="00694596">
      <w:pPr>
        <w:rPr>
          <w:rFonts w:ascii="Cambria" w:hAnsi="Cambria"/>
          <w:b/>
          <w:bCs/>
          <w:noProof/>
          <w:color w:val="000000" w:themeColor="text1"/>
          <w:sz w:val="24"/>
          <w:szCs w:val="24"/>
        </w:rPr>
      </w:pPr>
    </w:p>
    <w:p w14:paraId="464FF22B" w14:textId="001A1ABF" w:rsidR="00B66F6E" w:rsidRDefault="002913EB" w:rsidP="00694596">
      <w:pPr>
        <w:rPr>
          <w:rFonts w:ascii="Cambria" w:hAnsi="Cambria"/>
          <w:b/>
          <w:bCs/>
          <w:color w:val="000000" w:themeColor="text1"/>
          <w:sz w:val="24"/>
          <w:szCs w:val="24"/>
        </w:rPr>
      </w:pPr>
      <w:r>
        <w:rPr>
          <w:rFonts w:ascii="Cambria" w:hAnsi="Cambria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95D15A8" wp14:editId="0D07D598">
            <wp:extent cx="5943600" cy="3724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C3C2E" w14:textId="3CCC88DB" w:rsidR="00B1036F" w:rsidRDefault="005378E1" w:rsidP="005846E9">
      <w:pPr>
        <w:pStyle w:val="Caption"/>
        <w:spacing w:line="360" w:lineRule="auto"/>
        <w:rPr>
          <w:rFonts w:ascii="Cambria" w:hAnsi="Cambria"/>
          <w:i w:val="0"/>
          <w:iCs w:val="0"/>
          <w:color w:val="auto"/>
          <w:sz w:val="22"/>
          <w:szCs w:val="22"/>
        </w:rPr>
      </w:pP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lastRenderedPageBreak/>
        <w:t xml:space="preserve">SI </w:t>
      </w:r>
      <w:r w:rsidR="00E85609" w:rsidRPr="00A86F27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Figure </w:t>
      </w:r>
      <w:r w:rsidR="00E85609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>2</w:t>
      </w:r>
      <w:r w:rsidR="00E85609" w:rsidRPr="00A86F27"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: </w:t>
      </w:r>
      <w:r w:rsidRPr="005378E1">
        <w:rPr>
          <w:rFonts w:ascii="Cambria" w:hAnsi="Cambria"/>
          <w:i w:val="0"/>
          <w:iCs w:val="0"/>
          <w:color w:val="auto"/>
          <w:sz w:val="22"/>
          <w:szCs w:val="22"/>
        </w:rPr>
        <w:t>Scatter plot showing</w:t>
      </w:r>
      <w:r>
        <w:rPr>
          <w:rFonts w:ascii="Cambria" w:hAnsi="Cambria"/>
          <w:b/>
          <w:bCs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Cambria" w:hAnsi="Cambria"/>
          <w:i w:val="0"/>
          <w:iCs w:val="0"/>
          <w:color w:val="auto"/>
          <w:sz w:val="22"/>
          <w:szCs w:val="22"/>
        </w:rPr>
        <w:t>c</w:t>
      </w:r>
      <w:r w:rsidR="007E5A51" w:rsidRP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omparison </w:t>
      </w:r>
      <w:r>
        <w:rPr>
          <w:rFonts w:ascii="Cambria" w:hAnsi="Cambria"/>
          <w:i w:val="0"/>
          <w:iCs w:val="0"/>
          <w:color w:val="auto"/>
          <w:sz w:val="22"/>
          <w:szCs w:val="22"/>
        </w:rPr>
        <w:t>between</w:t>
      </w:r>
      <w:r w:rsidR="007E5A51" w:rsidRP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crude </w:t>
      </w:r>
      <w:r w:rsidR="007E5A51">
        <w:rPr>
          <w:rFonts w:ascii="Cambria" w:hAnsi="Cambria"/>
          <w:i w:val="0"/>
          <w:iCs w:val="0"/>
          <w:color w:val="auto"/>
          <w:sz w:val="22"/>
          <w:szCs w:val="22"/>
        </w:rPr>
        <w:t>and</w:t>
      </w:r>
      <w:r w:rsidR="007E5A51" w:rsidRP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modelled estimate</w:t>
      </w:r>
      <w:r w:rsid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of percentage of women of child-bearing age receiving </w:t>
      </w:r>
      <w:r w:rsidR="000C3AA8">
        <w:rPr>
          <w:rFonts w:ascii="Cambria" w:hAnsi="Cambria"/>
          <w:i w:val="0"/>
          <w:iCs w:val="0"/>
          <w:color w:val="auto"/>
          <w:sz w:val="22"/>
          <w:szCs w:val="22"/>
        </w:rPr>
        <w:t>family planning commodities</w:t>
      </w:r>
      <w:r w:rsid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f</w:t>
      </w:r>
      <w:r w:rsidR="008C0AF2">
        <w:rPr>
          <w:rFonts w:ascii="Cambria" w:hAnsi="Cambria"/>
          <w:i w:val="0"/>
          <w:iCs w:val="0"/>
          <w:color w:val="auto"/>
          <w:sz w:val="22"/>
          <w:szCs w:val="22"/>
        </w:rPr>
        <w:t>rom the</w:t>
      </w:r>
      <w:r w:rsid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</w:t>
      </w:r>
      <w:r w:rsidR="008C0AF2">
        <w:rPr>
          <w:rFonts w:ascii="Cambria" w:hAnsi="Cambria"/>
          <w:i w:val="0"/>
          <w:iCs w:val="0"/>
          <w:color w:val="auto"/>
          <w:sz w:val="22"/>
          <w:szCs w:val="22"/>
        </w:rPr>
        <w:t>20% subset data (n=</w:t>
      </w:r>
      <w:r w:rsidR="00824AE2">
        <w:rPr>
          <w:rFonts w:ascii="Cambria" w:hAnsi="Cambria"/>
          <w:i w:val="0"/>
          <w:iCs w:val="0"/>
          <w:color w:val="auto"/>
          <w:sz w:val="22"/>
          <w:szCs w:val="22"/>
        </w:rPr>
        <w:t>2</w:t>
      </w:r>
      <w:r w:rsidR="004138F8">
        <w:rPr>
          <w:rFonts w:ascii="Cambria" w:hAnsi="Cambria"/>
          <w:i w:val="0"/>
          <w:iCs w:val="0"/>
          <w:color w:val="auto"/>
          <w:sz w:val="22"/>
          <w:szCs w:val="22"/>
        </w:rPr>
        <w:t>861</w:t>
      </w:r>
      <w:r w:rsidR="008C0AF2">
        <w:rPr>
          <w:rFonts w:ascii="Cambria" w:hAnsi="Cambria"/>
          <w:i w:val="0"/>
          <w:iCs w:val="0"/>
          <w:color w:val="auto"/>
          <w:sz w:val="22"/>
          <w:szCs w:val="22"/>
        </w:rPr>
        <w:t>)</w:t>
      </w:r>
      <w:r w:rsidR="007E5A51">
        <w:rPr>
          <w:rFonts w:ascii="Cambria" w:hAnsi="Cambria"/>
          <w:i w:val="0"/>
          <w:iCs w:val="0"/>
          <w:color w:val="auto"/>
          <w:sz w:val="22"/>
          <w:szCs w:val="22"/>
        </w:rPr>
        <w:t xml:space="preserve"> across the years</w:t>
      </w:r>
      <w:r w:rsidR="008C0AF2">
        <w:rPr>
          <w:rFonts w:ascii="Cambria" w:hAnsi="Cambria"/>
          <w:i w:val="0"/>
          <w:iCs w:val="0"/>
          <w:color w:val="auto"/>
          <w:sz w:val="22"/>
          <w:szCs w:val="22"/>
        </w:rPr>
        <w:t>.</w:t>
      </w:r>
    </w:p>
    <w:p w14:paraId="25C0DFC5" w14:textId="77777777" w:rsidR="00462FA7" w:rsidRPr="00462FA7" w:rsidRDefault="00462FA7" w:rsidP="00462FA7"/>
    <w:p w14:paraId="72BF5B6A" w14:textId="735554EA" w:rsidR="00B1036F" w:rsidRDefault="00B1036F" w:rsidP="00466DF9">
      <w:pPr>
        <w:pStyle w:val="Heading1"/>
        <w:numPr>
          <w:ilvl w:val="0"/>
          <w:numId w:val="8"/>
        </w:numPr>
        <w:rPr>
          <w:rFonts w:ascii="Cambria" w:hAnsi="Cambria"/>
          <w:b/>
          <w:bCs/>
          <w:color w:val="000000" w:themeColor="text1"/>
          <w:sz w:val="24"/>
          <w:szCs w:val="24"/>
          <w:lang w:val="en-GB"/>
        </w:rPr>
      </w:pPr>
      <w:bookmarkStart w:id="5" w:name="_Toc92451746"/>
      <w:r w:rsidRPr="00B1036F">
        <w:rPr>
          <w:rFonts w:ascii="Cambria" w:hAnsi="Cambria"/>
          <w:b/>
          <w:bCs/>
          <w:color w:val="000000" w:themeColor="text1"/>
          <w:sz w:val="24"/>
          <w:szCs w:val="24"/>
          <w:lang w:val="en-GB"/>
        </w:rPr>
        <w:t>References</w:t>
      </w:r>
      <w:bookmarkEnd w:id="5"/>
    </w:p>
    <w:p w14:paraId="2BA798BC" w14:textId="77777777" w:rsidR="00462FA7" w:rsidRPr="00462FA7" w:rsidRDefault="00462FA7" w:rsidP="00462FA7">
      <w:pPr>
        <w:rPr>
          <w:lang w:val="en-GB"/>
        </w:rPr>
      </w:pPr>
    </w:p>
    <w:p w14:paraId="3C0EEB24" w14:textId="77777777" w:rsidR="00414FCD" w:rsidRPr="00414FCD" w:rsidRDefault="00B1036F" w:rsidP="00414FCD">
      <w:pPr>
        <w:pStyle w:val="EndNoteBibliography"/>
        <w:spacing w:after="240"/>
        <w:ind w:left="360" w:hanging="360"/>
      </w:pPr>
      <w:r w:rsidRPr="00B71E7E">
        <w:rPr>
          <w:b/>
          <w:bCs/>
        </w:rPr>
        <w:fldChar w:fldCharType="begin"/>
      </w:r>
      <w:r w:rsidRPr="00B71E7E">
        <w:rPr>
          <w:b/>
          <w:bCs/>
        </w:rPr>
        <w:instrText xml:space="preserve"> ADDIN EN.REFLIST </w:instrText>
      </w:r>
      <w:r w:rsidRPr="00B71E7E">
        <w:rPr>
          <w:b/>
          <w:bCs/>
        </w:rPr>
        <w:fldChar w:fldCharType="separate"/>
      </w:r>
      <w:r w:rsidR="00414FCD" w:rsidRPr="00414FCD">
        <w:t>1.</w:t>
      </w:r>
      <w:r w:rsidR="00414FCD" w:rsidRPr="00414FCD">
        <w:tab/>
        <w:t>Health AIo, Welfare. Rural, regional and remote health: a guide to remoteness classifications. Canberra: Australian Institute of Health and Welfare. 2004.</w:t>
      </w:r>
    </w:p>
    <w:p w14:paraId="2ECAD9B6" w14:textId="77777777" w:rsidR="00414FCD" w:rsidRPr="00414FCD" w:rsidRDefault="00414FCD" w:rsidP="00414FCD">
      <w:pPr>
        <w:pStyle w:val="EndNoteBibliography"/>
        <w:spacing w:after="240"/>
        <w:ind w:left="360" w:hanging="360"/>
      </w:pPr>
      <w:r w:rsidRPr="00414FCD">
        <w:t>2.</w:t>
      </w:r>
      <w:r w:rsidRPr="00414FCD">
        <w:tab/>
        <w:t>Noor A, Alegana V, Yé Y, Arnold F. Defining remoteness in Kenya, Ghana and Madagascar for the evaluation of the phase 1 AMFm project. A report for Affordable Medicines Facility-malaria (AMFm), independent evaluation. Calverton, MD: ICF-Macro; 2012.</w:t>
      </w:r>
    </w:p>
    <w:p w14:paraId="493F7ED2" w14:textId="77777777" w:rsidR="00414FCD" w:rsidRPr="00414FCD" w:rsidRDefault="00414FCD" w:rsidP="00414FCD">
      <w:pPr>
        <w:pStyle w:val="EndNoteBibliography"/>
        <w:ind w:left="360" w:hanging="360"/>
      </w:pPr>
      <w:r w:rsidRPr="00414FCD">
        <w:t>3.</w:t>
      </w:r>
      <w:r w:rsidRPr="00414FCD">
        <w:tab/>
        <w:t>Ray N, Ebener S. AccessMod 3.0: computing geographic coverage and accessibility to health care services using anisotropic movement of patients. International journal of health geographics. 2008;7(1):1-17.</w:t>
      </w:r>
    </w:p>
    <w:p w14:paraId="30930468" w14:textId="48A0CA30" w:rsidR="006A3A2E" w:rsidRPr="006A3A2E" w:rsidRDefault="00B1036F" w:rsidP="00B71E7E">
      <w:pPr>
        <w:spacing w:line="360" w:lineRule="auto"/>
        <w:rPr>
          <w:b/>
          <w:bCs/>
        </w:rPr>
      </w:pPr>
      <w:r w:rsidRPr="00B71E7E">
        <w:rPr>
          <w:rFonts w:ascii="Cambria" w:hAnsi="Cambria"/>
          <w:b/>
          <w:bCs/>
        </w:rPr>
        <w:fldChar w:fldCharType="end"/>
      </w:r>
    </w:p>
    <w:sectPr w:rsidR="006A3A2E" w:rsidRPr="006A3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60CA9" w14:textId="77777777" w:rsidR="000A237B" w:rsidRDefault="000A237B" w:rsidP="003E6582">
      <w:pPr>
        <w:spacing w:after="0" w:line="240" w:lineRule="auto"/>
      </w:pPr>
      <w:r>
        <w:separator/>
      </w:r>
    </w:p>
  </w:endnote>
  <w:endnote w:type="continuationSeparator" w:id="0">
    <w:p w14:paraId="597AF0A9" w14:textId="77777777" w:rsidR="000A237B" w:rsidRDefault="000A237B" w:rsidP="003E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17B5A" w14:textId="77777777" w:rsidR="000A237B" w:rsidRDefault="000A237B" w:rsidP="003E6582">
      <w:pPr>
        <w:spacing w:after="0" w:line="240" w:lineRule="auto"/>
      </w:pPr>
      <w:r>
        <w:separator/>
      </w:r>
    </w:p>
  </w:footnote>
  <w:footnote w:type="continuationSeparator" w:id="0">
    <w:p w14:paraId="16CCE1E9" w14:textId="77777777" w:rsidR="000A237B" w:rsidRDefault="000A237B" w:rsidP="003E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2D38"/>
    <w:multiLevelType w:val="hybridMultilevel"/>
    <w:tmpl w:val="DFDE09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A03D44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8A93622"/>
    <w:multiLevelType w:val="hybridMultilevel"/>
    <w:tmpl w:val="99D629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34EE0"/>
    <w:multiLevelType w:val="hybridMultilevel"/>
    <w:tmpl w:val="862A97F8"/>
    <w:lvl w:ilvl="0" w:tplc="3E8616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B23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 Copy&lt;/Style&gt;&lt;LeftDelim&gt;{&lt;/LeftDelim&gt;&lt;RightDelim&gt;}&lt;/RightDelim&gt;&lt;FontName&gt;Cambria&lt;/FontName&gt;&lt;FontSize&gt;11&lt;/FontSize&gt;&lt;ReflistTitle&gt;&lt;/ReflistTitle&gt;&lt;StartingRefnum&gt;1&lt;/StartingRefnum&gt;&lt;FirstLineIndent&gt;0&lt;/FirstLineIndent&gt;&lt;HangingIndent&gt;36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fe9vzr0z2sflesd5xpt9f7rp9rs5pfezwx&quot;&gt;My EndNote Library&lt;record-ids&gt;&lt;item&gt;23&lt;/item&gt;&lt;item&gt;61&lt;/item&gt;&lt;item&gt;62&lt;/item&gt;&lt;/record-ids&gt;&lt;/item&gt;&lt;/Libraries&gt;"/>
  </w:docVars>
  <w:rsids>
    <w:rsidRoot w:val="003F545E"/>
    <w:rsid w:val="000A237B"/>
    <w:rsid w:val="000B7278"/>
    <w:rsid w:val="000C3AA8"/>
    <w:rsid w:val="000F0055"/>
    <w:rsid w:val="00143546"/>
    <w:rsid w:val="00176799"/>
    <w:rsid w:val="00190568"/>
    <w:rsid w:val="001A65F5"/>
    <w:rsid w:val="001D10AD"/>
    <w:rsid w:val="001F5B02"/>
    <w:rsid w:val="0022427C"/>
    <w:rsid w:val="00242EEA"/>
    <w:rsid w:val="002447A4"/>
    <w:rsid w:val="0025465F"/>
    <w:rsid w:val="0026610D"/>
    <w:rsid w:val="002913EB"/>
    <w:rsid w:val="002A0195"/>
    <w:rsid w:val="002A1DC6"/>
    <w:rsid w:val="002B11F9"/>
    <w:rsid w:val="002D6F0F"/>
    <w:rsid w:val="002F5E64"/>
    <w:rsid w:val="00325DAB"/>
    <w:rsid w:val="003561D1"/>
    <w:rsid w:val="00362794"/>
    <w:rsid w:val="00373912"/>
    <w:rsid w:val="00384730"/>
    <w:rsid w:val="003E6582"/>
    <w:rsid w:val="003F545E"/>
    <w:rsid w:val="004138F8"/>
    <w:rsid w:val="00414FCD"/>
    <w:rsid w:val="00421072"/>
    <w:rsid w:val="00462FA7"/>
    <w:rsid w:val="00463C1F"/>
    <w:rsid w:val="004669B8"/>
    <w:rsid w:val="00466DF9"/>
    <w:rsid w:val="00471FFC"/>
    <w:rsid w:val="00482A53"/>
    <w:rsid w:val="004841A2"/>
    <w:rsid w:val="00496D09"/>
    <w:rsid w:val="004A4CFC"/>
    <w:rsid w:val="004D326B"/>
    <w:rsid w:val="004E3FBB"/>
    <w:rsid w:val="00521B42"/>
    <w:rsid w:val="00522299"/>
    <w:rsid w:val="005378E1"/>
    <w:rsid w:val="00565A4B"/>
    <w:rsid w:val="00572460"/>
    <w:rsid w:val="005846E9"/>
    <w:rsid w:val="005B6072"/>
    <w:rsid w:val="005D2A05"/>
    <w:rsid w:val="00626CD4"/>
    <w:rsid w:val="00680ABC"/>
    <w:rsid w:val="00692041"/>
    <w:rsid w:val="00694596"/>
    <w:rsid w:val="006A3A2E"/>
    <w:rsid w:val="006E33EB"/>
    <w:rsid w:val="0071282A"/>
    <w:rsid w:val="00731780"/>
    <w:rsid w:val="00752191"/>
    <w:rsid w:val="007655DA"/>
    <w:rsid w:val="007868AC"/>
    <w:rsid w:val="007C21E5"/>
    <w:rsid w:val="007D012A"/>
    <w:rsid w:val="007E5A51"/>
    <w:rsid w:val="00800521"/>
    <w:rsid w:val="00824AE2"/>
    <w:rsid w:val="00852928"/>
    <w:rsid w:val="008579E7"/>
    <w:rsid w:val="008971BF"/>
    <w:rsid w:val="008A656D"/>
    <w:rsid w:val="008C0AF2"/>
    <w:rsid w:val="008D7F01"/>
    <w:rsid w:val="008E5757"/>
    <w:rsid w:val="00946B4C"/>
    <w:rsid w:val="009B5BBD"/>
    <w:rsid w:val="009C1C23"/>
    <w:rsid w:val="00A138AA"/>
    <w:rsid w:val="00A323FF"/>
    <w:rsid w:val="00A428E1"/>
    <w:rsid w:val="00A47EB4"/>
    <w:rsid w:val="00A6526E"/>
    <w:rsid w:val="00A87615"/>
    <w:rsid w:val="00AA357F"/>
    <w:rsid w:val="00AB6EB3"/>
    <w:rsid w:val="00AD7584"/>
    <w:rsid w:val="00AE2325"/>
    <w:rsid w:val="00AE7F01"/>
    <w:rsid w:val="00B1036F"/>
    <w:rsid w:val="00B63F05"/>
    <w:rsid w:val="00B66F6E"/>
    <w:rsid w:val="00B71E7E"/>
    <w:rsid w:val="00B87787"/>
    <w:rsid w:val="00BB5AF1"/>
    <w:rsid w:val="00BC42E0"/>
    <w:rsid w:val="00BF5AE7"/>
    <w:rsid w:val="00C17DC1"/>
    <w:rsid w:val="00C5443B"/>
    <w:rsid w:val="00C54C17"/>
    <w:rsid w:val="00CA6F95"/>
    <w:rsid w:val="00CC1190"/>
    <w:rsid w:val="00D00084"/>
    <w:rsid w:val="00D5032B"/>
    <w:rsid w:val="00D82912"/>
    <w:rsid w:val="00DA738C"/>
    <w:rsid w:val="00DB0A2D"/>
    <w:rsid w:val="00DD5789"/>
    <w:rsid w:val="00DE0044"/>
    <w:rsid w:val="00E043C5"/>
    <w:rsid w:val="00E36998"/>
    <w:rsid w:val="00E8502E"/>
    <w:rsid w:val="00E85609"/>
    <w:rsid w:val="00E85DBF"/>
    <w:rsid w:val="00E94F87"/>
    <w:rsid w:val="00F00AEB"/>
    <w:rsid w:val="00F1324D"/>
    <w:rsid w:val="00F530C2"/>
    <w:rsid w:val="00F96925"/>
    <w:rsid w:val="00F972CC"/>
    <w:rsid w:val="00FB2E74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9181"/>
  <w15:chartTrackingRefBased/>
  <w15:docId w15:val="{78B3F840-AF4C-46DE-A2E7-482C959D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072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072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072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072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072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072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072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072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072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5BBD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9B5B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E575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table" w:styleId="ListTable6Colorful">
    <w:name w:val="List Table 6 Colorful"/>
    <w:basedOn w:val="TableNormal"/>
    <w:uiPriority w:val="51"/>
    <w:rsid w:val="00D0008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D0008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E6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82"/>
  </w:style>
  <w:style w:type="paragraph" w:styleId="Footer">
    <w:name w:val="footer"/>
    <w:basedOn w:val="Normal"/>
    <w:link w:val="FooterChar"/>
    <w:uiPriority w:val="99"/>
    <w:unhideWhenUsed/>
    <w:rsid w:val="003E6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82"/>
  </w:style>
  <w:style w:type="character" w:customStyle="1" w:styleId="Heading1Char">
    <w:name w:val="Heading 1 Char"/>
    <w:basedOn w:val="DefaultParagraphFont"/>
    <w:link w:val="Heading1"/>
    <w:uiPriority w:val="9"/>
    <w:rsid w:val="00421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0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0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0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0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0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0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0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0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B1036F"/>
    <w:pPr>
      <w:spacing w:after="0"/>
      <w:jc w:val="center"/>
    </w:pPr>
    <w:rPr>
      <w:rFonts w:ascii="Cambria" w:hAnsi="Cambria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1036F"/>
    <w:rPr>
      <w:rFonts w:ascii="Cambria" w:hAnsi="Cambria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1036F"/>
    <w:pPr>
      <w:spacing w:line="240" w:lineRule="auto"/>
    </w:pPr>
    <w:rPr>
      <w:rFonts w:ascii="Cambria" w:hAnsi="Cambria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1036F"/>
    <w:rPr>
      <w:rFonts w:ascii="Cambria" w:hAnsi="Cambria" w:cs="Calibri"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176799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7679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176799"/>
    <w:rPr>
      <w:color w:val="0563C1" w:themeColor="hyperlink"/>
      <w:u w:val="single"/>
    </w:rPr>
  </w:style>
  <w:style w:type="table" w:styleId="GridTable4">
    <w:name w:val="Grid Table 4"/>
    <w:basedOn w:val="TableNormal"/>
    <w:uiPriority w:val="49"/>
    <w:rsid w:val="008D7F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8D7F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8D7F0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4D326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FF4D1-E54B-4925-9040-DDA46F32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Anitah Cherono</dc:creator>
  <cp:keywords/>
  <dc:description/>
  <cp:lastModifiedBy>Janette Karimi</cp:lastModifiedBy>
  <cp:revision>2</cp:revision>
  <dcterms:created xsi:type="dcterms:W3CDTF">2024-02-13T07:31:00Z</dcterms:created>
  <dcterms:modified xsi:type="dcterms:W3CDTF">2024-02-13T07:31:00Z</dcterms:modified>
</cp:coreProperties>
</file>