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F4E9C" w14:textId="2F7D0EA8" w:rsidR="0063428C" w:rsidRDefault="0063428C" w:rsidP="0063428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Supplementary Figures</w:t>
      </w:r>
    </w:p>
    <w:p w14:paraId="103EFD38" w14:textId="5516A2C5" w:rsidR="0063428C" w:rsidRDefault="0063428C" w:rsidP="0063428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Development of feedforward and feedback connections between</w:t>
      </w:r>
      <w:r w:rsidRPr="000B6F3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the d</w:t>
      </w:r>
      <w:r w:rsidRPr="000B6F3A">
        <w:rPr>
          <w:rFonts w:ascii="Arial" w:hAnsi="Arial" w:cs="Arial"/>
          <w:b/>
          <w:bCs/>
          <w:sz w:val="24"/>
          <w:szCs w:val="24"/>
        </w:rPr>
        <w:t xml:space="preserve">orsal </w:t>
      </w:r>
      <w:r>
        <w:rPr>
          <w:rFonts w:ascii="Arial" w:hAnsi="Arial" w:cs="Arial"/>
          <w:b/>
          <w:bCs/>
          <w:sz w:val="24"/>
          <w:szCs w:val="24"/>
        </w:rPr>
        <w:t>l</w:t>
      </w:r>
      <w:r w:rsidRPr="000B6F3A">
        <w:rPr>
          <w:rFonts w:ascii="Arial" w:hAnsi="Arial" w:cs="Arial"/>
          <w:b/>
          <w:bCs/>
          <w:sz w:val="24"/>
          <w:szCs w:val="24"/>
        </w:rPr>
        <w:t xml:space="preserve">ateral </w:t>
      </w:r>
      <w:r>
        <w:rPr>
          <w:rFonts w:ascii="Arial" w:hAnsi="Arial" w:cs="Arial"/>
          <w:b/>
          <w:bCs/>
          <w:sz w:val="24"/>
          <w:szCs w:val="24"/>
        </w:rPr>
        <w:t>g</w:t>
      </w:r>
      <w:r w:rsidRPr="000B6F3A">
        <w:rPr>
          <w:rFonts w:ascii="Arial" w:hAnsi="Arial" w:cs="Arial"/>
          <w:b/>
          <w:bCs/>
          <w:sz w:val="24"/>
          <w:szCs w:val="24"/>
        </w:rPr>
        <w:t xml:space="preserve">eniculate </w:t>
      </w:r>
      <w:r>
        <w:rPr>
          <w:rFonts w:ascii="Arial" w:hAnsi="Arial" w:cs="Arial"/>
          <w:b/>
          <w:bCs/>
          <w:sz w:val="24"/>
          <w:szCs w:val="24"/>
        </w:rPr>
        <w:t>n</w:t>
      </w:r>
      <w:r w:rsidRPr="000B6F3A">
        <w:rPr>
          <w:rFonts w:ascii="Arial" w:hAnsi="Arial" w:cs="Arial"/>
          <w:b/>
          <w:bCs/>
          <w:sz w:val="24"/>
          <w:szCs w:val="24"/>
        </w:rPr>
        <w:t>ucleus</w:t>
      </w:r>
      <w:r>
        <w:rPr>
          <w:rFonts w:ascii="Arial" w:hAnsi="Arial" w:cs="Arial"/>
          <w:b/>
          <w:bCs/>
          <w:sz w:val="24"/>
          <w:szCs w:val="24"/>
        </w:rPr>
        <w:t xml:space="preserve"> and the t</w:t>
      </w:r>
      <w:r w:rsidRPr="000B6F3A">
        <w:rPr>
          <w:rFonts w:ascii="Arial" w:hAnsi="Arial" w:cs="Arial"/>
          <w:b/>
          <w:bCs/>
          <w:sz w:val="24"/>
          <w:szCs w:val="24"/>
        </w:rPr>
        <w:t xml:space="preserve">halamic </w:t>
      </w:r>
      <w:r>
        <w:rPr>
          <w:rFonts w:ascii="Arial" w:hAnsi="Arial" w:cs="Arial"/>
          <w:b/>
          <w:bCs/>
          <w:sz w:val="24"/>
          <w:szCs w:val="24"/>
        </w:rPr>
        <w:t>r</w:t>
      </w:r>
      <w:r w:rsidRPr="000B6F3A">
        <w:rPr>
          <w:rFonts w:ascii="Arial" w:hAnsi="Arial" w:cs="Arial"/>
          <w:b/>
          <w:bCs/>
          <w:sz w:val="24"/>
          <w:szCs w:val="24"/>
        </w:rPr>
        <w:t xml:space="preserve">eticular </w:t>
      </w:r>
      <w:r>
        <w:rPr>
          <w:rFonts w:ascii="Arial" w:hAnsi="Arial" w:cs="Arial"/>
          <w:b/>
          <w:bCs/>
          <w:sz w:val="24"/>
          <w:szCs w:val="24"/>
        </w:rPr>
        <w:t>n</w:t>
      </w:r>
      <w:r w:rsidRPr="000B6F3A">
        <w:rPr>
          <w:rFonts w:ascii="Arial" w:hAnsi="Arial" w:cs="Arial"/>
          <w:b/>
          <w:bCs/>
          <w:sz w:val="24"/>
          <w:szCs w:val="24"/>
        </w:rPr>
        <w:t xml:space="preserve">ucleus </w:t>
      </w:r>
    </w:p>
    <w:p w14:paraId="6A68A881" w14:textId="77777777" w:rsidR="0063428C" w:rsidRDefault="0063428C" w:rsidP="0063428C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Peter W Campbell, </w:t>
      </w:r>
      <w:r w:rsidRPr="000B6F3A">
        <w:rPr>
          <w:rFonts w:ascii="Arial" w:hAnsi="Arial" w:cs="Arial"/>
          <w:color w:val="000000" w:themeColor="text1"/>
          <w:sz w:val="24"/>
          <w:szCs w:val="24"/>
        </w:rPr>
        <w:t xml:space="preserve">Gubbi </w:t>
      </w:r>
      <w:proofErr w:type="spellStart"/>
      <w:r w:rsidRPr="000B6F3A">
        <w:rPr>
          <w:rFonts w:ascii="Arial" w:hAnsi="Arial" w:cs="Arial"/>
          <w:color w:val="000000" w:themeColor="text1"/>
          <w:sz w:val="24"/>
          <w:szCs w:val="24"/>
        </w:rPr>
        <w:t>Govindaiah</w:t>
      </w:r>
      <w:proofErr w:type="spellEnd"/>
      <w:r w:rsidRPr="000B6F3A">
        <w:rPr>
          <w:rFonts w:ascii="Arial" w:hAnsi="Arial" w:cs="Arial"/>
          <w:color w:val="000000" w:themeColor="text1"/>
          <w:sz w:val="24"/>
          <w:szCs w:val="24"/>
        </w:rPr>
        <w:t>, and William Guido</w:t>
      </w:r>
    </w:p>
    <w:p w14:paraId="4C1546F6" w14:textId="77777777" w:rsidR="0063428C" w:rsidRDefault="0063428C" w:rsidP="0063428C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B6F3A">
        <w:rPr>
          <w:rFonts w:ascii="Arial" w:hAnsi="Arial" w:cs="Arial"/>
          <w:color w:val="000000" w:themeColor="text1"/>
          <w:sz w:val="24"/>
          <w:szCs w:val="24"/>
        </w:rPr>
        <w:t>Department of Anatomical Sciences and Neurobiology, University of Louisville School of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B6F3A">
        <w:rPr>
          <w:rFonts w:ascii="Arial" w:hAnsi="Arial" w:cs="Arial"/>
          <w:color w:val="000000" w:themeColor="text1"/>
          <w:sz w:val="24"/>
          <w:szCs w:val="24"/>
        </w:rPr>
        <w:t>Medicine, Louisville, KY, 40292 USA</w:t>
      </w:r>
    </w:p>
    <w:p w14:paraId="67502CFF" w14:textId="77777777" w:rsidR="0063428C" w:rsidRDefault="0063428C" w:rsidP="0063428C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9DB267B" w14:textId="77777777" w:rsidR="0063428C" w:rsidRDefault="0063428C" w:rsidP="0063428C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375FE91E" w14:textId="77777777" w:rsidR="0063428C" w:rsidRDefault="0063428C" w:rsidP="0063428C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57EF2B8" w14:textId="77777777" w:rsidR="0063428C" w:rsidRDefault="0063428C" w:rsidP="0063428C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2328058" w14:textId="77777777" w:rsidR="0063428C" w:rsidRDefault="0063428C" w:rsidP="0063428C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26E18C0" w14:textId="77777777" w:rsidR="0063428C" w:rsidRDefault="0063428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12181C90" w14:textId="3C8C91EF" w:rsidR="0063428C" w:rsidRDefault="0063428C" w:rsidP="0063428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Figure 1. </w:t>
      </w:r>
      <w:r>
        <w:rPr>
          <w:rFonts w:ascii="Arial" w:hAnsi="Arial" w:cs="Arial"/>
          <w:sz w:val="24"/>
          <w:szCs w:val="24"/>
        </w:rPr>
        <w:t xml:space="preserve">ChR2 expression in developing feedforward and feedback thalamic circuits. </w:t>
      </w:r>
      <w:r w:rsidRPr="008276B8">
        <w:rPr>
          <w:rFonts w:ascii="Arial" w:hAnsi="Arial" w:cs="Arial"/>
          <w:b/>
          <w:bCs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Left: wiring diagram illustrating somatic blue light stimulation of thalamocortical (TC) neurons comprising the feedforward circuit to TRN. Right: Examples of intrinsic ChR2-EYFP expression in TC neurons and their projections in P5 CRH-Cre x Ai32 mice. There was robust EYFP in TC neurons of </w:t>
      </w:r>
      <w:proofErr w:type="spellStart"/>
      <w:r>
        <w:rPr>
          <w:rFonts w:ascii="Arial" w:hAnsi="Arial" w:cs="Arial"/>
          <w:sz w:val="24"/>
          <w:szCs w:val="24"/>
        </w:rPr>
        <w:t>dLGN</w:t>
      </w:r>
      <w:proofErr w:type="spellEnd"/>
      <w:r>
        <w:rPr>
          <w:rFonts w:ascii="Arial" w:hAnsi="Arial" w:cs="Arial"/>
          <w:sz w:val="24"/>
          <w:szCs w:val="24"/>
        </w:rPr>
        <w:t xml:space="preserve"> (outlined) </w:t>
      </w:r>
      <w:proofErr w:type="spellStart"/>
      <w:r>
        <w:rPr>
          <w:rFonts w:ascii="Arial" w:hAnsi="Arial" w:cs="Arial"/>
          <w:sz w:val="24"/>
          <w:szCs w:val="24"/>
        </w:rPr>
        <w:t>ventrobasal</w:t>
      </w:r>
      <w:proofErr w:type="spellEnd"/>
      <w:r>
        <w:rPr>
          <w:rFonts w:ascii="Arial" w:hAnsi="Arial" w:cs="Arial"/>
          <w:sz w:val="24"/>
          <w:szCs w:val="24"/>
        </w:rPr>
        <w:t xml:space="preserve"> complex (VB) as well as in their projections coursing through TRN (outlined) and terminating in a barrel like arrangement of the somatosensory cortex. </w:t>
      </w:r>
      <w:r w:rsidRPr="000B0547">
        <w:rPr>
          <w:rFonts w:ascii="Arial" w:hAnsi="Arial" w:cs="Arial"/>
          <w:b/>
          <w:bCs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. Left: Coronal slice through the thalamus of a P4 CRH-Cre x Ai32 mice showing ChR2-EYFP expression in </w:t>
      </w:r>
      <w:proofErr w:type="spellStart"/>
      <w:r>
        <w:rPr>
          <w:rFonts w:ascii="Arial" w:hAnsi="Arial" w:cs="Arial"/>
          <w:sz w:val="24"/>
          <w:szCs w:val="24"/>
        </w:rPr>
        <w:t>dLGN</w:t>
      </w:r>
      <w:proofErr w:type="spellEnd"/>
      <w:r>
        <w:rPr>
          <w:rFonts w:ascii="Arial" w:hAnsi="Arial" w:cs="Arial"/>
          <w:sz w:val="24"/>
          <w:szCs w:val="24"/>
        </w:rPr>
        <w:t xml:space="preserve"> and VB along with the location of biocytin filled TC neurons (white).  Middle: Z-stack confocal images of biocytin filled TC neurons from adjacent slice. Right: Voltage responses and spikes evoked by blue light stimulation (blue trace, 1ms pulse) of TC neurons. </w:t>
      </w:r>
      <w:r w:rsidRPr="000B0547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. Left: wiring diagram illustrating somatic blue light stimulation of TRN neurons comprising feedback circuit to </w:t>
      </w:r>
      <w:proofErr w:type="spellStart"/>
      <w:r>
        <w:rPr>
          <w:rFonts w:ascii="Arial" w:hAnsi="Arial" w:cs="Arial"/>
          <w:sz w:val="24"/>
          <w:szCs w:val="24"/>
        </w:rPr>
        <w:t>dLGN</w:t>
      </w:r>
      <w:proofErr w:type="spellEnd"/>
      <w:r>
        <w:rPr>
          <w:rFonts w:ascii="Arial" w:hAnsi="Arial" w:cs="Arial"/>
          <w:sz w:val="24"/>
          <w:szCs w:val="24"/>
        </w:rPr>
        <w:t xml:space="preserve">. Right: Examples of intrinsic ChR2-EYFP expression in TRN neurons and their projections to </w:t>
      </w:r>
      <w:proofErr w:type="spellStart"/>
      <w:r>
        <w:rPr>
          <w:rFonts w:ascii="Arial" w:hAnsi="Arial" w:cs="Arial"/>
          <w:sz w:val="24"/>
          <w:szCs w:val="24"/>
        </w:rPr>
        <w:t>dLGN</w:t>
      </w:r>
      <w:proofErr w:type="spellEnd"/>
      <w:r>
        <w:rPr>
          <w:rFonts w:ascii="Arial" w:hAnsi="Arial" w:cs="Arial"/>
          <w:sz w:val="24"/>
          <w:szCs w:val="24"/>
        </w:rPr>
        <w:t xml:space="preserve"> at P2 and P6 of SST-Cre x Ai32 mice. There was robust EYFP in TRN neurons (outlined) as well as their terminal fields in </w:t>
      </w:r>
      <w:proofErr w:type="spellStart"/>
      <w:r>
        <w:rPr>
          <w:rFonts w:ascii="Arial" w:hAnsi="Arial" w:cs="Arial"/>
          <w:sz w:val="24"/>
          <w:szCs w:val="24"/>
        </w:rPr>
        <w:t>dLGN</w:t>
      </w:r>
      <w:proofErr w:type="spellEnd"/>
      <w:r>
        <w:rPr>
          <w:rFonts w:ascii="Arial" w:hAnsi="Arial" w:cs="Arial"/>
          <w:sz w:val="24"/>
          <w:szCs w:val="24"/>
        </w:rPr>
        <w:t xml:space="preserve"> (outlined). </w:t>
      </w:r>
      <w:r>
        <w:rPr>
          <w:rFonts w:ascii="Arial" w:hAnsi="Arial" w:cs="Arial"/>
          <w:b/>
          <w:bCs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. Left: Coronal slice through the thalamus of a P2 SST-Cre x Ai32 mice showing ChR2-EYFP expression in TRN along with the location of biocytin filled neurons (white).  Middle: Z-stack confocal images of biocytin filled TRN neurons from adjacent slice. Right: Voltages responses and spikes evoked by blue light stimulation (blue trace, 1ms pulse) of TRN neuron.</w:t>
      </w:r>
    </w:p>
    <w:p w14:paraId="420C6B2C" w14:textId="77777777" w:rsidR="0063428C" w:rsidRDefault="0063428C" w:rsidP="0063428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3A654D2" wp14:editId="3F10CBB7">
            <wp:extent cx="5943600" cy="7691755"/>
            <wp:effectExtent l="0" t="0" r="0" b="0"/>
            <wp:docPr id="333745243" name="Picture 18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745243" name="Picture 18" descr="A screenshot of a computer scree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84CED" w14:textId="77777777" w:rsidR="0063428C" w:rsidRDefault="0063428C" w:rsidP="0063428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2F2C070D" w14:textId="77777777" w:rsidR="0063428C" w:rsidRDefault="0063428C" w:rsidP="0063428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717473A" w14:textId="77777777" w:rsidR="0063428C" w:rsidRDefault="0063428C" w:rsidP="0063428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Figure 2. </w:t>
      </w:r>
      <w:r w:rsidRPr="00AE21E1">
        <w:rPr>
          <w:rFonts w:ascii="Arial" w:hAnsi="Arial" w:cs="Arial"/>
          <w:sz w:val="24"/>
          <w:szCs w:val="24"/>
        </w:rPr>
        <w:t>Development of TRN-me</w:t>
      </w:r>
      <w:r>
        <w:rPr>
          <w:rFonts w:ascii="Arial" w:hAnsi="Arial" w:cs="Arial"/>
          <w:sz w:val="24"/>
          <w:szCs w:val="24"/>
        </w:rPr>
        <w:t>di</w:t>
      </w:r>
      <w:r w:rsidRPr="00AE21E1">
        <w:rPr>
          <w:rFonts w:ascii="Arial" w:hAnsi="Arial" w:cs="Arial"/>
          <w:sz w:val="24"/>
          <w:szCs w:val="24"/>
        </w:rPr>
        <w:t xml:space="preserve">ated inhibition of </w:t>
      </w:r>
      <w:proofErr w:type="spellStart"/>
      <w:r w:rsidRPr="00AE21E1">
        <w:rPr>
          <w:rFonts w:ascii="Arial" w:hAnsi="Arial" w:cs="Arial"/>
          <w:sz w:val="24"/>
          <w:szCs w:val="24"/>
        </w:rPr>
        <w:t>dLGN</w:t>
      </w:r>
      <w:proofErr w:type="spellEnd"/>
      <w:r w:rsidRPr="00AE21E1">
        <w:rPr>
          <w:rFonts w:ascii="Arial" w:hAnsi="Arial" w:cs="Arial"/>
          <w:sz w:val="24"/>
          <w:szCs w:val="24"/>
        </w:rPr>
        <w:t xml:space="preserve"> activity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Examples of voltage responses obtained from SST-Cre x ChR2 WT (top) and SST-Cre x ChR2 mice crossed on a Math5</w:t>
      </w:r>
      <w:r w:rsidRPr="006E00E8">
        <w:rPr>
          <w:rFonts w:ascii="Arial" w:hAnsi="Arial" w:cs="Arial"/>
          <w:sz w:val="24"/>
          <w:szCs w:val="24"/>
          <w:vertAlign w:val="superscript"/>
        </w:rPr>
        <w:t>-/-</w:t>
      </w:r>
      <w:r>
        <w:rPr>
          <w:rFonts w:ascii="Arial" w:hAnsi="Arial" w:cs="Arial"/>
          <w:sz w:val="24"/>
          <w:szCs w:val="24"/>
        </w:rPr>
        <w:t xml:space="preserve"> background (bottom). Responses are organized by postnatal week and stimulation frequency (10Hz and 50Hz). All other conventions same as Figure 10A.</w:t>
      </w:r>
    </w:p>
    <w:p w14:paraId="63145D2D" w14:textId="77777777" w:rsidR="0063428C" w:rsidRDefault="0063428C" w:rsidP="0063428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F4770C6" w14:textId="77777777" w:rsidR="0063428C" w:rsidRDefault="0063428C" w:rsidP="0063428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263F3A4" wp14:editId="4F868AFB">
            <wp:extent cx="5943600" cy="7691755"/>
            <wp:effectExtent l="0" t="0" r="0" b="0"/>
            <wp:docPr id="99716206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162069" name="Picture 99716206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08214" w14:textId="708F939B" w:rsidR="00CC3BDB" w:rsidRDefault="00CC3BDB" w:rsidP="0063428C"/>
    <w:sectPr w:rsidR="00CC3B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28C"/>
    <w:rsid w:val="00553FAE"/>
    <w:rsid w:val="0063428C"/>
    <w:rsid w:val="007E7D09"/>
    <w:rsid w:val="00CC3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5934ED"/>
  <w15:chartTrackingRefBased/>
  <w15:docId w15:val="{27B34D8B-01CF-1944-965B-386665E38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28C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428C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28C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28C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428C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428C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428C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428C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428C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428C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2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42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2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42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42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42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42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42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42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42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42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28C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42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428C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42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428C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42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2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2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42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3428C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63428C"/>
    <w:pPr>
      <w:widowControl w:val="0"/>
      <w:autoSpaceDE w:val="0"/>
      <w:autoSpaceDN w:val="0"/>
      <w:spacing w:after="0" w:line="240" w:lineRule="auto"/>
      <w:ind w:left="960" w:hanging="724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63428C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Guido, William</dc:creator>
  <cp:keywords/>
  <dc:description/>
  <cp:lastModifiedBy>Guido, William</cp:lastModifiedBy>
  <cp:revision>1</cp:revision>
  <dcterms:created xsi:type="dcterms:W3CDTF">2024-03-04T18:57:00Z</dcterms:created>
  <dcterms:modified xsi:type="dcterms:W3CDTF">2024-03-04T19:01:00Z</dcterms:modified>
</cp:coreProperties>
</file>