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/>
        </w:rPr>
      </w:pPr>
      <w:r>
        <w:rPr>
          <w:rFonts w:hint="default" w:ascii="Arial Narrow Regular" w:hAnsi="Arial Narrow Regular" w:cs="Arial Narrow Regular"/>
          <w:b/>
          <w:bCs/>
          <w:sz w:val="28"/>
          <w:szCs w:val="28"/>
          <w:lang w:val="en-US"/>
        </w:rPr>
        <w:t>Additional file</w:t>
      </w:r>
    </w:p>
    <w:p>
      <w:pPr>
        <w:spacing w:line="360" w:lineRule="auto"/>
        <w:rPr>
          <w:rFonts w:hint="default" w:ascii="Arial Narrow Regular" w:hAnsi="Arial Narrow Regular" w:cs="Arial Narrow Regular"/>
          <w:b/>
          <w:bCs/>
          <w:sz w:val="22"/>
          <w:szCs w:val="22"/>
          <w:lang w:val="en-US"/>
        </w:rPr>
      </w:pPr>
      <w:r>
        <w:rPr>
          <w:rFonts w:hint="default" w:ascii="Arial Narrow Regular" w:hAnsi="Arial Narrow Regular" w:cs="Arial Narrow Regular"/>
          <w:b/>
          <w:bCs/>
          <w:sz w:val="22"/>
          <w:szCs w:val="22"/>
          <w:lang w:val="en-US"/>
        </w:rPr>
        <w:t>Contents</w:t>
      </w:r>
    </w:p>
    <w:p/>
    <w:p>
      <w:pPr>
        <w:pStyle w:val="15"/>
        <w:tabs>
          <w:tab w:val="right" w:leader="dot" w:pos="14678"/>
        </w:tabs>
        <w:ind w:left="0" w:leftChars="0" w:firstLine="0" w:firstLineChars="0"/>
      </w:pPr>
      <w:r>
        <w:fldChar w:fldCharType="begin"/>
      </w:r>
      <w:r>
        <w:instrText xml:space="preserve">TOC \o "1-9" \h \u </w:instrText>
      </w:r>
      <w:r>
        <w:fldChar w:fldCharType="separate"/>
      </w:r>
      <w:r>
        <w:fldChar w:fldCharType="begin"/>
      </w:r>
      <w:r>
        <w:instrText xml:space="preserve"> HYPERLINK \l _Toc2126840384 </w:instrText>
      </w:r>
      <w:r>
        <w:fldChar w:fldCharType="separate"/>
      </w:r>
      <w:r>
        <w:t>Methods</w:t>
      </w:r>
      <w:r>
        <w:tab/>
      </w:r>
      <w:r>
        <w:fldChar w:fldCharType="begin"/>
      </w:r>
      <w:r>
        <w:instrText xml:space="preserve"> PAGEREF _Toc2126840384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15"/>
        <w:tabs>
          <w:tab w:val="right" w:leader="dot" w:pos="14678"/>
        </w:tabs>
        <w:ind w:left="0" w:leftChars="0" w:firstLine="0" w:firstLineChars="0"/>
      </w:pPr>
      <w:r>
        <w:fldChar w:fldCharType="begin"/>
      </w:r>
      <w:r>
        <w:instrText xml:space="preserve"> HYPERLINK \l _Toc941029573 </w:instrText>
      </w:r>
      <w:r>
        <w:fldChar w:fldCharType="separate"/>
      </w:r>
      <w:r>
        <w:t>Results</w:t>
      </w:r>
      <w:r>
        <w:tab/>
      </w:r>
      <w:r>
        <w:fldChar w:fldCharType="begin"/>
      </w:r>
      <w:r>
        <w:instrText xml:space="preserve"> PAGEREF _Toc941029573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15"/>
        <w:tabs>
          <w:tab w:val="right" w:leader="dot" w:pos="14678"/>
        </w:tabs>
        <w:ind w:left="0" w:leftChars="0" w:firstLine="0" w:firstLineChars="0"/>
      </w:pPr>
      <w:r>
        <w:fldChar w:fldCharType="begin"/>
      </w:r>
      <w:r>
        <w:instrText xml:space="preserve"> HYPERLINK \l _Toc1814456903 </w:instrText>
      </w:r>
      <w:r>
        <w:fldChar w:fldCharType="separate"/>
      </w:r>
      <w:r>
        <w:rPr>
          <w:rFonts w:hint="default"/>
          <w:lang w:val="en-US"/>
        </w:rPr>
        <w:t>Tables</w:t>
      </w:r>
      <w:r>
        <w:tab/>
      </w:r>
      <w:r>
        <w:fldChar w:fldCharType="begin"/>
      </w:r>
      <w:r>
        <w:instrText xml:space="preserve"> PAGEREF _Toc1814456903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>
      <w:pPr>
        <w:pStyle w:val="8"/>
        <w:tabs>
          <w:tab w:val="right" w:leader="dot" w:pos="14678"/>
        </w:tabs>
        <w:ind w:left="0" w:leftChars="0" w:firstLine="210" w:firstLineChars="100"/>
      </w:pPr>
      <w:r>
        <w:fldChar w:fldCharType="begin"/>
      </w:r>
      <w:r>
        <w:instrText xml:space="preserve"> HYPERLINK \l _Toc1309381321 </w:instrText>
      </w:r>
      <w:r>
        <w:fldChar w:fldCharType="separate"/>
      </w:r>
      <w:r>
        <w:t>Table</w:t>
      </w:r>
      <w:r>
        <w:rPr>
          <w:rFonts w:hint="default"/>
          <w:lang w:val="en-US"/>
        </w:rPr>
        <w:t xml:space="preserve"> 1.</w:t>
      </w:r>
      <w:r>
        <w:t xml:space="preserve"> </w:t>
      </w:r>
      <w:r>
        <w:rPr>
          <w:rFonts w:hint="default"/>
        </w:rPr>
        <w:t>Assessment of MBD</w:t>
      </w:r>
      <w:r>
        <w:rPr>
          <w:rFonts w:hint="default"/>
          <w:lang w:val="en-US"/>
        </w:rPr>
        <w:t xml:space="preserve"> </w:t>
      </w:r>
      <w:r>
        <w:rPr>
          <w:rFonts w:hint="default"/>
        </w:rPr>
        <w:t>conditions, NSCH 2016-2021</w:t>
      </w:r>
      <w:r>
        <w:tab/>
      </w:r>
      <w:r>
        <w:fldChar w:fldCharType="begin"/>
      </w:r>
      <w:r>
        <w:instrText xml:space="preserve"> PAGEREF _Toc1309381321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>
      <w:pPr>
        <w:pStyle w:val="8"/>
        <w:tabs>
          <w:tab w:val="right" w:leader="dot" w:pos="14678"/>
        </w:tabs>
        <w:ind w:left="0" w:leftChars="0" w:firstLine="210" w:firstLineChars="100"/>
      </w:pPr>
      <w:r>
        <w:fldChar w:fldCharType="begin"/>
      </w:r>
      <w:r>
        <w:instrText xml:space="preserve"> HYPERLINK \l _Toc1506931238 </w:instrText>
      </w:r>
      <w:r>
        <w:fldChar w:fldCharType="separate"/>
      </w:r>
      <w:r>
        <w:t>Table</w:t>
      </w:r>
      <w:r>
        <w:rPr>
          <w:rFonts w:hint="default"/>
          <w:lang w:val="en-US"/>
        </w:rPr>
        <w:t xml:space="preserve"> 2.</w:t>
      </w:r>
      <w:r>
        <w:t xml:space="preserve"> </w:t>
      </w:r>
      <w:r>
        <w:rPr>
          <w:rFonts w:hint="default"/>
        </w:rPr>
        <w:t>Assessment of 24-HMB guidelines</w:t>
      </w:r>
      <w:r>
        <w:rPr>
          <w:rFonts w:hint="default"/>
          <w:lang w:val="en-US"/>
        </w:rPr>
        <w:t>,</w:t>
      </w:r>
      <w:r>
        <w:rPr>
          <w:rFonts w:hint="default"/>
        </w:rPr>
        <w:t xml:space="preserve"> NSCH 2016-2021</w:t>
      </w:r>
      <w:r>
        <w:tab/>
      </w:r>
      <w:r>
        <w:fldChar w:fldCharType="begin"/>
      </w:r>
      <w:r>
        <w:instrText xml:space="preserve"> PAGEREF _Toc1506931238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8"/>
        <w:tabs>
          <w:tab w:val="right" w:leader="dot" w:pos="14678"/>
        </w:tabs>
        <w:ind w:left="0" w:leftChars="0" w:firstLine="210" w:firstLineChars="100"/>
      </w:pPr>
      <w:r>
        <w:fldChar w:fldCharType="begin"/>
      </w:r>
      <w:r>
        <w:instrText xml:space="preserve"> HYPERLINK \l _Toc1718667995 </w:instrText>
      </w:r>
      <w:r>
        <w:fldChar w:fldCharType="separate"/>
      </w:r>
      <w:r>
        <w:rPr>
          <w:rFonts w:asciiTheme="minorHAnsi" w:hAnsiTheme="minorHAnsi" w:cstheme="minorBidi"/>
        </w:rPr>
        <w:t>Table</w:t>
      </w:r>
      <w:r>
        <w:rPr>
          <w:rFonts w:hint="default" w:asciiTheme="minorHAnsi" w:hAnsiTheme="minorHAnsi" w:cstheme="minorBidi"/>
          <w:lang w:val="en-US"/>
        </w:rPr>
        <w:t xml:space="preserve"> 3.</w:t>
      </w:r>
      <w:r>
        <w:rPr>
          <w:rFonts w:asciiTheme="minorHAnsi" w:hAnsiTheme="minorHAnsi" w:cstheme="minorBidi"/>
        </w:rPr>
        <w:t xml:space="preserve"> </w:t>
      </w:r>
      <w:r>
        <w:rPr>
          <w:rFonts w:hint="default" w:asciiTheme="minorHAnsi" w:hAnsiTheme="minorHAnsi" w:cstheme="minorBidi"/>
        </w:rPr>
        <w:t>Assessment of sociodemographic characteristics,</w:t>
      </w:r>
      <w:r>
        <w:rPr>
          <w:rFonts w:hint="default" w:asciiTheme="minorHAnsi" w:hAnsiTheme="minorHAnsi" w:cstheme="minorBidi"/>
          <w:lang w:val="en-US"/>
        </w:rPr>
        <w:t xml:space="preserve"> </w:t>
      </w:r>
      <w:r>
        <w:rPr>
          <w:rFonts w:hint="default" w:asciiTheme="minorHAnsi" w:hAnsiTheme="minorHAnsi" w:cstheme="minorBidi"/>
        </w:rPr>
        <w:t>NSCH 2016-2021</w:t>
      </w:r>
      <w:r>
        <w:tab/>
      </w:r>
      <w:r>
        <w:fldChar w:fldCharType="begin"/>
      </w:r>
      <w:r>
        <w:instrText xml:space="preserve"> PAGEREF _Toc1718667995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8"/>
        <w:tabs>
          <w:tab w:val="right" w:leader="dot" w:pos="14678"/>
        </w:tabs>
        <w:ind w:left="0" w:leftChars="0" w:firstLine="210" w:firstLineChars="100"/>
      </w:pPr>
      <w:r>
        <w:fldChar w:fldCharType="begin"/>
      </w:r>
      <w:r>
        <w:instrText xml:space="preserve"> HYPERLINK \l _Toc1997939815 </w:instrText>
      </w:r>
      <w:r>
        <w:fldChar w:fldCharType="separate"/>
      </w:r>
      <w:r>
        <w:rPr>
          <w:rFonts w:asciiTheme="minorHAnsi" w:hAnsiTheme="minorHAnsi" w:cstheme="minorBidi"/>
        </w:rPr>
        <w:t>Table</w:t>
      </w:r>
      <w:r>
        <w:rPr>
          <w:rFonts w:hint="default" w:asciiTheme="minorHAnsi" w:hAnsiTheme="minorHAnsi" w:cstheme="minorBidi"/>
          <w:lang w:val="en-US"/>
        </w:rPr>
        <w:t xml:space="preserve"> 4. Weighted logistic regression models of 24 HMB guidelines adjusted for sociodemographic factors (Model 1), NSCH 2016-2021</w:t>
      </w:r>
      <w:r>
        <w:tab/>
      </w:r>
      <w:r>
        <w:fldChar w:fldCharType="begin"/>
      </w:r>
      <w:r>
        <w:instrText xml:space="preserve"> PAGEREF _Toc1997939815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>
      <w:pPr>
        <w:pStyle w:val="8"/>
        <w:tabs>
          <w:tab w:val="right" w:leader="dot" w:pos="14678"/>
        </w:tabs>
        <w:ind w:left="0" w:leftChars="0" w:firstLine="210" w:firstLineChars="100"/>
      </w:pPr>
      <w:r>
        <w:fldChar w:fldCharType="begin"/>
      </w:r>
      <w:r>
        <w:instrText xml:space="preserve"> HYPERLINK \l _Toc1320166213 </w:instrText>
      </w:r>
      <w:r>
        <w:fldChar w:fldCharType="separate"/>
      </w:r>
      <w:r>
        <w:rPr>
          <w:rFonts w:asciiTheme="minorHAnsi" w:hAnsiTheme="minorHAnsi" w:cstheme="minorBidi"/>
        </w:rPr>
        <w:t>Table</w:t>
      </w:r>
      <w:r>
        <w:rPr>
          <w:rFonts w:hint="default" w:asciiTheme="minorHAnsi" w:hAnsiTheme="minorHAnsi" w:cstheme="minorBidi"/>
          <w:lang w:val="en-US"/>
        </w:rPr>
        <w:t xml:space="preserve"> 5. Weighted logistic regression of 24-HMB guidelines among 10- 17 years’ participants with MBD conditions, adjusted for sociodempgraphic and BMI characteristics, NSCH 2016-2021</w:t>
      </w:r>
      <w:r>
        <w:tab/>
      </w:r>
      <w:r>
        <w:fldChar w:fldCharType="begin"/>
      </w:r>
      <w:r>
        <w:instrText xml:space="preserve"> PAGEREF _Toc1320166213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>
      <w:pPr>
        <w:pStyle w:val="8"/>
        <w:tabs>
          <w:tab w:val="right" w:leader="dot" w:pos="14678"/>
        </w:tabs>
        <w:ind w:left="0" w:leftChars="0" w:firstLine="210" w:firstLineChars="100"/>
      </w:pPr>
      <w:r>
        <w:fldChar w:fldCharType="begin"/>
      </w:r>
      <w:r>
        <w:instrText xml:space="preserve"> HYPERLINK \l _Toc232501087 </w:instrText>
      </w:r>
      <w:r>
        <w:fldChar w:fldCharType="separate"/>
      </w:r>
      <w:r>
        <w:rPr>
          <w:rFonts w:asciiTheme="minorHAnsi" w:hAnsiTheme="minorHAnsi" w:cstheme="minorBidi"/>
        </w:rPr>
        <w:t>Table</w:t>
      </w:r>
      <w:r>
        <w:rPr>
          <w:rFonts w:hint="default" w:asciiTheme="minorHAnsi" w:hAnsiTheme="minorHAnsi" w:cstheme="minorBidi"/>
          <w:lang w:val="en-US"/>
        </w:rPr>
        <w:t xml:space="preserve"> 6. Sample size for crude weighted counts in 24-HMB guidelines among youth with MBD conditions, NSCH 2016-2021</w:t>
      </w:r>
      <w:r>
        <w:tab/>
      </w:r>
      <w:r>
        <w:fldChar w:fldCharType="begin"/>
      </w:r>
      <w:r>
        <w:instrText xml:space="preserve"> PAGEREF _Toc232501087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>
      <w:pPr>
        <w:pStyle w:val="8"/>
        <w:tabs>
          <w:tab w:val="right" w:leader="dot" w:pos="14678"/>
        </w:tabs>
        <w:ind w:left="0" w:leftChars="0" w:firstLine="210" w:firstLineChars="100"/>
      </w:pPr>
      <w:r>
        <w:fldChar w:fldCharType="begin"/>
      </w:r>
      <w:r>
        <w:instrText xml:space="preserve"> HYPERLINK \l _Toc1373015316 </w:instrText>
      </w:r>
      <w:r>
        <w:fldChar w:fldCharType="separate"/>
      </w:r>
      <w:r>
        <w:rPr>
          <w:rFonts w:asciiTheme="minorHAnsi" w:hAnsiTheme="minorHAnsi" w:cstheme="minorBidi"/>
        </w:rPr>
        <w:t>Table</w:t>
      </w:r>
      <w:r>
        <w:rPr>
          <w:rFonts w:hint="default" w:asciiTheme="minorHAnsi" w:hAnsiTheme="minorHAnsi" w:cstheme="minorBidi"/>
          <w:lang w:val="en-US"/>
        </w:rPr>
        <w:t xml:space="preserve"> 7. Sample size for crude weighted participants among youth with MBD conditions, NSCH 2016-2021</w:t>
      </w:r>
      <w:r>
        <w:tab/>
      </w:r>
      <w:r>
        <w:fldChar w:fldCharType="begin"/>
      </w:r>
      <w:r>
        <w:instrText xml:space="preserve"> PAGEREF _Toc1373015316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>
      <w:pPr>
        <w:pStyle w:val="8"/>
        <w:tabs>
          <w:tab w:val="right" w:leader="dot" w:pos="14678"/>
        </w:tabs>
        <w:ind w:left="0" w:leftChars="0" w:firstLine="210" w:firstLineChars="100"/>
      </w:pPr>
      <w:r>
        <w:fldChar w:fldCharType="begin"/>
      </w:r>
      <w:r>
        <w:instrText xml:space="preserve"> HYPERLINK \l _Toc1556628997 </w:instrText>
      </w:r>
      <w:r>
        <w:fldChar w:fldCharType="separate"/>
      </w:r>
      <w:r>
        <w:rPr>
          <w:rFonts w:asciiTheme="minorHAnsi" w:hAnsiTheme="minorHAnsi" w:cstheme="minorBidi"/>
        </w:rPr>
        <w:t>Table</w:t>
      </w:r>
      <w:r>
        <w:rPr>
          <w:rFonts w:hint="default" w:asciiTheme="minorHAnsi" w:hAnsiTheme="minorHAnsi" w:cstheme="minorBidi"/>
          <w:lang w:val="en-US"/>
        </w:rPr>
        <w:t xml:space="preserve"> </w:t>
      </w:r>
      <w:r>
        <w:rPr>
          <w:rFonts w:hint="default" w:cstheme="minorBidi"/>
          <w:lang w:val="en-US"/>
        </w:rPr>
        <w:t>8</w:t>
      </w:r>
      <w:r>
        <w:rPr>
          <w:rFonts w:hint="default" w:asciiTheme="minorHAnsi" w:hAnsiTheme="minorHAnsi" w:cstheme="minorBidi"/>
          <w:lang w:val="en-US"/>
        </w:rPr>
        <w:t>. Prevalence of meeting 24-HMB guidelines for U.S. youth with MBD conditions (in the years 2016-2021)</w:t>
      </w:r>
      <w:r>
        <w:rPr>
          <w:rFonts w:hint="default" w:asciiTheme="minorHAnsi" w:hAnsiTheme="minorHAnsi" w:cstheme="minorBidi"/>
          <w:vertAlign w:val="baseline"/>
          <w:lang w:val="en-US"/>
        </w:rPr>
        <w:t xml:space="preserve"> a</w:t>
      </w:r>
      <w:r>
        <w:tab/>
      </w:r>
      <w:r>
        <w:fldChar w:fldCharType="begin"/>
      </w:r>
      <w:r>
        <w:instrText xml:space="preserve"> PAGEREF _Toc1556628997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>
      <w:pPr>
        <w:pStyle w:val="8"/>
        <w:tabs>
          <w:tab w:val="right" w:leader="dot" w:pos="14678"/>
        </w:tabs>
        <w:ind w:left="0" w:leftChars="0" w:firstLine="210" w:firstLineChars="100"/>
      </w:pPr>
      <w:r>
        <w:fldChar w:fldCharType="begin"/>
      </w:r>
      <w:r>
        <w:instrText xml:space="preserve"> HYPERLINK \l _Toc1617764825 </w:instrText>
      </w:r>
      <w:r>
        <w:fldChar w:fldCharType="separate"/>
      </w:r>
      <w:r>
        <w:rPr>
          <w:rFonts w:asciiTheme="minorHAnsi" w:hAnsiTheme="minorHAnsi" w:cstheme="minorBidi"/>
        </w:rPr>
        <w:t>Table</w:t>
      </w:r>
      <w:r>
        <w:rPr>
          <w:rFonts w:hint="default" w:asciiTheme="minorHAnsi" w:hAnsiTheme="minorHAnsi" w:cstheme="minorBidi"/>
          <w:lang w:val="en-US"/>
        </w:rPr>
        <w:t xml:space="preserve"> 9. Crude-weighted linear regression models of 24-HMB guidelines (continuous), adjusted for sociodemographic factors, NSCH 2016-2021</w:t>
      </w:r>
      <w:r>
        <w:tab/>
      </w:r>
      <w:r>
        <w:fldChar w:fldCharType="begin"/>
      </w:r>
      <w:r>
        <w:instrText xml:space="preserve"> PAGEREF _Toc1617764825 \h </w:instrText>
      </w:r>
      <w:r>
        <w:fldChar w:fldCharType="separate"/>
      </w:r>
      <w:r>
        <w:t>12</w:t>
      </w:r>
      <w:r>
        <w:fldChar w:fldCharType="end"/>
      </w:r>
      <w:r>
        <w:fldChar w:fldCharType="end"/>
      </w:r>
    </w:p>
    <w:p>
      <w:pPr>
        <w:pStyle w:val="8"/>
        <w:tabs>
          <w:tab w:val="right" w:leader="dot" w:pos="14678"/>
        </w:tabs>
        <w:ind w:left="0" w:leftChars="0" w:firstLine="210" w:firstLineChars="100"/>
      </w:pPr>
      <w:r>
        <w:fldChar w:fldCharType="begin"/>
      </w:r>
      <w:r>
        <w:instrText xml:space="preserve"> HYPERLINK \l _Toc482959108 </w:instrText>
      </w:r>
      <w:r>
        <w:fldChar w:fldCharType="separate"/>
      </w:r>
      <w:r>
        <w:rPr>
          <w:rFonts w:asciiTheme="minorHAnsi" w:hAnsiTheme="minorHAnsi" w:cstheme="minorBidi"/>
        </w:rPr>
        <w:t>Table</w:t>
      </w:r>
      <w:r>
        <w:rPr>
          <w:rFonts w:hint="default" w:asciiTheme="minorHAnsi" w:hAnsiTheme="minorHAnsi" w:cstheme="minorBidi"/>
          <w:lang w:val="en-US"/>
        </w:rPr>
        <w:t xml:space="preserve"> 10. Weighted% (95%CI) crude weighted trends in 24-HMB guidelines youth with anxiety, NSCH 2016-2021</w:t>
      </w:r>
      <w:r>
        <w:tab/>
      </w:r>
      <w:r>
        <w:fldChar w:fldCharType="begin"/>
      </w:r>
      <w:r>
        <w:instrText xml:space="preserve"> PAGEREF _Toc482959108 \h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>
      <w:pPr>
        <w:pStyle w:val="8"/>
        <w:tabs>
          <w:tab w:val="right" w:leader="dot" w:pos="14678"/>
        </w:tabs>
        <w:ind w:left="0" w:leftChars="0" w:firstLine="210" w:firstLineChars="100"/>
      </w:pPr>
      <w:r>
        <w:fldChar w:fldCharType="begin"/>
      </w:r>
      <w:r>
        <w:instrText xml:space="preserve"> HYPERLINK \l _Toc1753026143 </w:instrText>
      </w:r>
      <w:r>
        <w:fldChar w:fldCharType="separate"/>
      </w:r>
      <w:r>
        <w:rPr>
          <w:rFonts w:asciiTheme="minorHAnsi" w:hAnsiTheme="minorHAnsi" w:cstheme="minorBidi"/>
        </w:rPr>
        <w:t>Table</w:t>
      </w:r>
      <w:r>
        <w:rPr>
          <w:rFonts w:hint="default" w:asciiTheme="minorHAnsi" w:hAnsiTheme="minorHAnsi" w:cstheme="minorBidi"/>
          <w:lang w:val="en-US"/>
        </w:rPr>
        <w:t xml:space="preserve"> 11. Weighted% (95%CI) crude weighted trends in 24-HMB guidelines youth with depression, NSCH 2016-2021</w:t>
      </w:r>
      <w:r>
        <w:tab/>
      </w:r>
      <w:r>
        <w:fldChar w:fldCharType="begin"/>
      </w:r>
      <w:r>
        <w:instrText xml:space="preserve"> PAGEREF _Toc1753026143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>
      <w:pPr>
        <w:pStyle w:val="8"/>
        <w:tabs>
          <w:tab w:val="right" w:leader="dot" w:pos="14678"/>
        </w:tabs>
        <w:ind w:left="0" w:leftChars="0" w:firstLine="210" w:firstLineChars="100"/>
      </w:pPr>
      <w:r>
        <w:fldChar w:fldCharType="begin"/>
      </w:r>
      <w:r>
        <w:instrText xml:space="preserve"> HYPERLINK \l _Toc1782232208 </w:instrText>
      </w:r>
      <w:r>
        <w:fldChar w:fldCharType="separate"/>
      </w:r>
      <w:r>
        <w:rPr>
          <w:rFonts w:asciiTheme="minorHAnsi" w:hAnsiTheme="minorHAnsi" w:cstheme="minorBidi"/>
        </w:rPr>
        <w:t>Table</w:t>
      </w:r>
      <w:r>
        <w:rPr>
          <w:rFonts w:hint="default" w:asciiTheme="minorHAnsi" w:hAnsiTheme="minorHAnsi" w:cstheme="minorBidi"/>
          <w:lang w:val="en-US"/>
        </w:rPr>
        <w:t xml:space="preserve"> 12. Weighted% (95%CI) crude weighted trends in 24-HMB guidelines youth with comorbidity of anxiety and depression, NSCH 2016-2021</w:t>
      </w:r>
      <w:r>
        <w:tab/>
      </w:r>
      <w:r>
        <w:fldChar w:fldCharType="begin"/>
      </w:r>
      <w:r>
        <w:instrText xml:space="preserve"> PAGEREF _Toc1782232208 \h </w:instrText>
      </w:r>
      <w:r>
        <w:fldChar w:fldCharType="separate"/>
      </w:r>
      <w:r>
        <w:t>16</w:t>
      </w:r>
      <w:r>
        <w:fldChar w:fldCharType="end"/>
      </w:r>
      <w:r>
        <w:fldChar w:fldCharType="end"/>
      </w:r>
    </w:p>
    <w:p>
      <w:pPr>
        <w:pStyle w:val="8"/>
        <w:tabs>
          <w:tab w:val="right" w:leader="dot" w:pos="14678"/>
        </w:tabs>
        <w:ind w:left="0" w:leftChars="0" w:firstLine="210" w:firstLineChars="100"/>
      </w:pPr>
      <w:r>
        <w:fldChar w:fldCharType="begin"/>
      </w:r>
      <w:r>
        <w:instrText xml:space="preserve"> HYPERLINK \l _Toc874811500 </w:instrText>
      </w:r>
      <w:r>
        <w:fldChar w:fldCharType="separate"/>
      </w:r>
      <w:r>
        <w:rPr>
          <w:rFonts w:asciiTheme="minorHAnsi" w:hAnsiTheme="minorHAnsi" w:cstheme="minorBidi"/>
        </w:rPr>
        <w:t>Table</w:t>
      </w:r>
      <w:r>
        <w:rPr>
          <w:rFonts w:hint="default" w:asciiTheme="minorHAnsi" w:hAnsiTheme="minorHAnsi" w:cstheme="minorBidi"/>
          <w:lang w:val="en-US"/>
        </w:rPr>
        <w:t xml:space="preserve"> 13. Weighted% (95%CI) crude weighted trends in 24-HMB guidelines youth with ASD, NSCH 2016-2021</w:t>
      </w:r>
      <w:r>
        <w:tab/>
      </w:r>
      <w:r>
        <w:fldChar w:fldCharType="begin"/>
      </w:r>
      <w:r>
        <w:instrText xml:space="preserve"> PAGEREF _Toc874811500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>
      <w:pPr>
        <w:pStyle w:val="8"/>
        <w:tabs>
          <w:tab w:val="right" w:leader="dot" w:pos="14678"/>
        </w:tabs>
        <w:ind w:left="0" w:leftChars="0" w:firstLine="210" w:firstLineChars="100"/>
      </w:pPr>
      <w:r>
        <w:fldChar w:fldCharType="begin"/>
      </w:r>
      <w:r>
        <w:instrText xml:space="preserve"> HYPERLINK \l _Toc1283833138 </w:instrText>
      </w:r>
      <w:r>
        <w:fldChar w:fldCharType="separate"/>
      </w:r>
      <w:r>
        <w:rPr>
          <w:rFonts w:asciiTheme="minorHAnsi" w:hAnsiTheme="minorHAnsi" w:cstheme="minorBidi"/>
        </w:rPr>
        <w:t>Table</w:t>
      </w:r>
      <w:r>
        <w:rPr>
          <w:rFonts w:hint="default" w:asciiTheme="minorHAnsi" w:hAnsiTheme="minorHAnsi" w:cstheme="minorBidi"/>
          <w:lang w:val="en-US"/>
        </w:rPr>
        <w:t xml:space="preserve"> 14. Weighted% (95%CI) crude weighted trends in 24-HMB guidelines youth with ADHD, NSCH 2016-2021</w:t>
      </w:r>
      <w:r>
        <w:tab/>
      </w:r>
      <w:r>
        <w:fldChar w:fldCharType="begin"/>
      </w:r>
      <w:r>
        <w:instrText xml:space="preserve"> PAGEREF _Toc1283833138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>
      <w:pPr>
        <w:pStyle w:val="8"/>
        <w:tabs>
          <w:tab w:val="right" w:leader="dot" w:pos="14678"/>
        </w:tabs>
        <w:ind w:left="0" w:leftChars="0" w:firstLine="210" w:firstLineChars="100"/>
      </w:pPr>
      <w:r>
        <w:fldChar w:fldCharType="begin"/>
      </w:r>
      <w:r>
        <w:instrText xml:space="preserve"> HYPERLINK \l _Toc1615348957 </w:instrText>
      </w:r>
      <w:r>
        <w:fldChar w:fldCharType="separate"/>
      </w:r>
      <w:r>
        <w:rPr>
          <w:rFonts w:asciiTheme="minorHAnsi" w:hAnsiTheme="minorHAnsi" w:cstheme="minorBidi"/>
        </w:rPr>
        <w:t>Table</w:t>
      </w:r>
      <w:r>
        <w:rPr>
          <w:rFonts w:hint="default" w:asciiTheme="minorHAnsi" w:hAnsiTheme="minorHAnsi" w:cstheme="minorBidi"/>
          <w:lang w:val="en-US"/>
        </w:rPr>
        <w:t xml:space="preserve"> 15. Weighted% (95%CI) crude weighted trends in 24-HMB guidelines youth with comorbidity of ASD and ADHD, NSCH 2016-2021</w:t>
      </w:r>
      <w:r>
        <w:tab/>
      </w:r>
      <w:r>
        <w:fldChar w:fldCharType="begin"/>
      </w:r>
      <w:r>
        <w:instrText xml:space="preserve"> PAGEREF _Toc1615348957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>
      <w:pPr>
        <w:pStyle w:val="8"/>
        <w:tabs>
          <w:tab w:val="right" w:leader="dot" w:pos="14678"/>
        </w:tabs>
        <w:ind w:left="0" w:leftChars="0" w:firstLine="210" w:firstLineChars="100"/>
      </w:pPr>
      <w:r>
        <w:fldChar w:fldCharType="begin"/>
      </w:r>
      <w:r>
        <w:instrText xml:space="preserve"> HYPERLINK \l _Toc681654925 </w:instrText>
      </w:r>
      <w:r>
        <w:fldChar w:fldCharType="separate"/>
      </w:r>
      <w:r>
        <w:rPr>
          <w:rFonts w:asciiTheme="minorHAnsi" w:hAnsiTheme="minorHAnsi" w:cstheme="minorBidi"/>
        </w:rPr>
        <w:t>Table</w:t>
      </w:r>
      <w:r>
        <w:rPr>
          <w:rFonts w:hint="default" w:asciiTheme="minorHAnsi" w:hAnsiTheme="minorHAnsi" w:cstheme="minorBidi"/>
          <w:lang w:val="en-US"/>
        </w:rPr>
        <w:t xml:space="preserve"> 16. Weighted% (95%CI) crude weighted trends in 24-HMB guidelines youth with speech disorder, NSCH 2016-2021</w:t>
      </w:r>
      <w:r>
        <w:tab/>
      </w:r>
      <w:r>
        <w:fldChar w:fldCharType="begin"/>
      </w:r>
      <w:r>
        <w:instrText xml:space="preserve"> PAGEREF _Toc681654925 \h </w:instrText>
      </w:r>
      <w:r>
        <w:fldChar w:fldCharType="separate"/>
      </w:r>
      <w:r>
        <w:t>20</w:t>
      </w:r>
      <w:r>
        <w:fldChar w:fldCharType="end"/>
      </w:r>
      <w:r>
        <w:fldChar w:fldCharType="end"/>
      </w:r>
    </w:p>
    <w:p>
      <w:pPr>
        <w:pStyle w:val="8"/>
        <w:tabs>
          <w:tab w:val="right" w:leader="dot" w:pos="14678"/>
        </w:tabs>
        <w:ind w:left="0" w:leftChars="0" w:firstLine="210" w:firstLineChars="100"/>
      </w:pPr>
      <w:r>
        <w:fldChar w:fldCharType="begin"/>
      </w:r>
      <w:r>
        <w:instrText xml:space="preserve"> HYPERLINK \l _Toc1896551377 </w:instrText>
      </w:r>
      <w:r>
        <w:fldChar w:fldCharType="separate"/>
      </w:r>
      <w:r>
        <w:rPr>
          <w:rFonts w:asciiTheme="minorHAnsi" w:hAnsiTheme="minorHAnsi" w:cstheme="minorBidi"/>
        </w:rPr>
        <w:t>Table</w:t>
      </w:r>
      <w:r>
        <w:rPr>
          <w:rFonts w:hint="default" w:asciiTheme="minorHAnsi" w:hAnsiTheme="minorHAnsi" w:cstheme="minorBidi"/>
          <w:lang w:val="en-US"/>
        </w:rPr>
        <w:t xml:space="preserve"> 17. Weighted% (95%CI) crude weighted trends in 24-HMB guidelines youth with learning disability, NSCH 2016-2021</w:t>
      </w:r>
      <w:r>
        <w:tab/>
      </w:r>
      <w:r>
        <w:fldChar w:fldCharType="begin"/>
      </w:r>
      <w:r>
        <w:instrText xml:space="preserve"> PAGEREF _Toc1896551377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>
      <w:pPr>
        <w:pStyle w:val="8"/>
        <w:tabs>
          <w:tab w:val="right" w:leader="dot" w:pos="14678"/>
        </w:tabs>
        <w:ind w:left="0" w:leftChars="0" w:firstLine="210" w:firstLineChars="100"/>
      </w:pPr>
      <w:r>
        <w:fldChar w:fldCharType="begin"/>
      </w:r>
      <w:r>
        <w:instrText xml:space="preserve"> HYPERLINK \l _Toc239220818 </w:instrText>
      </w:r>
      <w:r>
        <w:fldChar w:fldCharType="separate"/>
      </w:r>
      <w:r>
        <w:rPr>
          <w:rFonts w:asciiTheme="minorHAnsi" w:hAnsiTheme="minorHAnsi" w:cstheme="minorBidi"/>
        </w:rPr>
        <w:t>Table</w:t>
      </w:r>
      <w:r>
        <w:rPr>
          <w:rFonts w:hint="default" w:asciiTheme="minorHAnsi" w:hAnsiTheme="minorHAnsi" w:cstheme="minorBidi"/>
          <w:lang w:val="en-US"/>
        </w:rPr>
        <w:t xml:space="preserve"> 18. Weighted% (95%CI) crude weighted trends in 24-HMB guidelines youth with developmental delay, NSCH 2016-2021</w:t>
      </w:r>
      <w:r>
        <w:tab/>
      </w:r>
      <w:r>
        <w:fldChar w:fldCharType="begin"/>
      </w:r>
      <w:r>
        <w:instrText xml:space="preserve"> PAGEREF _Toc239220818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>
      <w:pPr>
        <w:pStyle w:val="8"/>
        <w:tabs>
          <w:tab w:val="right" w:leader="dot" w:pos="14678"/>
        </w:tabs>
        <w:ind w:left="0" w:leftChars="0" w:firstLine="210" w:firstLineChars="100"/>
      </w:pPr>
      <w:r>
        <w:fldChar w:fldCharType="begin"/>
      </w:r>
      <w:r>
        <w:instrText xml:space="preserve"> HYPERLINK \l _Toc494900942 </w:instrText>
      </w:r>
      <w:r>
        <w:fldChar w:fldCharType="separate"/>
      </w:r>
      <w:r>
        <w:rPr>
          <w:rFonts w:asciiTheme="minorHAnsi" w:hAnsiTheme="minorHAnsi" w:cstheme="minorBidi"/>
        </w:rPr>
        <w:t>Table</w:t>
      </w:r>
      <w:r>
        <w:rPr>
          <w:rFonts w:hint="default" w:asciiTheme="minorHAnsi" w:hAnsiTheme="minorHAnsi" w:cstheme="minorBidi"/>
          <w:lang w:val="en-US"/>
        </w:rPr>
        <w:t xml:space="preserve"> 19. Weighted% (95%CI) crude weighted trends in 24-HMB guidelines youth with behavior problem, NSCH 2016-2021</w:t>
      </w:r>
      <w:r>
        <w:tab/>
      </w:r>
      <w:r>
        <w:fldChar w:fldCharType="begin"/>
      </w:r>
      <w:r>
        <w:instrText xml:space="preserve"> PAGEREF _Toc494900942 \h 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>
      <w:pPr>
        <w:pStyle w:val="8"/>
        <w:tabs>
          <w:tab w:val="right" w:leader="dot" w:pos="14678"/>
        </w:tabs>
        <w:ind w:left="0" w:leftChars="0" w:firstLine="210" w:firstLineChars="100"/>
      </w:pPr>
      <w:r>
        <w:fldChar w:fldCharType="begin"/>
      </w:r>
      <w:r>
        <w:instrText xml:space="preserve"> HYPERLINK \l _Toc595967363 </w:instrText>
      </w:r>
      <w:r>
        <w:fldChar w:fldCharType="separate"/>
      </w:r>
      <w:r>
        <w:rPr>
          <w:rFonts w:asciiTheme="minorHAnsi" w:hAnsiTheme="minorHAnsi" w:cstheme="minorBidi"/>
        </w:rPr>
        <w:t>Table</w:t>
      </w:r>
      <w:r>
        <w:rPr>
          <w:rFonts w:hint="default" w:asciiTheme="minorHAnsi" w:hAnsiTheme="minorHAnsi" w:cstheme="minorBidi"/>
          <w:lang w:val="en-US"/>
        </w:rPr>
        <w:t xml:space="preserve"> 20. Weighted% (95%CI) crude weighted trends in 24-HMB guidelines youth with brain injury, NSCH 2016-2021</w:t>
      </w:r>
      <w:r>
        <w:tab/>
      </w:r>
      <w:r>
        <w:fldChar w:fldCharType="begin"/>
      </w:r>
      <w:r>
        <w:instrText xml:space="preserve"> PAGEREF _Toc595967363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>
      <w:pPr>
        <w:pStyle w:val="15"/>
        <w:tabs>
          <w:tab w:val="right" w:leader="dot" w:pos="14678"/>
        </w:tabs>
        <w:ind w:left="0" w:leftChars="0" w:firstLine="0" w:firstLineChars="0"/>
      </w:pPr>
      <w:r>
        <w:fldChar w:fldCharType="begin"/>
      </w:r>
      <w:r>
        <w:instrText xml:space="preserve"> HYPERLINK \l _Toc559740333 </w:instrText>
      </w:r>
      <w:r>
        <w:fldChar w:fldCharType="separate"/>
      </w:r>
      <w:r>
        <w:rPr>
          <w:rFonts w:hint="default"/>
          <w:lang w:val="en-US"/>
        </w:rPr>
        <w:t>Figures</w:t>
      </w:r>
      <w:r>
        <w:tab/>
      </w:r>
      <w:r>
        <w:fldChar w:fldCharType="begin"/>
      </w:r>
      <w:r>
        <w:instrText xml:space="preserve"> PAGEREF _Toc559740333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>
      <w:pPr>
        <w:pStyle w:val="8"/>
        <w:tabs>
          <w:tab w:val="right" w:leader="dot" w:pos="14678"/>
        </w:tabs>
        <w:ind w:left="0" w:leftChars="0" w:firstLine="210" w:firstLineChars="100"/>
      </w:pPr>
      <w:r>
        <w:fldChar w:fldCharType="begin"/>
      </w:r>
      <w:r>
        <w:instrText xml:space="preserve"> HYPERLINK \l _Toc1577402871 </w:instrText>
      </w:r>
      <w:r>
        <w:fldChar w:fldCharType="separate"/>
      </w:r>
      <w:r>
        <w:rPr>
          <w:rFonts w:hint="default"/>
          <w:lang w:val="en-US"/>
        </w:rPr>
        <w:t>Figure 1. E</w:t>
      </w:r>
      <w:r>
        <w:rPr>
          <w:rFonts w:hint="default"/>
          <w:lang w:val="en-US" w:eastAsia="zh-CN"/>
        </w:rPr>
        <w:t>stimated prevalence of meeting 24-HMB according to disparities</w:t>
      </w:r>
      <w:r>
        <w:tab/>
      </w:r>
      <w:r>
        <w:fldChar w:fldCharType="begin"/>
      </w:r>
      <w:r>
        <w:instrText xml:space="preserve"> PAGEREF _Toc1577402871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14678"/>
        </w:tabs>
        <w:ind w:left="0" w:leftChars="0" w:firstLine="420" w:firstLineChars="200"/>
      </w:pPr>
      <w:r>
        <w:fldChar w:fldCharType="begin"/>
      </w:r>
      <w:r>
        <w:instrText xml:space="preserve"> HYPERLINK \l _Toc724430682 </w:instrText>
      </w:r>
      <w:r>
        <w:fldChar w:fldCharType="separate"/>
      </w:r>
      <w:r>
        <w:rPr>
          <w:rFonts w:hint="default"/>
          <w:lang w:val="en-US"/>
        </w:rPr>
        <w:t xml:space="preserve">Figure 1.1. </w:t>
      </w:r>
      <w:r>
        <w:rPr>
          <w:rFonts w:hint="default"/>
        </w:rPr>
        <w:t>Estimated prevalence of meeting 24-HMB guidelines according to age, NSCH 2016-2021</w:t>
      </w:r>
      <w:r>
        <w:tab/>
      </w:r>
      <w:r>
        <w:fldChar w:fldCharType="begin"/>
      </w:r>
      <w:r>
        <w:instrText xml:space="preserve"> PAGEREF _Toc724430682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14678"/>
        </w:tabs>
        <w:ind w:left="0" w:leftChars="0" w:firstLine="420" w:firstLineChars="200"/>
      </w:pPr>
      <w:r>
        <w:fldChar w:fldCharType="begin"/>
      </w:r>
      <w:r>
        <w:instrText xml:space="preserve"> HYPERLINK \l _Toc1421677531 </w:instrText>
      </w:r>
      <w:r>
        <w:fldChar w:fldCharType="separate"/>
      </w:r>
      <w:r>
        <w:rPr>
          <w:rFonts w:hint="default"/>
          <w:lang w:val="en-US"/>
        </w:rPr>
        <w:t xml:space="preserve">Figure 1.2. </w:t>
      </w:r>
      <w:r>
        <w:rPr>
          <w:rFonts w:hint="default"/>
        </w:rPr>
        <w:t xml:space="preserve">Estimated prevalence of meeting 24-HMB guidelines according to </w:t>
      </w:r>
      <w:r>
        <w:rPr>
          <w:rFonts w:hint="default"/>
          <w:lang w:val="en-US"/>
        </w:rPr>
        <w:t>sex</w:t>
      </w:r>
      <w:r>
        <w:rPr>
          <w:rFonts w:hint="default"/>
        </w:rPr>
        <w:t>, NSCH 2016-2021</w:t>
      </w:r>
      <w:r>
        <w:tab/>
      </w:r>
      <w:r>
        <w:fldChar w:fldCharType="begin"/>
      </w:r>
      <w:r>
        <w:instrText xml:space="preserve"> PAGEREF _Toc1421677531 \h </w:instrText>
      </w:r>
      <w:r>
        <w:fldChar w:fldCharType="separate"/>
      </w:r>
      <w:r>
        <w:t>26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14678"/>
        </w:tabs>
        <w:ind w:left="0" w:leftChars="0" w:firstLine="420" w:firstLineChars="200"/>
      </w:pPr>
      <w:r>
        <w:fldChar w:fldCharType="begin"/>
      </w:r>
      <w:r>
        <w:instrText xml:space="preserve"> HYPERLINK \l _Toc1231206995 </w:instrText>
      </w:r>
      <w:r>
        <w:fldChar w:fldCharType="separate"/>
      </w:r>
      <w:r>
        <w:rPr>
          <w:rFonts w:hint="default"/>
          <w:lang w:val="en-US"/>
        </w:rPr>
        <w:t xml:space="preserve">Figure 1.3. </w:t>
      </w:r>
      <w:r>
        <w:rPr>
          <w:rFonts w:hint="default"/>
        </w:rPr>
        <w:t xml:space="preserve">Estimated prevalence of meeting 24-HMB guidelines according to </w:t>
      </w:r>
      <w:r>
        <w:rPr>
          <w:rFonts w:hint="default"/>
          <w:lang w:val="en-US"/>
        </w:rPr>
        <w:t>ethnicity</w:t>
      </w:r>
      <w:r>
        <w:rPr>
          <w:rFonts w:hint="default"/>
        </w:rPr>
        <w:t>, NSCH 2016-2021</w:t>
      </w:r>
      <w:r>
        <w:tab/>
      </w:r>
      <w:r>
        <w:fldChar w:fldCharType="begin"/>
      </w:r>
      <w:r>
        <w:instrText xml:space="preserve"> PAGEREF _Toc1231206995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14678"/>
        </w:tabs>
        <w:ind w:left="0" w:leftChars="0" w:firstLine="420" w:firstLineChars="200"/>
      </w:pPr>
      <w:r>
        <w:fldChar w:fldCharType="begin"/>
      </w:r>
      <w:r>
        <w:instrText xml:space="preserve"> HYPERLINK \l _Toc1891026120 </w:instrText>
      </w:r>
      <w:r>
        <w:fldChar w:fldCharType="separate"/>
      </w:r>
      <w:r>
        <w:rPr>
          <w:rFonts w:hint="default"/>
          <w:lang w:val="en-US"/>
        </w:rPr>
        <w:t xml:space="preserve">Figure 1.4. </w:t>
      </w:r>
      <w:r>
        <w:rPr>
          <w:rFonts w:hint="default"/>
        </w:rPr>
        <w:t xml:space="preserve">Estimated prevalence of meeting 24-HMB guidelines according to </w:t>
      </w:r>
      <w:r>
        <w:rPr>
          <w:rFonts w:hint="default"/>
          <w:lang w:val="en-US"/>
        </w:rPr>
        <w:t>FPL</w:t>
      </w:r>
      <w:r>
        <w:rPr>
          <w:rFonts w:hint="default"/>
        </w:rPr>
        <w:t>, NSCH 2016-2021</w:t>
      </w:r>
      <w:r>
        <w:tab/>
      </w:r>
      <w:r>
        <w:fldChar w:fldCharType="begin"/>
      </w:r>
      <w:r>
        <w:instrText xml:space="preserve"> PAGEREF _Toc1891026120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>
      <w:pPr>
        <w:pStyle w:val="8"/>
        <w:tabs>
          <w:tab w:val="right" w:leader="dot" w:pos="14678"/>
        </w:tabs>
        <w:ind w:left="0" w:leftChars="0" w:firstLine="210" w:firstLineChars="100"/>
      </w:pPr>
      <w:r>
        <w:fldChar w:fldCharType="begin"/>
      </w:r>
      <w:r>
        <w:instrText xml:space="preserve"> HYPERLINK \l _Toc1865506887 </w:instrText>
      </w:r>
      <w:r>
        <w:fldChar w:fldCharType="separate"/>
      </w:r>
      <w:r>
        <w:rPr>
          <w:rFonts w:hint="default"/>
          <w:lang w:val="en-US"/>
        </w:rPr>
        <w:t>Figure 2. C</w:t>
      </w:r>
      <w:r>
        <w:t xml:space="preserve">rude weighted trends in 24-HMB guidelines among youth with </w:t>
      </w:r>
      <w:r>
        <w:rPr>
          <w:rFonts w:hint="default"/>
          <w:lang w:val="en-US"/>
        </w:rPr>
        <w:t>MBD conditions</w:t>
      </w:r>
      <w:r>
        <w:tab/>
      </w:r>
      <w:r>
        <w:fldChar w:fldCharType="begin"/>
      </w:r>
      <w:r>
        <w:instrText xml:space="preserve"> PAGEREF _Toc1865506887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14678"/>
        </w:tabs>
        <w:ind w:left="0" w:leftChars="0" w:firstLine="420" w:firstLineChars="200"/>
      </w:pPr>
      <w:r>
        <w:fldChar w:fldCharType="begin"/>
      </w:r>
      <w:r>
        <w:instrText xml:space="preserve"> HYPERLINK \l _Toc313003609 </w:instrText>
      </w:r>
      <w:r>
        <w:fldChar w:fldCharType="separate"/>
      </w:r>
      <w:r>
        <w:rPr>
          <w:rFonts w:hint="default"/>
          <w:lang w:val="en-US"/>
        </w:rPr>
        <w:t>Figure 2.1 Crude weighted trends in 24-HMB guidelines among youth with anxiety/depression, NSCH 2016-2021</w:t>
      </w:r>
      <w:r>
        <w:tab/>
      </w:r>
      <w:r>
        <w:fldChar w:fldCharType="begin"/>
      </w:r>
      <w:r>
        <w:instrText xml:space="preserve"> PAGEREF _Toc313003609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14678"/>
        </w:tabs>
        <w:ind w:left="0" w:leftChars="0" w:firstLine="420" w:firstLineChars="200"/>
      </w:pPr>
      <w:r>
        <w:fldChar w:fldCharType="begin"/>
      </w:r>
      <w:r>
        <w:instrText xml:space="preserve"> HYPERLINK \l _Toc1464204960 </w:instrText>
      </w:r>
      <w:r>
        <w:fldChar w:fldCharType="separate"/>
      </w:r>
      <w:r>
        <w:rPr>
          <w:rFonts w:hint="default"/>
          <w:lang w:val="en-US"/>
        </w:rPr>
        <w:t>Figure 2.2. Crude weighted trends in 24-HMB guidelines among youth with ASD/ADHD, NSCH 2016-2021</w:t>
      </w:r>
      <w:r>
        <w:tab/>
      </w:r>
      <w:r>
        <w:fldChar w:fldCharType="begin"/>
      </w:r>
      <w:r>
        <w:instrText xml:space="preserve"> PAGEREF _Toc1464204960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14678"/>
        </w:tabs>
        <w:ind w:left="0" w:leftChars="0" w:firstLine="420" w:firstLineChars="200"/>
      </w:pPr>
      <w:r>
        <w:fldChar w:fldCharType="begin"/>
      </w:r>
      <w:r>
        <w:instrText xml:space="preserve"> HYPERLINK \l _Toc877651747 </w:instrText>
      </w:r>
      <w:r>
        <w:fldChar w:fldCharType="separate"/>
      </w:r>
      <w:r>
        <w:rPr>
          <w:rFonts w:hint="default"/>
          <w:lang w:val="en-US"/>
        </w:rPr>
        <w:t>Figure 2.3. Crude weighted trends in 24-HMB guidelines among youth with speech disorder, NSCH 2016-2021</w:t>
      </w:r>
      <w:r>
        <w:tab/>
      </w:r>
      <w:r>
        <w:fldChar w:fldCharType="begin"/>
      </w:r>
      <w:r>
        <w:instrText xml:space="preserve"> PAGEREF _Toc877651747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14678"/>
        </w:tabs>
        <w:ind w:left="0" w:leftChars="0" w:firstLine="420" w:firstLineChars="200"/>
      </w:pPr>
      <w:r>
        <w:fldChar w:fldCharType="begin"/>
      </w:r>
      <w:r>
        <w:instrText xml:space="preserve"> HYPERLINK \l _Toc1775224233 </w:instrText>
      </w:r>
      <w:r>
        <w:fldChar w:fldCharType="separate"/>
      </w:r>
      <w:r>
        <w:rPr>
          <w:rFonts w:hint="default"/>
          <w:lang w:val="en-US"/>
        </w:rPr>
        <w:t>Figure 2.4. Crude weighted trends in 24-HMB guidelines among youth with learning disability, NSCH 2016-2021</w:t>
      </w:r>
      <w:r>
        <w:tab/>
      </w:r>
      <w:r>
        <w:fldChar w:fldCharType="begin"/>
      </w:r>
      <w:r>
        <w:instrText xml:space="preserve"> PAGEREF _Toc1775224233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14678"/>
        </w:tabs>
        <w:ind w:left="0" w:leftChars="0" w:firstLine="420" w:firstLineChars="200"/>
      </w:pPr>
      <w:r>
        <w:fldChar w:fldCharType="begin"/>
      </w:r>
      <w:r>
        <w:instrText xml:space="preserve"> HYPERLINK \l _Toc1203376260 </w:instrText>
      </w:r>
      <w:r>
        <w:fldChar w:fldCharType="separate"/>
      </w:r>
      <w:r>
        <w:rPr>
          <w:rFonts w:hint="default"/>
          <w:lang w:val="en-US"/>
        </w:rPr>
        <w:t>Figure 2.5. Crude weighted trends in 24-HMB guidelines among youth with developmental delay, NSCH 2016-2021</w:t>
      </w:r>
      <w:r>
        <w:tab/>
      </w:r>
      <w:r>
        <w:fldChar w:fldCharType="begin"/>
      </w:r>
      <w:r>
        <w:instrText xml:space="preserve"> PAGEREF _Toc1203376260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14678"/>
        </w:tabs>
        <w:ind w:left="0" w:leftChars="0" w:firstLine="420" w:firstLineChars="200"/>
      </w:pPr>
      <w:r>
        <w:fldChar w:fldCharType="begin"/>
      </w:r>
      <w:r>
        <w:instrText xml:space="preserve"> HYPERLINK \l _Toc143814374 </w:instrText>
      </w:r>
      <w:r>
        <w:fldChar w:fldCharType="separate"/>
      </w:r>
      <w:r>
        <w:rPr>
          <w:rFonts w:hint="default"/>
          <w:lang w:val="en-US"/>
        </w:rPr>
        <w:t>Figure 2.6. Crude weighted trends in 24-HMB guidelines among youth with behavior problem, NSCH 2016-2021</w:t>
      </w:r>
      <w:r>
        <w:tab/>
      </w:r>
      <w:r>
        <w:fldChar w:fldCharType="begin"/>
      </w:r>
      <w:r>
        <w:instrText xml:space="preserve"> PAGEREF _Toc143814374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14678"/>
        </w:tabs>
        <w:ind w:left="0" w:leftChars="0" w:firstLine="420" w:firstLineChars="200"/>
      </w:pPr>
      <w:r>
        <w:fldChar w:fldCharType="begin"/>
      </w:r>
      <w:r>
        <w:instrText xml:space="preserve"> HYPERLINK \l _Toc1169080943 </w:instrText>
      </w:r>
      <w:r>
        <w:fldChar w:fldCharType="separate"/>
      </w:r>
      <w:r>
        <w:rPr>
          <w:rFonts w:hint="default"/>
          <w:lang w:val="en-US"/>
        </w:rPr>
        <w:t>Figure 2.7. Crude weighted trends in 24-HMB guidelines among youth with brain injury, NSCH 2016-2021</w:t>
      </w:r>
      <w:r>
        <w:tab/>
      </w:r>
      <w:r>
        <w:fldChar w:fldCharType="begin"/>
      </w:r>
      <w:r>
        <w:instrText xml:space="preserve"> PAGEREF _Toc1169080943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>
      <w:pPr>
        <w:spacing w:line="360" w:lineRule="auto"/>
        <w:rPr>
          <w:rFonts w:ascii="Arial Narrow Regular" w:hAnsi="Arial Narrow Regular" w:cs="Arial Narrow Regular"/>
          <w:b w:val="0"/>
          <w:bCs w:val="0"/>
          <w:szCs w:val="21"/>
        </w:rPr>
        <w:sectPr>
          <w:footerReference r:id="rId5" w:type="default"/>
          <w:pgSz w:w="16838" w:h="11906" w:orient="landscape"/>
          <w:pgMar w:top="1440" w:right="1080" w:bottom="1440" w:left="108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r>
        <w:fldChar w:fldCharType="end"/>
      </w:r>
    </w:p>
    <w:p>
      <w:pPr>
        <w:pStyle w:val="4"/>
        <w:outlineLvl w:val="0"/>
        <w:rPr>
          <w:rFonts w:hint="default"/>
        </w:rPr>
      </w:pPr>
      <w:bookmarkStart w:id="0" w:name="_Toc152771528"/>
      <w:bookmarkStart w:id="1" w:name="_Toc221048983"/>
      <w:bookmarkStart w:id="2" w:name="_Toc107157"/>
      <w:bookmarkStart w:id="3" w:name="_Toc551014210"/>
      <w:bookmarkStart w:id="4" w:name="_Toc1059242889"/>
      <w:bookmarkStart w:id="5" w:name="_Toc278341115"/>
      <w:bookmarkStart w:id="6" w:name="_Toc1249564440"/>
      <w:bookmarkStart w:id="7" w:name="_Toc3181710"/>
      <w:bookmarkStart w:id="8" w:name="_Toc1599933810"/>
      <w:bookmarkStart w:id="9" w:name="_Toc1229596681"/>
      <w:bookmarkStart w:id="10" w:name="_Toc1282124736"/>
      <w:bookmarkStart w:id="11" w:name="_Toc305467815"/>
      <w:bookmarkStart w:id="12" w:name="_Toc232347400"/>
      <w:bookmarkStart w:id="13" w:name="_Toc1821983373"/>
      <w:bookmarkStart w:id="14" w:name="_Toc689147326"/>
      <w:bookmarkStart w:id="15" w:name="_Toc439268967"/>
      <w:bookmarkStart w:id="16" w:name="_Toc397066330"/>
      <w:bookmarkStart w:id="17" w:name="_Toc793581510"/>
      <w:bookmarkStart w:id="18" w:name="_Toc1370705441"/>
      <w:bookmarkStart w:id="19" w:name="_Toc322113318"/>
      <w:bookmarkStart w:id="20" w:name="_Toc893991085"/>
      <w:bookmarkStart w:id="21" w:name="_Toc629486590"/>
      <w:bookmarkStart w:id="22" w:name="_Toc2126840384"/>
      <w:bookmarkStart w:id="23" w:name="_Toc1237225889"/>
      <w:r>
        <w:t>Methods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</w:p>
    <w:p>
      <w:pPr>
        <w:rPr>
          <w:rFonts w:hint="default" w:ascii="Arial Narrow Regular" w:hAnsi="Arial Narrow Regular" w:cs="Arial Narrow Regular"/>
          <w:sz w:val="20"/>
          <w:szCs w:val="20"/>
        </w:rPr>
      </w:pPr>
      <w:r>
        <w:rPr>
          <w:rFonts w:ascii="Arial Narrow Regular" w:hAnsi="Arial Narrow Regular" w:cs="Arial Narrow Regular"/>
          <w:sz w:val="20"/>
          <w:szCs w:val="20"/>
        </w:rPr>
        <w:t>Assessment of 24-HMB guidelines</w:t>
      </w:r>
    </w:p>
    <w:p>
      <w:pPr>
        <w:rPr>
          <w:rFonts w:hint="default" w:ascii="Arial Narrow Regular" w:hAnsi="Arial Narrow Regular" w:cs="Arial Narrow Regular"/>
          <w:sz w:val="20"/>
          <w:szCs w:val="20"/>
        </w:rPr>
      </w:pPr>
      <w:r>
        <w:rPr>
          <w:rFonts w:ascii="Arial Narrow Regular" w:hAnsi="Arial Narrow Regular" w:cs="Arial Narrow Regular"/>
          <w:sz w:val="20"/>
          <w:szCs w:val="20"/>
        </w:rPr>
        <w:t>Three different questions were used to determine whether a participant met 24-HMB guidelines (PA, ST, and SL). To assess PA, parents were asked: “</w:t>
      </w:r>
      <w:r>
        <w:rPr>
          <w:rFonts w:hint="default" w:ascii="Arial Narrow Regular" w:hAnsi="Arial Narrow Regular" w:cs="Arial Narrow Regular"/>
          <w:sz w:val="20"/>
          <w:szCs w:val="20"/>
        </w:rPr>
        <w:t>DURING THE PAST WEEK, on how many days did this child exercise, play a sport, or participate in physical activity for at least 60 minutes?</w:t>
      </w:r>
      <w:r>
        <w:rPr>
          <w:rFonts w:ascii="Arial Narrow Regular" w:hAnsi="Arial Narrow Regular" w:cs="Arial Narrow Regular"/>
          <w:sz w:val="20"/>
          <w:szCs w:val="20"/>
        </w:rPr>
        <w:t>”, wit</w:t>
      </w:r>
      <w:r>
        <w:rPr>
          <w:rFonts w:hint="default" w:ascii="Arial Narrow Regular" w:hAnsi="Arial Narrow Regular" w:cs="Arial Narrow Regular"/>
          <w:sz w:val="20"/>
          <w:szCs w:val="20"/>
        </w:rPr>
        <w:t>h</w:t>
      </w:r>
      <w:r>
        <w:rPr>
          <w:rFonts w:ascii="Arial Narrow Regular" w:hAnsi="Arial Narrow Regular" w:cs="Arial Narrow Regular"/>
          <w:sz w:val="20"/>
          <w:szCs w:val="20"/>
        </w:rPr>
        <w:t xml:space="preserve"> four response options being offered (0 days, 1-3 days, 4-6 days, and every day). To assess ST, parents were asked: “</w:t>
      </w:r>
      <w:r>
        <w:rPr>
          <w:rFonts w:hint="default" w:ascii="Arial Narrow Regular" w:hAnsi="Arial Narrow Regular" w:cs="Arial Narrow Regular"/>
          <w:sz w:val="20"/>
          <w:szCs w:val="20"/>
        </w:rPr>
        <w:t>ON MOST WEEKDAYS, about how much time does this child usually spend in front of a TV, computer, cellphone or other electronic device watching programs, playing games, accessing the internet or using social media? (Do not include time spent doing schoolwork.)</w:t>
      </w:r>
      <w:r>
        <w:rPr>
          <w:rFonts w:ascii="Arial Narrow Regular" w:hAnsi="Arial Narrow Regular" w:cs="Arial Narrow Regular"/>
          <w:sz w:val="20"/>
          <w:szCs w:val="20"/>
        </w:rPr>
        <w:t>”, whil</w:t>
      </w:r>
      <w:r>
        <w:rPr>
          <w:rFonts w:hint="default" w:ascii="Arial Narrow Regular" w:hAnsi="Arial Narrow Regular" w:cs="Arial Narrow Regular"/>
          <w:sz w:val="20"/>
          <w:szCs w:val="20"/>
        </w:rPr>
        <w:t>e</w:t>
      </w:r>
      <w:r>
        <w:rPr>
          <w:rFonts w:ascii="Arial Narrow Regular" w:hAnsi="Arial Narrow Regular" w:cs="Arial Narrow Regular"/>
          <w:sz w:val="20"/>
          <w:szCs w:val="20"/>
        </w:rPr>
        <w:t xml:space="preserve"> five response options were proposed (Less than 1 hour per day, 1 hour per day, 2 hours per day, 3 hours per day, and 4 or more hours per day). To assess SL, parents were asked: “</w:t>
      </w:r>
      <w:r>
        <w:rPr>
          <w:rFonts w:hint="default" w:ascii="Arial Narrow Regular" w:hAnsi="Arial Narrow Regular" w:cs="Arial Narrow Regular"/>
          <w:sz w:val="20"/>
          <w:szCs w:val="20"/>
        </w:rPr>
        <w:t>DURING THE PAST WEEK, how many hours of sleep did this child on most weeknights]?</w:t>
      </w:r>
      <w:r>
        <w:rPr>
          <w:rFonts w:ascii="Arial Narrow Regular" w:hAnsi="Arial Narrow Regular" w:cs="Arial Narrow Regular"/>
          <w:sz w:val="20"/>
          <w:szCs w:val="20"/>
        </w:rPr>
        <w:t xml:space="preserve">”, while seven response options were offered (Less than 6 hours, 6 hours, 7 hours, 8 hours, 9 hours, 10 hours, and 11 hours or more). Of note, SL guidelines vary slightly across age groups: (i) 5 to 7 hours for 5 to 13-year-old youth; (ii) 4 to 6 hours for 14 to 17-year-old youth. </w:t>
      </w:r>
    </w:p>
    <w:p>
      <w:pPr>
        <w:pStyle w:val="4"/>
        <w:outlineLvl w:val="0"/>
        <w:rPr>
          <w:rFonts w:hint="default"/>
        </w:rPr>
      </w:pPr>
      <w:bookmarkStart w:id="24" w:name="_Toc1444800583"/>
      <w:bookmarkStart w:id="25" w:name="_Toc1511650375"/>
      <w:bookmarkStart w:id="26" w:name="_Toc152771529"/>
      <w:bookmarkStart w:id="27" w:name="_Toc2099745186"/>
      <w:bookmarkStart w:id="28" w:name="_Toc1892233630"/>
      <w:bookmarkStart w:id="29" w:name="_Toc596282486"/>
      <w:bookmarkStart w:id="30" w:name="_Toc1262117081"/>
      <w:bookmarkStart w:id="31" w:name="_Toc1800987699"/>
      <w:bookmarkStart w:id="32" w:name="_Toc819523954"/>
      <w:bookmarkStart w:id="33" w:name="_Toc1186959067"/>
      <w:bookmarkStart w:id="34" w:name="_Toc55801793"/>
      <w:bookmarkStart w:id="35" w:name="_Toc859736639"/>
      <w:bookmarkStart w:id="36" w:name="_Toc23547971"/>
      <w:bookmarkStart w:id="37" w:name="_Toc937481554"/>
      <w:bookmarkStart w:id="38" w:name="_Toc946341606"/>
      <w:bookmarkStart w:id="39" w:name="_Toc1276673008"/>
      <w:bookmarkStart w:id="40" w:name="_Toc1512571183"/>
      <w:bookmarkStart w:id="41" w:name="_Toc1935392442"/>
      <w:bookmarkStart w:id="42" w:name="_Toc1105227438"/>
      <w:bookmarkStart w:id="43" w:name="_Toc1119799811"/>
      <w:bookmarkStart w:id="44" w:name="_Toc1389265518"/>
      <w:bookmarkStart w:id="45" w:name="_Toc1850990700"/>
      <w:bookmarkStart w:id="46" w:name="_Toc941029573"/>
      <w:r>
        <w:t>Results</w:t>
      </w:r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</w:p>
    <w:p>
      <w:pPr>
        <w:rPr>
          <w:rFonts w:hint="default" w:ascii="Arial Narrow Regular" w:hAnsi="Arial Narrow Regular" w:cs="Arial Narrow Regular"/>
          <w:sz w:val="20"/>
          <w:szCs w:val="20"/>
        </w:rPr>
      </w:pPr>
      <w:bookmarkStart w:id="47" w:name="_Toc1245442086"/>
      <w:r>
        <w:rPr>
          <w:rFonts w:ascii="Arial Narrow Regular" w:hAnsi="Arial Narrow Regular" w:cs="Arial Narrow Regular"/>
          <w:sz w:val="20"/>
          <w:szCs w:val="20"/>
        </w:rPr>
        <w:t>The estimated prevalence of meeting SL + ST guidelines showed a slight decrease among children and adolescents (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 xml:space="preserve">both </w:t>
      </w:r>
      <w:r>
        <w:rPr>
          <w:rFonts w:ascii="Arial Narrow Regular" w:hAnsi="Arial Narrow Regular" w:cs="Arial Narrow Regular"/>
          <w:i/>
          <w:iCs/>
          <w:sz w:val="20"/>
          <w:szCs w:val="20"/>
        </w:rPr>
        <w:t>P</w:t>
      </w:r>
      <w:r>
        <w:rPr>
          <w:rFonts w:ascii="Arial Narrow Regular" w:hAnsi="Arial Narrow Regular" w:cs="Arial Narrow Regular"/>
          <w:sz w:val="20"/>
          <w:szCs w:val="20"/>
        </w:rPr>
        <w:t xml:space="preserve">-value for trend 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>&lt;</w:t>
      </w:r>
      <w:r>
        <w:rPr>
          <w:rFonts w:ascii="Arial Narrow Regular" w:hAnsi="Arial Narrow Regular" w:cs="Arial Narrow Regular"/>
          <w:sz w:val="20"/>
          <w:szCs w:val="20"/>
        </w:rPr>
        <w:t xml:space="preserve"> 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>0</w:t>
      </w:r>
      <w:r>
        <w:rPr>
          <w:rFonts w:hint="default" w:ascii="Arial Narrow Regular" w:hAnsi="Arial Narrow Regular" w:cs="Arial Narrow Regular"/>
          <w:sz w:val="20"/>
          <w:szCs w:val="20"/>
          <w:lang w:val="en-US" w:eastAsia="zh-CN"/>
        </w:rPr>
        <w:t>.</w:t>
      </w:r>
      <w:r>
        <w:rPr>
          <w:rFonts w:ascii="Arial Narrow Regular" w:hAnsi="Arial Narrow Regular" w:cs="Arial Narrow Regular"/>
          <w:sz w:val="20"/>
          <w:szCs w:val="20"/>
        </w:rPr>
        <w:t>0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>0</w:t>
      </w:r>
      <w:r>
        <w:rPr>
          <w:rFonts w:ascii="Arial Narrow Regular" w:hAnsi="Arial Narrow Regular" w:cs="Arial Narrow Regular"/>
          <w:sz w:val="20"/>
          <w:szCs w:val="20"/>
        </w:rPr>
        <w:t xml:space="preserve">1). The estimated prevalence of meeting PA + SL guidelines showed a 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>de</w:t>
      </w:r>
      <w:r>
        <w:rPr>
          <w:rFonts w:ascii="Arial Narrow Regular" w:hAnsi="Arial Narrow Regular" w:cs="Arial Narrow Regular"/>
          <w:sz w:val="20"/>
          <w:szCs w:val="20"/>
        </w:rPr>
        <w:t>crease among children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 xml:space="preserve"> and adolecents</w:t>
      </w:r>
      <w:r>
        <w:rPr>
          <w:rFonts w:ascii="Arial Narrow Regular" w:hAnsi="Arial Narrow Regular" w:cs="Arial Narrow Regular"/>
          <w:sz w:val="20"/>
          <w:szCs w:val="20"/>
        </w:rPr>
        <w:t xml:space="preserve"> over the six years (</w:t>
      </w:r>
      <w:r>
        <w:rPr>
          <w:rFonts w:ascii="Arial Narrow Regular" w:hAnsi="Arial Narrow Regular" w:cs="Arial Narrow Regular"/>
          <w:i/>
          <w:iCs/>
          <w:sz w:val="20"/>
          <w:szCs w:val="20"/>
        </w:rPr>
        <w:t>P</w:t>
      </w:r>
      <w:r>
        <w:rPr>
          <w:rFonts w:ascii="Arial Narrow Regular" w:hAnsi="Arial Narrow Regular" w:cs="Arial Narrow Regular"/>
          <w:sz w:val="20"/>
          <w:szCs w:val="20"/>
        </w:rPr>
        <w:t xml:space="preserve">-value for trend 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>&lt;</w:t>
      </w:r>
      <w:r>
        <w:rPr>
          <w:rFonts w:ascii="Arial Narrow Regular" w:hAnsi="Arial Narrow Regular" w:cs="Arial Narrow Regular"/>
          <w:sz w:val="20"/>
          <w:szCs w:val="20"/>
        </w:rPr>
        <w:t xml:space="preserve"> 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>0.001</w:t>
      </w:r>
      <w:r>
        <w:rPr>
          <w:rFonts w:ascii="Arial Narrow Regular" w:hAnsi="Arial Narrow Regular" w:cs="Arial Narrow Regular"/>
          <w:sz w:val="20"/>
          <w:szCs w:val="20"/>
        </w:rPr>
        <w:t xml:space="preserve">). For 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>c</w:t>
      </w:r>
      <w:r>
        <w:rPr>
          <w:rFonts w:ascii="Arial Narrow Regular" w:hAnsi="Arial Narrow Regular" w:cs="Arial Narrow Regular"/>
          <w:sz w:val="20"/>
          <w:szCs w:val="20"/>
        </w:rPr>
        <w:t xml:space="preserve">hildren, the estimated prevalence of meeting PA + ST guidelines 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 xml:space="preserve">showed an increase </w:t>
      </w:r>
      <w:r>
        <w:rPr>
          <w:rFonts w:ascii="Arial Narrow Regular" w:hAnsi="Arial Narrow Regular" w:cs="Arial Narrow Regular"/>
          <w:sz w:val="20"/>
          <w:szCs w:val="20"/>
        </w:rPr>
        <w:t>(</w:t>
      </w:r>
      <w:r>
        <w:rPr>
          <w:rFonts w:ascii="Arial Narrow Regular" w:hAnsi="Arial Narrow Regular" w:cs="Arial Narrow Regular"/>
          <w:i/>
          <w:iCs/>
          <w:sz w:val="20"/>
          <w:szCs w:val="20"/>
        </w:rPr>
        <w:t>P</w:t>
      </w:r>
      <w:r>
        <w:rPr>
          <w:rFonts w:ascii="Arial Narrow Regular" w:hAnsi="Arial Narrow Regular" w:cs="Arial Narrow Regular"/>
          <w:sz w:val="20"/>
          <w:szCs w:val="20"/>
        </w:rPr>
        <w:t xml:space="preserve">-value for trend 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>&lt;</w:t>
      </w:r>
      <w:r>
        <w:rPr>
          <w:rFonts w:ascii="Arial Narrow Regular" w:hAnsi="Arial Narrow Regular" w:cs="Arial Narrow Regular"/>
          <w:sz w:val="20"/>
          <w:szCs w:val="20"/>
        </w:rPr>
        <w:t xml:space="preserve"> 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>0.001</w:t>
      </w:r>
      <w:r>
        <w:rPr>
          <w:rFonts w:ascii="Arial Narrow Regular" w:hAnsi="Arial Narrow Regular" w:cs="Arial Narrow Regular"/>
          <w:sz w:val="20"/>
          <w:szCs w:val="20"/>
        </w:rPr>
        <w:t>)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 xml:space="preserve"> while the number among adolescents </w:t>
      </w:r>
      <w:r>
        <w:rPr>
          <w:rFonts w:ascii="Arial Narrow Regular" w:hAnsi="Arial Narrow Regular" w:cs="Arial Narrow Regular"/>
          <w:sz w:val="20"/>
          <w:szCs w:val="20"/>
        </w:rPr>
        <w:t>was stable over time(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 xml:space="preserve">see Additional </w:t>
      </w:r>
      <w:r>
        <w:rPr>
          <w:rFonts w:ascii="Arial Narrow Regular" w:hAnsi="Arial Narrow Regular" w:cs="Arial Narrow Regular"/>
          <w:sz w:val="20"/>
          <w:szCs w:val="20"/>
        </w:rPr>
        <w:t>Figure 1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>.1</w:t>
      </w:r>
      <w:r>
        <w:rPr>
          <w:rFonts w:ascii="Arial Narrow Regular" w:hAnsi="Arial Narrow Regular" w:cs="Arial Narrow Regular"/>
          <w:sz w:val="20"/>
          <w:szCs w:val="20"/>
        </w:rPr>
        <w:t>).</w:t>
      </w:r>
      <w:bookmarkEnd w:id="47"/>
    </w:p>
    <w:p>
      <w:pPr>
        <w:rPr>
          <w:rFonts w:hint="default" w:ascii="Arial Narrow Regular" w:hAnsi="Arial Narrow Regular" w:cs="Arial Narrow Regular"/>
          <w:sz w:val="20"/>
          <w:szCs w:val="20"/>
        </w:rPr>
      </w:pPr>
      <w:r>
        <w:rPr>
          <w:rFonts w:ascii="Arial Narrow Regular" w:hAnsi="Arial Narrow Regular" w:cs="Arial Narrow Regular"/>
          <w:sz w:val="20"/>
          <w:szCs w:val="20"/>
        </w:rPr>
        <w:t xml:space="preserve">The estimated prevalence of meeting SL + ST guidelines showed a significant decrease among boys </w:t>
      </w:r>
      <w:r>
        <w:rPr>
          <w:rFonts w:hint="default" w:ascii="Arial Narrow Regular" w:hAnsi="Arial Narrow Regular" w:cs="Arial Narrow Regular"/>
          <w:sz w:val="20"/>
          <w:szCs w:val="20"/>
          <w:lang w:val="en-US" w:eastAsia="zh-CN"/>
        </w:rPr>
        <w:t>an</w:t>
      </w:r>
      <w:r>
        <w:rPr>
          <w:rFonts w:hint="default" w:ascii="Arial Narrow Regular" w:hAnsi="Arial Narrow Regular" w:cs="Arial Narrow Regular"/>
          <w:sz w:val="20"/>
          <w:szCs w:val="20"/>
          <w:u w:val="single"/>
          <w:lang w:val="en-US" w:eastAsia="zh-CN"/>
        </w:rPr>
        <w:t xml:space="preserve">d </w:t>
      </w:r>
      <w:r>
        <w:rPr>
          <w:rFonts w:ascii="Arial Narrow Regular" w:hAnsi="Arial Narrow Regular" w:cs="Arial Narrow Regular"/>
          <w:sz w:val="20"/>
          <w:szCs w:val="20"/>
        </w:rPr>
        <w:t xml:space="preserve">girls </w:t>
      </w:r>
      <w:r>
        <w:rPr>
          <w:rFonts w:ascii="Arial Narrow Regular" w:hAnsi="Arial Narrow Regular" w:cs="Arial Narrow Regular"/>
          <w:i/>
          <w:iCs/>
          <w:sz w:val="20"/>
          <w:szCs w:val="20"/>
        </w:rPr>
        <w:t>(P</w:t>
      </w:r>
      <w:r>
        <w:rPr>
          <w:rFonts w:ascii="Arial Narrow Regular" w:hAnsi="Arial Narrow Regular" w:cs="Arial Narrow Regular"/>
          <w:sz w:val="20"/>
          <w:szCs w:val="20"/>
        </w:rPr>
        <w:t xml:space="preserve">-value for trend 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>&lt;</w:t>
      </w:r>
      <w:r>
        <w:rPr>
          <w:rFonts w:ascii="Arial Narrow Regular" w:hAnsi="Arial Narrow Regular" w:cs="Arial Narrow Regular"/>
          <w:sz w:val="20"/>
          <w:szCs w:val="20"/>
        </w:rPr>
        <w:t xml:space="preserve"> 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>0.</w:t>
      </w:r>
      <w:r>
        <w:rPr>
          <w:rFonts w:ascii="Arial Narrow Regular" w:hAnsi="Arial Narrow Regular" w:cs="Arial Narrow Regular"/>
          <w:sz w:val="20"/>
          <w:szCs w:val="20"/>
        </w:rPr>
        <w:t>00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>1</w:t>
      </w:r>
      <w:r>
        <w:rPr>
          <w:rFonts w:ascii="Arial Narrow Regular" w:hAnsi="Arial Narrow Regular" w:cs="Arial Narrow Regular"/>
          <w:sz w:val="20"/>
          <w:szCs w:val="20"/>
        </w:rPr>
        <w:t>). Meeting PA + ST guidelines showed a decrease among boys (</w:t>
      </w:r>
      <w:r>
        <w:rPr>
          <w:rFonts w:ascii="Arial Narrow Regular" w:hAnsi="Arial Narrow Regular" w:cs="Arial Narrow Regular"/>
          <w:i/>
          <w:iCs/>
          <w:sz w:val="20"/>
          <w:szCs w:val="20"/>
        </w:rPr>
        <w:t>P</w:t>
      </w:r>
      <w:r>
        <w:rPr>
          <w:rFonts w:ascii="Arial Narrow Regular" w:hAnsi="Arial Narrow Regular" w:cs="Arial Narrow Regular"/>
          <w:sz w:val="20"/>
          <w:szCs w:val="20"/>
        </w:rPr>
        <w:t xml:space="preserve">-value for trend 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>&lt;</w:t>
      </w:r>
      <w:r>
        <w:rPr>
          <w:rFonts w:ascii="Arial Narrow Regular" w:hAnsi="Arial Narrow Regular" w:cs="Arial Narrow Regular"/>
          <w:sz w:val="20"/>
          <w:szCs w:val="20"/>
        </w:rPr>
        <w:t xml:space="preserve"> 0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>.</w:t>
      </w:r>
      <w:r>
        <w:rPr>
          <w:rFonts w:ascii="Arial Narrow Regular" w:hAnsi="Arial Narrow Regular" w:cs="Arial Narrow Regular"/>
          <w:sz w:val="20"/>
          <w:szCs w:val="20"/>
        </w:rPr>
        <w:t>0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>01</w:t>
      </w:r>
      <w:r>
        <w:rPr>
          <w:rFonts w:ascii="Arial Narrow Regular" w:hAnsi="Arial Narrow Regular" w:cs="Arial Narrow Regular"/>
          <w:sz w:val="20"/>
          <w:szCs w:val="20"/>
        </w:rPr>
        <w:t>)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 xml:space="preserve"> and </w:t>
      </w:r>
      <w:r>
        <w:rPr>
          <w:rFonts w:ascii="Arial Narrow Regular" w:hAnsi="Arial Narrow Regular" w:cs="Arial Narrow Regular"/>
          <w:sz w:val="20"/>
          <w:szCs w:val="20"/>
        </w:rPr>
        <w:t>girls (</w:t>
      </w:r>
      <w:r>
        <w:rPr>
          <w:rFonts w:ascii="Arial Narrow Regular" w:hAnsi="Arial Narrow Regular" w:cs="Arial Narrow Regular"/>
          <w:i/>
          <w:iCs/>
          <w:sz w:val="20"/>
          <w:szCs w:val="20"/>
        </w:rPr>
        <w:t>P</w:t>
      </w:r>
      <w:r>
        <w:rPr>
          <w:rFonts w:ascii="Arial Narrow Regular" w:hAnsi="Arial Narrow Regular" w:cs="Arial Narrow Regular"/>
          <w:sz w:val="20"/>
          <w:szCs w:val="20"/>
        </w:rPr>
        <w:t xml:space="preserve">-value for trend 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>=</w:t>
      </w:r>
      <w:r>
        <w:rPr>
          <w:rFonts w:ascii="Arial Narrow Regular" w:hAnsi="Arial Narrow Regular" w:cs="Arial Narrow Regular"/>
          <w:sz w:val="20"/>
          <w:szCs w:val="20"/>
        </w:rPr>
        <w:t xml:space="preserve"> 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>0.</w:t>
      </w:r>
      <w:r>
        <w:rPr>
          <w:rFonts w:ascii="Arial Narrow Regular" w:hAnsi="Arial Narrow Regular" w:cs="Arial Narrow Regular"/>
          <w:sz w:val="20"/>
          <w:szCs w:val="20"/>
        </w:rPr>
        <w:t>0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>04</w:t>
      </w:r>
      <w:r>
        <w:rPr>
          <w:rFonts w:ascii="Arial Narrow Regular" w:hAnsi="Arial Narrow Regular" w:cs="Arial Narrow Regular"/>
          <w:sz w:val="20"/>
          <w:szCs w:val="20"/>
        </w:rPr>
        <w:t>)over time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>.</w:t>
      </w:r>
      <w:r>
        <w:rPr>
          <w:rFonts w:ascii="Arial Narrow Regular" w:hAnsi="Arial Narrow Regular" w:cs="Arial Narrow Regular"/>
          <w:sz w:val="20"/>
          <w:szCs w:val="20"/>
        </w:rPr>
        <w:t xml:space="preserve"> </w:t>
      </w:r>
      <w:r>
        <w:rPr>
          <w:rFonts w:hint="default" w:ascii="Arial Narrow Regular" w:hAnsi="Arial Narrow Regular" w:cs="Arial Narrow Regular"/>
          <w:sz w:val="20"/>
          <w:szCs w:val="20"/>
        </w:rPr>
        <w:t>(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 xml:space="preserve">see Aditional </w:t>
      </w:r>
      <w:r>
        <w:rPr>
          <w:rFonts w:ascii="Arial Narrow Regular" w:hAnsi="Arial Narrow Regular" w:cs="Arial Narrow Regular"/>
          <w:sz w:val="20"/>
          <w:szCs w:val="20"/>
        </w:rPr>
        <w:t xml:space="preserve">Figure 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>1.</w:t>
      </w:r>
      <w:r>
        <w:rPr>
          <w:rFonts w:ascii="Arial Narrow Regular" w:hAnsi="Arial Narrow Regular" w:cs="Arial Narrow Regular"/>
          <w:sz w:val="20"/>
          <w:szCs w:val="20"/>
        </w:rPr>
        <w:t xml:space="preserve">2). </w:t>
      </w:r>
    </w:p>
    <w:p>
      <w:pPr>
        <w:rPr>
          <w:rFonts w:hint="default" w:ascii="Arial Narrow Regular" w:hAnsi="Arial Narrow Regular" w:cs="Arial Narrow Regular"/>
          <w:sz w:val="20"/>
          <w:szCs w:val="20"/>
        </w:rPr>
      </w:pPr>
      <w:bookmarkStart w:id="48" w:name="_Toc622032093"/>
      <w:r>
        <w:rPr>
          <w:rFonts w:ascii="Arial Narrow Regular" w:hAnsi="Arial Narrow Regular" w:cs="Arial Narrow Regular"/>
          <w:sz w:val="20"/>
          <w:szCs w:val="20"/>
        </w:rPr>
        <w:t>Meeting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 xml:space="preserve"> integrated (</w:t>
      </w:r>
      <w:r>
        <w:rPr>
          <w:rFonts w:ascii="Arial Narrow Regular" w:hAnsi="Arial Narrow Regular" w:cs="Arial Narrow Regular"/>
          <w:sz w:val="20"/>
          <w:szCs w:val="20"/>
        </w:rPr>
        <w:t xml:space="preserve"> 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 xml:space="preserve">PA + ST, </w:t>
      </w:r>
      <w:r>
        <w:rPr>
          <w:rFonts w:ascii="Arial Narrow Regular" w:hAnsi="Arial Narrow Regular" w:cs="Arial Narrow Regular"/>
          <w:sz w:val="20"/>
          <w:szCs w:val="20"/>
        </w:rPr>
        <w:t>SL + ST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>, and PA + SL)</w:t>
      </w:r>
      <w:r>
        <w:rPr>
          <w:rFonts w:ascii="Arial Narrow Regular" w:hAnsi="Arial Narrow Regular" w:cs="Arial Narrow Regular"/>
          <w:sz w:val="20"/>
          <w:szCs w:val="20"/>
        </w:rPr>
        <w:t xml:space="preserve"> guidelines was significantly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 xml:space="preserve"> </w:t>
      </w:r>
      <w:r>
        <w:rPr>
          <w:rFonts w:ascii="Arial Narrow Regular" w:hAnsi="Arial Narrow Regular" w:cs="Arial Narrow Regular"/>
          <w:sz w:val="20"/>
          <w:szCs w:val="20"/>
        </w:rPr>
        <w:t>declined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 xml:space="preserve"> among non-Hispanic White</w:t>
      </w:r>
      <w:r>
        <w:rPr>
          <w:rFonts w:ascii="Arial Narrow Regular" w:hAnsi="Arial Narrow Regular" w:cs="Arial Narrow Regular"/>
          <w:sz w:val="20"/>
          <w:szCs w:val="20"/>
        </w:rPr>
        <w:t xml:space="preserve"> over time (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 xml:space="preserve">all </w:t>
      </w:r>
      <w:r>
        <w:rPr>
          <w:rFonts w:ascii="Arial Narrow Regular" w:hAnsi="Arial Narrow Regular" w:cs="Arial Narrow Regular"/>
          <w:i/>
          <w:iCs/>
          <w:sz w:val="20"/>
          <w:szCs w:val="20"/>
        </w:rPr>
        <w:t>P</w:t>
      </w:r>
      <w:r>
        <w:rPr>
          <w:rFonts w:ascii="Arial Narrow Regular" w:hAnsi="Arial Narrow Regular" w:cs="Arial Narrow Regular"/>
          <w:sz w:val="20"/>
          <w:szCs w:val="20"/>
        </w:rPr>
        <w:t xml:space="preserve">-value for temporal trend &lt; 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>0</w:t>
      </w:r>
      <w:r>
        <w:rPr>
          <w:rFonts w:hint="default" w:ascii="Arial Narrow Regular" w:hAnsi="Arial Narrow Regular" w:cs="Arial Narrow Regular"/>
          <w:sz w:val="24"/>
          <w:lang w:val="en-US"/>
        </w:rPr>
        <w:t>.</w:t>
      </w:r>
      <w:r>
        <w:rPr>
          <w:rFonts w:ascii="Arial Narrow Regular" w:hAnsi="Arial Narrow Regular" w:cs="Arial Narrow Regular"/>
          <w:sz w:val="20"/>
          <w:szCs w:val="20"/>
        </w:rPr>
        <w:t>001) (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 xml:space="preserve">see Aditional </w:t>
      </w:r>
      <w:r>
        <w:rPr>
          <w:rFonts w:ascii="Arial Narrow Regular" w:hAnsi="Arial Narrow Regular" w:cs="Arial Narrow Regular"/>
          <w:sz w:val="20"/>
          <w:szCs w:val="20"/>
        </w:rPr>
        <w:t>Figure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>1.</w:t>
      </w:r>
      <w:r>
        <w:rPr>
          <w:rFonts w:ascii="Arial Narrow Regular" w:hAnsi="Arial Narrow Regular" w:cs="Arial Narrow Regular"/>
          <w:sz w:val="20"/>
          <w:szCs w:val="20"/>
        </w:rPr>
        <w:t xml:space="preserve">3). Given the majority of participants were non-Hispanic </w:t>
      </w:r>
      <w:r>
        <w:rPr>
          <w:rFonts w:hint="default" w:ascii="Arial Narrow Regular" w:hAnsi="Arial Narrow Regular" w:cs="Arial Narrow Regular"/>
          <w:sz w:val="20"/>
          <w:szCs w:val="20"/>
        </w:rPr>
        <w:t>w</w:t>
      </w:r>
      <w:r>
        <w:rPr>
          <w:rFonts w:ascii="Arial Narrow Regular" w:hAnsi="Arial Narrow Regular" w:cs="Arial Narrow Regular"/>
          <w:sz w:val="20"/>
          <w:szCs w:val="20"/>
        </w:rPr>
        <w:t>hite (n=3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>8</w:t>
      </w:r>
      <w:r>
        <w:rPr>
          <w:rFonts w:ascii="Arial Narrow Regular" w:hAnsi="Arial Narrow Regular" w:cs="Arial Narrow Regular"/>
          <w:sz w:val="20"/>
          <w:szCs w:val="20"/>
        </w:rPr>
        <w:t>,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>385</w:t>
      </w:r>
      <w:r>
        <w:rPr>
          <w:rFonts w:ascii="Arial Narrow Regular" w:hAnsi="Arial Narrow Regular" w:cs="Arial Narrow Regular"/>
          <w:sz w:val="20"/>
          <w:szCs w:val="20"/>
        </w:rPr>
        <w:t>), descriptive results are presented above for this group, while trends for other participants (including Black, Hispanic, Asian, and Other/Muti-racial participants) can be visually observ</w:t>
      </w:r>
      <w:r>
        <w:rPr>
          <w:rFonts w:ascii="Arial Narrow Regular" w:hAnsi="Arial Narrow Regular" w:cs="Arial Narrow Regular"/>
          <w:color w:val="auto"/>
          <w:sz w:val="20"/>
          <w:szCs w:val="20"/>
        </w:rPr>
        <w:t>ed in Figure 2c</w:t>
      </w:r>
      <w:r>
        <w:rPr>
          <w:rFonts w:hint="default" w:ascii="Arial Narrow Regular" w:hAnsi="Arial Narrow Regular" w:cs="Arial Narrow Regular"/>
          <w:color w:val="auto"/>
          <w:sz w:val="20"/>
          <w:szCs w:val="20"/>
          <w:lang w:val="en-US"/>
        </w:rPr>
        <w:t xml:space="preserve"> and 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 xml:space="preserve">see Aditional </w:t>
      </w:r>
      <w:r>
        <w:rPr>
          <w:rFonts w:ascii="Arial Narrow Regular" w:hAnsi="Arial Narrow Regular" w:cs="Arial Narrow Regular"/>
          <w:sz w:val="20"/>
          <w:szCs w:val="20"/>
        </w:rPr>
        <w:t>Figure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 xml:space="preserve"> </w:t>
      </w:r>
      <w:r>
        <w:rPr>
          <w:rFonts w:hint="default" w:ascii="Arial Narrow Regular" w:hAnsi="Arial Narrow Regular" w:cs="Arial Narrow Regular"/>
          <w:color w:val="auto"/>
          <w:sz w:val="20"/>
          <w:szCs w:val="20"/>
          <w:lang w:val="en-US"/>
        </w:rPr>
        <w:t>1.3</w:t>
      </w:r>
      <w:r>
        <w:rPr>
          <w:rFonts w:ascii="Arial Narrow Regular" w:hAnsi="Arial Narrow Regular" w:cs="Arial Narrow Regular"/>
          <w:color w:val="auto"/>
          <w:sz w:val="20"/>
          <w:szCs w:val="20"/>
        </w:rPr>
        <w:t>.</w:t>
      </w:r>
      <w:bookmarkEnd w:id="48"/>
      <w:r>
        <w:rPr>
          <w:rFonts w:ascii="Arial Narrow Regular" w:hAnsi="Arial Narrow Regular" w:cs="Arial Narrow Regular"/>
          <w:color w:val="auto"/>
          <w:sz w:val="20"/>
          <w:szCs w:val="20"/>
        </w:rPr>
        <w:t xml:space="preserve"> </w:t>
      </w:r>
    </w:p>
    <w:p>
      <w:pPr>
        <w:rPr>
          <w:rFonts w:ascii="Arial Narrow Regular" w:hAnsi="Arial Narrow Regular" w:cs="Arial Narrow Regular"/>
          <w:sz w:val="20"/>
          <w:szCs w:val="20"/>
        </w:rPr>
      </w:pPr>
      <w:r>
        <w:rPr>
          <w:rFonts w:ascii="Arial Narrow Regular" w:hAnsi="Arial Narrow Regular" w:cs="Arial Narrow Regular"/>
          <w:sz w:val="20"/>
          <w:szCs w:val="20"/>
        </w:rPr>
        <w:t>The estimated prevalence of meeting integrated (PA + ST and PA + SL) guidelines showed a stable among participants who reported FPL level</w:t>
      </w:r>
      <w:r>
        <w:rPr>
          <w:rFonts w:ascii="Arial Narrow Regular" w:hAnsi="Arial Narrow Regular" w:cs="Arial Narrow Regular"/>
          <w:sz w:val="20"/>
          <w:szCs w:val="20"/>
          <w:highlight w:val="none"/>
        </w:rPr>
        <w:t xml:space="preserve"> of </w:t>
      </w:r>
      <w:r>
        <w:rPr>
          <w:rFonts w:hint="default" w:ascii="Arial Narrow Regular" w:hAnsi="Arial Narrow Regular" w:cs="Arial Narrow Regular"/>
          <w:sz w:val="20"/>
          <w:szCs w:val="20"/>
          <w:highlight w:val="none"/>
          <w:lang w:val="en-US"/>
        </w:rPr>
        <w:t>less than</w:t>
      </w:r>
      <w:r>
        <w:rPr>
          <w:rFonts w:ascii="Arial Narrow Regular" w:hAnsi="Arial Narrow Regular" w:cs="Arial Narrow Regular"/>
          <w:sz w:val="20"/>
          <w:szCs w:val="20"/>
          <w:highlight w:val="none"/>
        </w:rPr>
        <w:t xml:space="preserve"> 99%</w:t>
      </w:r>
      <w:r>
        <w:rPr>
          <w:rFonts w:hint="default" w:ascii="Arial Narrow Regular" w:hAnsi="Arial Narrow Regular" w:cs="Arial Narrow Regular"/>
          <w:sz w:val="20"/>
          <w:szCs w:val="20"/>
          <w:highlight w:val="none"/>
          <w:lang w:val="en-US"/>
        </w:rPr>
        <w:t xml:space="preserve"> </w:t>
      </w:r>
      <w:r>
        <w:rPr>
          <w:rFonts w:ascii="Arial Narrow Regular" w:hAnsi="Arial Narrow Regular" w:cs="Arial Narrow Regular"/>
          <w:sz w:val="20"/>
          <w:szCs w:val="20"/>
        </w:rPr>
        <w:t xml:space="preserve">( </w:t>
      </w:r>
      <w:r>
        <w:rPr>
          <w:rFonts w:ascii="Arial Narrow Regular" w:hAnsi="Arial Narrow Regular" w:cs="Arial Narrow Regular"/>
          <w:i/>
          <w:iCs/>
          <w:sz w:val="20"/>
          <w:szCs w:val="20"/>
        </w:rPr>
        <w:t>P</w:t>
      </w:r>
      <w:r>
        <w:rPr>
          <w:rFonts w:ascii="Arial Narrow Regular" w:hAnsi="Arial Narrow Regular" w:cs="Arial Narrow Regular"/>
          <w:sz w:val="20"/>
          <w:szCs w:val="20"/>
        </w:rPr>
        <w:t xml:space="preserve">-value for trend &gt; 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>0</w:t>
      </w:r>
      <w:r>
        <w:rPr>
          <w:rFonts w:hint="default" w:ascii="Arial Narrow Regular" w:hAnsi="Arial Narrow Regular" w:cs="Arial Narrow Regular"/>
          <w:sz w:val="24"/>
          <w:lang w:val="en-US"/>
        </w:rPr>
        <w:t>.</w:t>
      </w:r>
      <w:r>
        <w:rPr>
          <w:rFonts w:ascii="Arial Narrow Regular" w:hAnsi="Arial Narrow Regular" w:cs="Arial Narrow Regular"/>
          <w:sz w:val="20"/>
          <w:szCs w:val="20"/>
        </w:rPr>
        <w:t>05)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 xml:space="preserve"> </w:t>
      </w:r>
      <w:r>
        <w:rPr>
          <w:rFonts w:hint="default" w:ascii="Arial Narrow Regular" w:hAnsi="Arial Narrow Regular" w:cs="Arial Narrow Regular"/>
          <w:sz w:val="20"/>
          <w:szCs w:val="20"/>
          <w:highlight w:val="none"/>
          <w:lang w:val="en-US"/>
        </w:rPr>
        <w:t>while among</w:t>
      </w:r>
      <w:r>
        <w:rPr>
          <w:rFonts w:ascii="Arial Narrow Regular" w:hAnsi="Arial Narrow Regular" w:cs="Arial Narrow Regular"/>
          <w:sz w:val="20"/>
          <w:szCs w:val="20"/>
          <w:highlight w:val="none"/>
        </w:rPr>
        <w:t xml:space="preserve"> 100%</w:t>
      </w:r>
      <w:r>
        <w:rPr>
          <w:rFonts w:ascii="Arial Narrow Regular" w:hAnsi="Arial Narrow Regular" w:cs="Arial Narrow Regular"/>
          <w:sz w:val="20"/>
          <w:szCs w:val="20"/>
          <w:highlight w:val="none"/>
          <w:lang w:val="en-US"/>
        </w:rPr>
        <w:t xml:space="preserve"> </w:t>
      </w:r>
      <w:r>
        <w:rPr>
          <w:rFonts w:hint="default" w:ascii="Arial Narrow Regular" w:hAnsi="Arial Narrow Regular" w:cs="Arial Narrow Regular"/>
          <w:sz w:val="20"/>
          <w:szCs w:val="20"/>
          <w:highlight w:val="none"/>
          <w:lang w:val="en-US"/>
        </w:rPr>
        <w:t xml:space="preserve">and more showed increase in meeting PA + SL guidelines and decrease in meeting PA + ST guidelines </w:t>
      </w:r>
      <w:r>
        <w:rPr>
          <w:rFonts w:ascii="Arial Narrow Regular" w:hAnsi="Arial Narrow Regular" w:cs="Arial Narrow Regular"/>
          <w:sz w:val="20"/>
          <w:szCs w:val="20"/>
        </w:rPr>
        <w:t>(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 xml:space="preserve">both </w:t>
      </w:r>
      <w:r>
        <w:rPr>
          <w:rFonts w:ascii="Arial Narrow Regular" w:hAnsi="Arial Narrow Regular" w:cs="Arial Narrow Regular"/>
          <w:i/>
          <w:iCs/>
          <w:sz w:val="20"/>
          <w:szCs w:val="20"/>
        </w:rPr>
        <w:t>P</w:t>
      </w:r>
      <w:r>
        <w:rPr>
          <w:rFonts w:ascii="Arial Narrow Regular" w:hAnsi="Arial Narrow Regular" w:cs="Arial Narrow Regular"/>
          <w:sz w:val="20"/>
          <w:szCs w:val="20"/>
        </w:rPr>
        <w:t xml:space="preserve">-value for temporal trend &lt; 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>0.</w:t>
      </w:r>
      <w:r>
        <w:rPr>
          <w:rFonts w:ascii="Arial Narrow Regular" w:hAnsi="Arial Narrow Regular" w:cs="Arial Narrow Regular"/>
          <w:sz w:val="20"/>
          <w:szCs w:val="20"/>
        </w:rPr>
        <w:t>001)</w:t>
      </w:r>
      <w:r>
        <w:rPr>
          <w:rFonts w:hint="default" w:ascii="Arial Narrow Regular" w:hAnsi="Arial Narrow Regular" w:cs="Arial Narrow Regular"/>
          <w:sz w:val="20"/>
          <w:szCs w:val="20"/>
          <w:highlight w:val="none"/>
          <w:lang w:val="en-US"/>
        </w:rPr>
        <w:t>.</w:t>
      </w:r>
      <w:r>
        <w:rPr>
          <w:rFonts w:ascii="Arial Narrow Regular" w:hAnsi="Arial Narrow Regular" w:cs="Arial Narrow Regular"/>
          <w:sz w:val="20"/>
          <w:szCs w:val="20"/>
        </w:rPr>
        <w:t xml:space="preserve"> The estimated prevalence of SL + ST guidelines showed a significant decrease among participants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 xml:space="preserve"> both</w:t>
      </w:r>
      <w:r>
        <w:rPr>
          <w:rFonts w:ascii="Arial Narrow Regular" w:hAnsi="Arial Narrow Regular" w:cs="Arial Narrow Regular"/>
          <w:sz w:val="20"/>
          <w:szCs w:val="20"/>
        </w:rPr>
        <w:t xml:space="preserve"> who reported FPL level of 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>less than 99</w:t>
      </w:r>
      <w:r>
        <w:rPr>
          <w:rFonts w:ascii="Arial Narrow Regular" w:hAnsi="Arial Narrow Regular" w:cs="Arial Narrow Regular"/>
          <w:sz w:val="20"/>
          <w:szCs w:val="20"/>
        </w:rPr>
        <w:t>%</w:t>
      </w:r>
      <w:r>
        <w:rPr>
          <w:rFonts w:ascii="Arial Narrow Regular" w:hAnsi="Arial Narrow Regular" w:cs="Arial Narrow Regular"/>
          <w:sz w:val="20"/>
          <w:szCs w:val="20"/>
          <w:lang w:val="en-US"/>
        </w:rPr>
        <w:t xml:space="preserve"> 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>and 100% and more</w:t>
      </w:r>
      <w:r>
        <w:rPr>
          <w:rFonts w:ascii="Arial Narrow Regular" w:hAnsi="Arial Narrow Regular" w:cs="Arial Narrow Regular"/>
          <w:sz w:val="20"/>
          <w:szCs w:val="20"/>
        </w:rPr>
        <w:t xml:space="preserve"> (P-value for trend &lt; 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>0.</w:t>
      </w:r>
      <w:r>
        <w:rPr>
          <w:rFonts w:ascii="Arial Narrow Regular" w:hAnsi="Arial Narrow Regular" w:cs="Arial Narrow Regular"/>
          <w:sz w:val="20"/>
          <w:szCs w:val="20"/>
        </w:rPr>
        <w:t>001)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>.</w:t>
      </w:r>
      <w:r>
        <w:rPr>
          <w:rFonts w:ascii="Arial Narrow Regular" w:hAnsi="Arial Narrow Regular" w:cs="Arial Narrow Regular"/>
          <w:sz w:val="20"/>
          <w:szCs w:val="20"/>
        </w:rPr>
        <w:t xml:space="preserve"> </w:t>
      </w:r>
      <w:r>
        <w:rPr>
          <w:rFonts w:hint="default" w:ascii="Arial Narrow Regular" w:hAnsi="Arial Narrow Regular" w:cs="Arial Narrow Regular"/>
          <w:sz w:val="20"/>
          <w:szCs w:val="20"/>
        </w:rPr>
        <w:t>(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 xml:space="preserve">see Aditional </w:t>
      </w:r>
      <w:r>
        <w:rPr>
          <w:rFonts w:ascii="Arial Narrow Regular" w:hAnsi="Arial Narrow Regular" w:cs="Arial Narrow Regular"/>
          <w:sz w:val="20"/>
          <w:szCs w:val="20"/>
        </w:rPr>
        <w:t>Figure</w:t>
      </w:r>
      <w:r>
        <w:rPr>
          <w:rFonts w:hint="default" w:ascii="Arial Narrow Regular" w:hAnsi="Arial Narrow Regular" w:cs="Arial Narrow Regular"/>
          <w:sz w:val="20"/>
          <w:szCs w:val="20"/>
          <w:lang w:val="en-US"/>
        </w:rPr>
        <w:t>1.</w:t>
      </w:r>
      <w:r>
        <w:rPr>
          <w:rFonts w:ascii="Arial Narrow Regular" w:hAnsi="Arial Narrow Regular" w:cs="Arial Narrow Regular"/>
          <w:sz w:val="20"/>
          <w:szCs w:val="20"/>
        </w:rPr>
        <w:t xml:space="preserve">4). </w:t>
      </w:r>
    </w:p>
    <w:p>
      <w:pPr>
        <w:rPr>
          <w:rFonts w:ascii="Arial Narrow Regular" w:hAnsi="Arial Narrow Regular" w:cs="Arial Narrow Regular"/>
          <w:sz w:val="20"/>
          <w:szCs w:val="20"/>
        </w:rPr>
      </w:pPr>
    </w:p>
    <w:p>
      <w:pPr>
        <w:rPr>
          <w:rFonts w:ascii="Arial Narrow Regular" w:hAnsi="Arial Narrow Regular" w:cs="Arial Narrow Regular"/>
          <w:sz w:val="20"/>
          <w:szCs w:val="20"/>
        </w:rPr>
      </w:pPr>
    </w:p>
    <w:p>
      <w:pPr>
        <w:rPr>
          <w:rFonts w:hint="default" w:ascii="Arial Narrow Regular" w:hAnsi="Arial Narrow Regular" w:cs="Arial Narrow Regular"/>
          <w:sz w:val="20"/>
          <w:szCs w:val="20"/>
        </w:rPr>
      </w:pPr>
    </w:p>
    <w:bookmarkEnd w:id="23"/>
    <w:p>
      <w:pPr>
        <w:sectPr>
          <w:footerReference r:id="rId6" w:type="default"/>
          <w:pgSz w:w="11906" w:h="16838"/>
          <w:pgMar w:top="1440" w:right="1080" w:bottom="1440" w:left="108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p>
      <w:pPr>
        <w:pStyle w:val="4"/>
        <w:outlineLvl w:val="0"/>
        <w:rPr>
          <w:rFonts w:hint="default"/>
          <w:lang w:val="en-US"/>
        </w:rPr>
      </w:pPr>
      <w:bookmarkStart w:id="49" w:name="_Toc633757549"/>
      <w:bookmarkStart w:id="50" w:name="_Toc1534128279"/>
      <w:bookmarkStart w:id="51" w:name="_Toc2019943142"/>
      <w:bookmarkStart w:id="52" w:name="_Toc1926466667"/>
      <w:bookmarkStart w:id="53" w:name="_Toc205971585"/>
      <w:bookmarkStart w:id="54" w:name="_Toc164960039"/>
      <w:bookmarkStart w:id="55" w:name="_Toc899482360"/>
      <w:bookmarkStart w:id="56" w:name="_Toc2076224816"/>
      <w:bookmarkStart w:id="57" w:name="_Toc1323714657"/>
      <w:bookmarkStart w:id="58" w:name="_Toc1814456903"/>
      <w:bookmarkStart w:id="59" w:name="_Toc1228761197"/>
      <w:bookmarkStart w:id="60" w:name="_Toc1705798948"/>
      <w:bookmarkStart w:id="61" w:name="_Toc2047164785"/>
      <w:bookmarkStart w:id="62" w:name="_Toc2145472251"/>
      <w:bookmarkStart w:id="63" w:name="_Toc262798198"/>
      <w:bookmarkStart w:id="64" w:name="_Toc428586781"/>
      <w:bookmarkStart w:id="65" w:name="_Toc1878934337"/>
      <w:bookmarkStart w:id="66" w:name="_Toc1385874410"/>
      <w:bookmarkStart w:id="67" w:name="_Toc152771541"/>
      <w:bookmarkStart w:id="68" w:name="_Toc334836048"/>
      <w:bookmarkStart w:id="69" w:name="_Toc120036854"/>
      <w:bookmarkStart w:id="70" w:name="_Toc426635485"/>
      <w:bookmarkStart w:id="71" w:name="_Toc269560022"/>
      <w:bookmarkStart w:id="72" w:name="_Toc1326421284"/>
      <w:bookmarkStart w:id="73" w:name="_Toc1673474868"/>
      <w:bookmarkStart w:id="74" w:name="_Toc394118376"/>
      <w:r>
        <w:rPr>
          <w:rFonts w:hint="default"/>
          <w:lang w:val="en-US"/>
        </w:rPr>
        <w:t>Tables</w:t>
      </w:r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</w:p>
    <w:p>
      <w:pPr>
        <w:pStyle w:val="5"/>
        <w:rPr>
          <w:rFonts w:hint="eastAsia"/>
        </w:rPr>
      </w:pPr>
      <w:bookmarkStart w:id="75" w:name="_Toc1405319271"/>
      <w:bookmarkStart w:id="76" w:name="_Toc1762895818"/>
      <w:bookmarkStart w:id="77" w:name="_Toc20790131"/>
      <w:bookmarkStart w:id="78" w:name="_Toc1309381321"/>
      <w:r>
        <w:t>Table</w:t>
      </w:r>
      <w:bookmarkEnd w:id="59"/>
      <w:bookmarkEnd w:id="60"/>
      <w:bookmarkEnd w:id="61"/>
      <w:r>
        <w:rPr>
          <w:rFonts w:hint="default"/>
          <w:lang w:val="en-US"/>
        </w:rPr>
        <w:t xml:space="preserve"> 1.</w:t>
      </w:r>
      <w:r>
        <w:t xml:space="preserve"> </w:t>
      </w:r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r>
        <w:rPr>
          <w:rFonts w:hint="default"/>
        </w:rPr>
        <w:t>Assessment of MBD</w:t>
      </w:r>
      <w:r>
        <w:rPr>
          <w:rFonts w:hint="default"/>
          <w:lang w:val="en-US"/>
        </w:rPr>
        <w:t xml:space="preserve"> </w:t>
      </w:r>
      <w:r>
        <w:rPr>
          <w:rFonts w:hint="default"/>
        </w:rPr>
        <w:t>conditions, NSCH 2016-2021</w:t>
      </w:r>
      <w:bookmarkEnd w:id="75"/>
      <w:bookmarkEnd w:id="76"/>
      <w:bookmarkEnd w:id="77"/>
      <w:bookmarkEnd w:id="78"/>
    </w:p>
    <w:tbl>
      <w:tblPr>
        <w:tblStyle w:val="19"/>
        <w:tblpPr w:leftFromText="180" w:rightFromText="180" w:vertAnchor="text" w:horzAnchor="page" w:tblpX="1312" w:tblpY="383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1"/>
        <w:gridCol w:w="10596"/>
        <w:gridCol w:w="11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425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Variable</w:t>
            </w:r>
          </w:p>
        </w:tc>
        <w:tc>
          <w:tcPr>
            <w:tcW w:w="10646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Item</w:t>
            </w:r>
          </w:p>
        </w:tc>
        <w:tc>
          <w:tcPr>
            <w:tcW w:w="0" w:type="auto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Response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07" w:hRule="atLeast"/>
        </w:trPr>
        <w:tc>
          <w:tcPr>
            <w:tcW w:w="2425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K2Q43B</w:t>
            </w:r>
          </w:p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BLINDNESS</w:t>
            </w:r>
          </w:p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K2Q46A(CONCUSSION)</w:t>
            </w:r>
          </w:p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K2Q61A</w:t>
            </w:r>
          </w:p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DOWNSYN</w:t>
            </w:r>
          </w:p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K2Q42A</w:t>
            </w:r>
          </w:p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K2Q38A</w:t>
            </w:r>
          </w:p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K2Q33A</w:t>
            </w:r>
          </w:p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K2Q32A</w:t>
            </w:r>
          </w:p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K2Q34A</w:t>
            </w:r>
            <w:r>
              <w:rPr>
                <w:rFonts w:ascii="Arial Regular" w:hAnsi="Arial Regular" w:cs="Arial Regular"/>
                <w:sz w:val="20"/>
                <w:szCs w:val="20"/>
              </w:rPr>
              <w:br w:type="textWrapping"/>
            </w:r>
            <w:r>
              <w:rPr>
                <w:rFonts w:ascii="Arial Regular" w:hAnsi="Arial Regular" w:cs="Arial Regular"/>
                <w:sz w:val="20"/>
                <w:szCs w:val="20"/>
              </w:rPr>
              <w:t>K2Q36A</w:t>
            </w:r>
          </w:p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K2Q60A</w:t>
            </w:r>
          </w:p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K2Q37A</w:t>
            </w:r>
          </w:p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K2Q30A</w:t>
            </w:r>
          </w:p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K2Q35A</w:t>
            </w:r>
          </w:p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K2Q31A</w:t>
            </w:r>
          </w:p>
        </w:tc>
        <w:tc>
          <w:tcPr>
            <w:tcW w:w="10646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iCs/>
                <w:sz w:val="20"/>
                <w:szCs w:val="20"/>
              </w:rPr>
            </w:pPr>
            <w:r>
              <w:rPr>
                <w:rFonts w:ascii="Arial Regular" w:hAnsi="Arial Regular" w:cs="Arial Regular"/>
                <w:iCs/>
                <w:sz w:val="20"/>
                <w:szCs w:val="20"/>
              </w:rPr>
              <w:t>Does this child have any of the following?  Deafness or problems with hearing/ Blindness or problems with seeing, even when wearing glasses</w:t>
            </w:r>
          </w:p>
          <w:p>
            <w:pPr>
              <w:rPr>
                <w:rFonts w:hint="eastAsia" w:ascii="Arial Regular" w:hAnsi="Arial Regular" w:cs="Arial Regular"/>
                <w:iCs/>
                <w:sz w:val="20"/>
                <w:szCs w:val="20"/>
              </w:rPr>
            </w:pPr>
            <w:r>
              <w:rPr>
                <w:rFonts w:ascii="Arial Regular" w:hAnsi="Arial Regular" w:cs="Arial Regular"/>
                <w:iCs/>
                <w:sz w:val="20"/>
                <w:szCs w:val="20"/>
              </w:rPr>
              <w:t>Has a doctor or other health care provider ever told you that this child has: Brain Injury, Concussion or Head injury/Cerebral Palsy/ Down Syndrome/ Epilepsy or Seizure Disorder/ Tourette Syndrome/ Anxiety problems/ Depression?</w:t>
            </w:r>
          </w:p>
          <w:p>
            <w:pPr>
              <w:rPr>
                <w:rFonts w:hint="eastAsia" w:ascii="Arial Regular" w:hAnsi="Arial Regular" w:cs="Arial Regular"/>
                <w:iCs/>
                <w:sz w:val="20"/>
                <w:szCs w:val="20"/>
              </w:rPr>
            </w:pPr>
            <w:r>
              <w:rPr>
                <w:rFonts w:ascii="Arial Regular" w:hAnsi="Arial Regular" w:cs="Arial Regular"/>
                <w:iCs/>
                <w:sz w:val="20"/>
                <w:szCs w:val="20"/>
              </w:rPr>
              <w:t>Has a doctor, other health care provider, or educator ever told you that this child has: Behavioral or Conduct problems/ Developmental Delay/ Intellectual Disability (also known as Mental Retardation)/Speech or Other Language Disorder/ Learning Disability?</w:t>
            </w:r>
          </w:p>
          <w:p>
            <w:pPr>
              <w:rPr>
                <w:rFonts w:hint="eastAsia" w:ascii="Arial Regular" w:hAnsi="Arial Regular" w:cs="Arial Regular"/>
                <w:iCs/>
                <w:sz w:val="20"/>
                <w:szCs w:val="20"/>
              </w:rPr>
            </w:pPr>
            <w:r>
              <w:rPr>
                <w:rFonts w:ascii="Arial Regular" w:hAnsi="Arial Regular" w:cs="Arial Regular"/>
                <w:iCs/>
                <w:sz w:val="20"/>
                <w:szCs w:val="20"/>
              </w:rPr>
              <w:t>Has a doctor or other health care provider ever told you that this child has Autism or Autism Spectrum Disorder (ASD)? Include diagnoses of Asperger’s Disorder or Pervasive Developmental Disorder(PDD).</w:t>
            </w:r>
          </w:p>
          <w:p>
            <w:pPr>
              <w:rPr>
                <w:rFonts w:hint="eastAsia" w:ascii="Arial Regular" w:hAnsi="Arial Regular" w:cs="Arial Regular"/>
                <w:iCs/>
                <w:sz w:val="20"/>
                <w:szCs w:val="20"/>
              </w:rPr>
            </w:pPr>
            <w:r>
              <w:rPr>
                <w:rFonts w:ascii="Arial Regular" w:hAnsi="Arial Regular" w:cs="Arial Regular"/>
                <w:iCs/>
                <w:sz w:val="20"/>
                <w:szCs w:val="20"/>
              </w:rPr>
              <w:t>Has a doctor or other health care provider ever told you that this child has Attention Deficit Disorder or Attention Deficit/ Hyperactivity Disorder, that is, ADD or ADHD?</w:t>
            </w:r>
          </w:p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PS: Change K2Q46A to CONCUSSION in 2020 and 2021</w:t>
            </w:r>
          </w:p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 xml:space="preserve">Item: </w:t>
            </w:r>
            <w:r>
              <w:rPr>
                <w:rFonts w:ascii="Arial Regular" w:hAnsi="Arial Regular" w:cs="Arial Regular"/>
                <w:iCs/>
                <w:sz w:val="20"/>
                <w:szCs w:val="20"/>
              </w:rPr>
              <w:t>Do you think this child has ever had a concussion or brain injury? [2020/2021]</w:t>
            </w:r>
          </w:p>
        </w:tc>
        <w:tc>
          <w:tcPr>
            <w:tcW w:w="0" w:type="auto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Yes / No</w:t>
            </w:r>
          </w:p>
        </w:tc>
      </w:tr>
    </w:tbl>
    <w:p>
      <w:pPr>
        <w:rPr>
          <w:rFonts w:hint="default" w:ascii="Arial Bold" w:hAnsi="Arial Bold" w:cs="Arial Bold"/>
          <w:b/>
          <w:bCs/>
          <w:sz w:val="20"/>
          <w:szCs w:val="20"/>
          <w:lang w:val="en-US"/>
        </w:rPr>
      </w:pPr>
      <w:bookmarkStart w:id="79" w:name="_Toc1863032908"/>
    </w:p>
    <w:bookmarkEnd w:id="79"/>
    <w:p>
      <w:pPr>
        <w:rPr>
          <w:rFonts w:hint="default" w:ascii="Times New Roman Regular" w:hAnsi="Times New Roman Regular" w:cs="Times New Roman Regular"/>
          <w:lang w:val="en-US"/>
        </w:rPr>
      </w:pPr>
      <w:r>
        <w:rPr>
          <w:rFonts w:hint="default" w:ascii="Times New Roman Regular" w:hAnsi="Times New Roman Regular" w:cs="Times New Roman Regular"/>
          <w:lang w:val="en-US"/>
        </w:rPr>
        <w:t>Abbreviations: MBD=</w:t>
      </w:r>
      <w:r>
        <w:rPr>
          <w:rFonts w:hint="default" w:ascii="Times New Roman Regular" w:hAnsi="Times New Roman Regular" w:cs="Times New Roman Regular"/>
        </w:rPr>
        <w:t>mental, behavioral, neurodevelopmental</w:t>
      </w:r>
      <w:r>
        <w:rPr>
          <w:rFonts w:hint="default" w:ascii="Times New Roman Regular" w:hAnsi="Times New Roman Regular" w:cs="Times New Roman Regular"/>
          <w:lang w:val="en-US"/>
        </w:rPr>
        <w:t>.</w:t>
      </w:r>
      <w:r>
        <w:rPr>
          <w:rFonts w:hint="default" w:ascii="Times New Roman Regular" w:hAnsi="Times New Roman Regular" w:cs="Times New Roman Regular"/>
        </w:rPr>
        <w:t xml:space="preserve"> </w:t>
      </w:r>
    </w:p>
    <w:p>
      <w:pPr>
        <w:rPr>
          <w:rFonts w:ascii="Times New Roman Regular" w:hAnsi="Times New Roman Regular" w:cs="Times New Roman Regular"/>
        </w:rPr>
      </w:pPr>
    </w:p>
    <w:p>
      <w:pPr>
        <w:rPr>
          <w:rFonts w:ascii="Arial Narrow" w:hAnsi="Arial Narrow"/>
          <w:sz w:val="24"/>
        </w:rPr>
      </w:pPr>
    </w:p>
    <w:p>
      <w:pPr>
        <w:pStyle w:val="5"/>
        <w:rPr>
          <w:rFonts w:hint="default"/>
        </w:rPr>
      </w:pPr>
      <w:bookmarkStart w:id="80" w:name="_Toc1527380903"/>
      <w:bookmarkStart w:id="81" w:name="_Toc158135467"/>
      <w:bookmarkStart w:id="82" w:name="_Toc1175837991"/>
      <w:bookmarkStart w:id="83" w:name="_Toc1506931238"/>
      <w:r>
        <w:t>Table</w:t>
      </w:r>
      <w:r>
        <w:rPr>
          <w:rFonts w:hint="default"/>
          <w:lang w:val="en-US"/>
        </w:rPr>
        <w:t xml:space="preserve"> 2.</w:t>
      </w:r>
      <w:r>
        <w:t xml:space="preserve"> </w:t>
      </w:r>
      <w:r>
        <w:rPr>
          <w:rFonts w:hint="default"/>
        </w:rPr>
        <w:t>Assessment of 24-HMB guidelines</w:t>
      </w:r>
      <w:r>
        <w:rPr>
          <w:rFonts w:hint="default"/>
          <w:lang w:val="en-US"/>
        </w:rPr>
        <w:t>,</w:t>
      </w:r>
      <w:r>
        <w:rPr>
          <w:rFonts w:hint="default"/>
        </w:rPr>
        <w:t xml:space="preserve"> NSCH 2016-2021</w:t>
      </w:r>
      <w:bookmarkEnd w:id="80"/>
      <w:bookmarkEnd w:id="81"/>
      <w:bookmarkEnd w:id="82"/>
      <w:bookmarkEnd w:id="83"/>
    </w:p>
    <w:p>
      <w:pPr>
        <w:rPr>
          <w:rFonts w:ascii="Arial Narrow" w:hAnsi="Arial Narrow"/>
          <w:sz w:val="24"/>
        </w:rPr>
      </w:pPr>
    </w:p>
    <w:tbl>
      <w:tblPr>
        <w:tblStyle w:val="19"/>
        <w:tblW w:w="1417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6"/>
        <w:gridCol w:w="1355"/>
        <w:gridCol w:w="7928"/>
        <w:gridCol w:w="29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906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24-HMB guidelines</w:t>
            </w:r>
          </w:p>
        </w:tc>
        <w:tc>
          <w:tcPr>
            <w:tcW w:w="1355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Variables</w:t>
            </w:r>
          </w:p>
        </w:tc>
        <w:tc>
          <w:tcPr>
            <w:tcW w:w="7928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Item</w:t>
            </w:r>
          </w:p>
        </w:tc>
        <w:tc>
          <w:tcPr>
            <w:tcW w:w="2985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Response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906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Physical activity</w:t>
            </w:r>
          </w:p>
        </w:tc>
        <w:tc>
          <w:tcPr>
            <w:tcW w:w="1355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PHYSACTIV</w:t>
            </w:r>
          </w:p>
        </w:tc>
        <w:tc>
          <w:tcPr>
            <w:tcW w:w="7928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During the past week, on how many days did this child exercise, play a sport, or participate in physical activity for at least 60 minutes?</w:t>
            </w:r>
          </w:p>
        </w:tc>
        <w:tc>
          <w:tcPr>
            <w:tcW w:w="2985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numPr>
                <w:ilvl w:val="0"/>
                <w:numId w:val="1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“0 days”</w:t>
            </w:r>
          </w:p>
          <w:p>
            <w:pPr>
              <w:numPr>
                <w:ilvl w:val="0"/>
                <w:numId w:val="1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“1-3 days”</w:t>
            </w:r>
          </w:p>
          <w:p>
            <w:pPr>
              <w:numPr>
                <w:ilvl w:val="0"/>
                <w:numId w:val="1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“4-6 days”</w:t>
            </w:r>
          </w:p>
          <w:p>
            <w:pPr>
              <w:numPr>
                <w:ilvl w:val="0"/>
                <w:numId w:val="1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“Everyday”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906" w:type="dxa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Sleep</w:t>
            </w:r>
          </w:p>
        </w:tc>
        <w:tc>
          <w:tcPr>
            <w:tcW w:w="1355" w:type="dxa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HOURSLEEP</w:t>
            </w:r>
          </w:p>
        </w:tc>
        <w:tc>
          <w:tcPr>
            <w:tcW w:w="7928" w:type="dxa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 xml:space="preserve">During the past week, how many hour of sleep did this child get on most weeknights? </w:t>
            </w:r>
          </w:p>
        </w:tc>
        <w:tc>
          <w:tcPr>
            <w:tcW w:w="2985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2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“Less than 6 hours”</w:t>
            </w:r>
          </w:p>
          <w:p>
            <w:pPr>
              <w:numPr>
                <w:ilvl w:val="0"/>
                <w:numId w:val="2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“6 hours”</w:t>
            </w:r>
          </w:p>
          <w:p>
            <w:pPr>
              <w:numPr>
                <w:ilvl w:val="0"/>
                <w:numId w:val="2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“7 hours”</w:t>
            </w:r>
          </w:p>
          <w:p>
            <w:pPr>
              <w:numPr>
                <w:ilvl w:val="0"/>
                <w:numId w:val="2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“8 hours’</w:t>
            </w:r>
          </w:p>
          <w:p>
            <w:pPr>
              <w:numPr>
                <w:ilvl w:val="0"/>
                <w:numId w:val="2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“9 hours”</w:t>
            </w:r>
          </w:p>
          <w:p>
            <w:pPr>
              <w:numPr>
                <w:ilvl w:val="0"/>
                <w:numId w:val="2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“10 hours”</w:t>
            </w:r>
          </w:p>
          <w:p>
            <w:pPr>
              <w:numPr>
                <w:ilvl w:val="0"/>
                <w:numId w:val="2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“11 hours or more hours”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906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 xml:space="preserve">Screen time </w:t>
            </w:r>
          </w:p>
        </w:tc>
        <w:tc>
          <w:tcPr>
            <w:tcW w:w="1355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SCREENTIME/</w:t>
            </w:r>
          </w:p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K7Q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91</w:t>
            </w:r>
            <w:r>
              <w:rPr>
                <w:rFonts w:ascii="Arial Regular" w:hAnsi="Arial Regular" w:cs="Arial Regular"/>
                <w:sz w:val="20"/>
                <w:szCs w:val="20"/>
              </w:rPr>
              <w:t>_R</w:t>
            </w:r>
          </w:p>
        </w:tc>
        <w:tc>
          <w:tcPr>
            <w:tcW w:w="7928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On most weekdays, about how much time does this child usually spend in front of a TV, computer, cellphone or other electronic device watching programs, playing games, accessing the internet or using social media ? (Do not include time spent doing homework.)</w:t>
            </w:r>
          </w:p>
        </w:tc>
        <w:tc>
          <w:tcPr>
            <w:tcW w:w="2985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numPr>
                <w:ilvl w:val="0"/>
                <w:numId w:val="3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“None”</w:t>
            </w:r>
          </w:p>
          <w:p>
            <w:pPr>
              <w:numPr>
                <w:ilvl w:val="0"/>
                <w:numId w:val="3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“Less than 1 hour”</w:t>
            </w:r>
          </w:p>
          <w:p>
            <w:pPr>
              <w:numPr>
                <w:ilvl w:val="0"/>
                <w:numId w:val="3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“1 hour”</w:t>
            </w:r>
          </w:p>
          <w:p>
            <w:pPr>
              <w:numPr>
                <w:ilvl w:val="0"/>
                <w:numId w:val="3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“2 hours”</w:t>
            </w:r>
          </w:p>
          <w:p>
            <w:pPr>
              <w:numPr>
                <w:ilvl w:val="0"/>
                <w:numId w:val="3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“3 hours”</w:t>
            </w:r>
          </w:p>
          <w:p>
            <w:pPr>
              <w:numPr>
                <w:ilvl w:val="0"/>
                <w:numId w:val="3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“4 or more hours”</w:t>
            </w:r>
          </w:p>
        </w:tc>
      </w:tr>
    </w:tbl>
    <w:p>
      <w:pPr>
        <w:rPr>
          <w:rFonts w:hint="eastAsia" w:ascii="Times New Roman Regular" w:hAnsi="Times New Roman Regular" w:cs="Times New Roman Regular"/>
        </w:rPr>
      </w:pPr>
    </w:p>
    <w:p>
      <w:pPr>
        <w:rPr>
          <w:rFonts w:hint="default" w:ascii="Times New Roman Regular" w:hAnsi="Times New Roman Regular" w:cs="Times New Roman Regular"/>
          <w:sz w:val="22"/>
          <w:szCs w:val="28"/>
          <w:lang w:val="en-US"/>
        </w:rPr>
      </w:pPr>
      <w:r>
        <w:rPr>
          <w:rFonts w:hint="default" w:ascii="Times New Roman Regular" w:hAnsi="Times New Roman Regular" w:cs="Times New Roman Regular"/>
          <w:sz w:val="22"/>
          <w:szCs w:val="28"/>
          <w:lang w:val="en-US"/>
        </w:rPr>
        <w:t>Abbreviations: 24-HMB= 24-hour movement behaviors.</w:t>
      </w:r>
    </w:p>
    <w:p>
      <w:pPr>
        <w:rPr>
          <w:rFonts w:hint="default"/>
          <w:sz w:val="22"/>
          <w:szCs w:val="28"/>
          <w:lang w:val="en-US"/>
        </w:rPr>
      </w:pPr>
    </w:p>
    <w:p/>
    <w:p>
      <w:pPr>
        <w:pStyle w:val="5"/>
        <w:rPr>
          <w:rFonts w:hint="default" w:asciiTheme="minorHAnsi" w:hAnsiTheme="minorHAnsi" w:cstheme="minorBidi"/>
          <w:b/>
        </w:rPr>
      </w:pPr>
      <w:bookmarkStart w:id="84" w:name="_Toc1818804130"/>
      <w:bookmarkStart w:id="85" w:name="_Toc1345522530"/>
      <w:bookmarkStart w:id="86" w:name="_Toc1164595043"/>
      <w:bookmarkStart w:id="87" w:name="_Toc1718667995"/>
      <w:r>
        <w:rPr>
          <w:rFonts w:asciiTheme="minorHAnsi" w:hAnsiTheme="minorHAnsi" w:cstheme="minorBidi"/>
          <w:b/>
        </w:rPr>
        <w:t>Table</w:t>
      </w:r>
      <w:r>
        <w:rPr>
          <w:rFonts w:hint="default" w:asciiTheme="minorHAnsi" w:hAnsiTheme="minorHAnsi" w:cstheme="minorBidi"/>
          <w:b/>
          <w:lang w:val="en-US"/>
        </w:rPr>
        <w:t xml:space="preserve"> 3.</w:t>
      </w:r>
      <w:r>
        <w:rPr>
          <w:rFonts w:asciiTheme="minorHAnsi" w:hAnsiTheme="minorHAnsi" w:cstheme="minorBidi"/>
          <w:b/>
        </w:rPr>
        <w:t xml:space="preserve"> </w:t>
      </w:r>
      <w:r>
        <w:rPr>
          <w:rFonts w:hint="default" w:asciiTheme="minorHAnsi" w:hAnsiTheme="minorHAnsi" w:cstheme="minorBidi"/>
          <w:b/>
        </w:rPr>
        <w:t>Assessment of sociodemographic characteristics,</w:t>
      </w:r>
      <w:r>
        <w:rPr>
          <w:rFonts w:hint="default" w:asciiTheme="minorHAnsi" w:hAnsiTheme="minorHAnsi" w:cstheme="minorBidi"/>
          <w:b/>
          <w:lang w:val="en-US"/>
        </w:rPr>
        <w:t xml:space="preserve"> </w:t>
      </w:r>
      <w:r>
        <w:rPr>
          <w:rFonts w:hint="default" w:asciiTheme="minorHAnsi" w:hAnsiTheme="minorHAnsi" w:cstheme="minorBidi"/>
          <w:b/>
        </w:rPr>
        <w:t>NSCH 2016-2021</w:t>
      </w:r>
      <w:bookmarkEnd w:id="84"/>
      <w:bookmarkEnd w:id="85"/>
      <w:bookmarkEnd w:id="86"/>
      <w:bookmarkEnd w:id="87"/>
    </w:p>
    <w:tbl>
      <w:tblPr>
        <w:tblStyle w:val="19"/>
        <w:tblpPr w:leftFromText="180" w:rightFromText="180" w:vertAnchor="text" w:horzAnchor="page" w:tblpX="1426" w:tblpY="44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6"/>
        <w:gridCol w:w="7336"/>
        <w:gridCol w:w="49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866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Variable</w:t>
            </w:r>
          </w:p>
        </w:tc>
        <w:tc>
          <w:tcPr>
            <w:tcW w:w="7336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Item</w:t>
            </w:r>
          </w:p>
        </w:tc>
        <w:tc>
          <w:tcPr>
            <w:tcW w:w="4972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Response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866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SC_AGE_YEARS</w:t>
            </w:r>
          </w:p>
        </w:tc>
        <w:tc>
          <w:tcPr>
            <w:tcW w:w="7336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How old is this child?</w:t>
            </w:r>
          </w:p>
        </w:tc>
        <w:tc>
          <w:tcPr>
            <w:tcW w:w="4972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0-17 years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866" w:type="dxa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SC_SEX</w:t>
            </w:r>
          </w:p>
        </w:tc>
        <w:tc>
          <w:tcPr>
            <w:tcW w:w="7336" w:type="dxa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What is this child’s sex?</w:t>
            </w:r>
          </w:p>
        </w:tc>
        <w:tc>
          <w:tcPr>
            <w:tcW w:w="4972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4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“male”</w:t>
            </w:r>
          </w:p>
          <w:p>
            <w:pPr>
              <w:numPr>
                <w:ilvl w:val="0"/>
                <w:numId w:val="4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“female”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866" w:type="dxa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raceAISA_years</w:t>
            </w:r>
          </w:p>
        </w:tc>
        <w:tc>
          <w:tcPr>
            <w:tcW w:w="7336" w:type="dxa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What is this child’s race?</w:t>
            </w:r>
          </w:p>
        </w:tc>
        <w:tc>
          <w:tcPr>
            <w:tcW w:w="4972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5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“Hispanic”</w:t>
            </w:r>
          </w:p>
          <w:p>
            <w:pPr>
              <w:numPr>
                <w:ilvl w:val="0"/>
                <w:numId w:val="5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“White, non-Hispanic”</w:t>
            </w:r>
          </w:p>
          <w:p>
            <w:pPr>
              <w:numPr>
                <w:ilvl w:val="0"/>
                <w:numId w:val="5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“Black, non-Hispanic”</w:t>
            </w:r>
          </w:p>
          <w:p>
            <w:pPr>
              <w:numPr>
                <w:ilvl w:val="0"/>
                <w:numId w:val="5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“Asian, non-Hispanic”</w:t>
            </w:r>
          </w:p>
          <w:p>
            <w:pPr>
              <w:numPr>
                <w:ilvl w:val="0"/>
                <w:numId w:val="5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“Other/Multi-racial, non-Hispanic”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866" w:type="dxa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BronPre_years</w:t>
            </w:r>
          </w:p>
        </w:tc>
        <w:tc>
          <w:tcPr>
            <w:tcW w:w="7336" w:type="dxa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Was this child born more than 3 weeks before their due date?</w:t>
            </w:r>
          </w:p>
        </w:tc>
        <w:tc>
          <w:tcPr>
            <w:tcW w:w="4972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6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“Yes”</w:t>
            </w:r>
          </w:p>
          <w:p>
            <w:pPr>
              <w:numPr>
                <w:ilvl w:val="0"/>
                <w:numId w:val="6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“No”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866" w:type="dxa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AdultEduc_years</w:t>
            </w:r>
          </w:p>
        </w:tc>
        <w:tc>
          <w:tcPr>
            <w:tcW w:w="7336" w:type="dxa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What is the highest grade or level of school you/ this caregiver have completed?</w:t>
            </w:r>
          </w:p>
        </w:tc>
        <w:tc>
          <w:tcPr>
            <w:tcW w:w="4972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7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“Less than high school”</w:t>
            </w:r>
          </w:p>
          <w:p>
            <w:pPr>
              <w:numPr>
                <w:ilvl w:val="0"/>
                <w:numId w:val="7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“High school or GED”</w:t>
            </w:r>
          </w:p>
          <w:p>
            <w:pPr>
              <w:numPr>
                <w:ilvl w:val="0"/>
                <w:numId w:val="7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“Some college or technical school”</w:t>
            </w:r>
          </w:p>
          <w:p>
            <w:pPr>
              <w:numPr>
                <w:ilvl w:val="0"/>
                <w:numId w:val="7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“College degree or higher”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866" w:type="dxa"/>
            <w:tcBorders>
              <w:bottom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Povlev4_years</w:t>
            </w:r>
          </w:p>
        </w:tc>
        <w:tc>
          <w:tcPr>
            <w:tcW w:w="7336" w:type="dxa"/>
            <w:tcBorders>
              <w:bottom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What is the income level (federal poverty level, FPL) of the household that this child lives in?</w:t>
            </w:r>
          </w:p>
        </w:tc>
        <w:tc>
          <w:tcPr>
            <w:tcW w:w="4972" w:type="dxa"/>
            <w:tcBorders>
              <w:bottom w:val="nil"/>
              <w:tl2br w:val="nil"/>
              <w:tr2bl w:val="nil"/>
            </w:tcBorders>
          </w:tcPr>
          <w:p>
            <w:pPr>
              <w:numPr>
                <w:ilvl w:val="0"/>
                <w:numId w:val="8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“0-99% FPL”</w:t>
            </w:r>
          </w:p>
          <w:p>
            <w:pPr>
              <w:numPr>
                <w:ilvl w:val="0"/>
                <w:numId w:val="8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“100-199% FPL”</w:t>
            </w:r>
          </w:p>
          <w:p>
            <w:pPr>
              <w:numPr>
                <w:ilvl w:val="0"/>
                <w:numId w:val="8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“200-399% FPL”</w:t>
            </w:r>
          </w:p>
          <w:p>
            <w:pPr>
              <w:numPr>
                <w:ilvl w:val="0"/>
                <w:numId w:val="8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“400% FOL or greater”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866" w:type="dxa"/>
            <w:tcBorders>
              <w:top w:val="nil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BMI4_years</w:t>
            </w:r>
          </w:p>
        </w:tc>
        <w:tc>
          <w:tcPr>
            <w:tcW w:w="7336" w:type="dxa"/>
            <w:tcBorders>
              <w:top w:val="nil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Weight status of children based on Body Mass Index for age-4 categories, 10-17years.</w:t>
            </w:r>
          </w:p>
        </w:tc>
        <w:tc>
          <w:tcPr>
            <w:tcW w:w="4972" w:type="dxa"/>
            <w:tcBorders>
              <w:top w:val="nil"/>
              <w:bottom w:val="single" w:color="000000" w:sz="4" w:space="0"/>
              <w:tl2br w:val="nil"/>
              <w:tr2bl w:val="nil"/>
            </w:tcBorders>
          </w:tcPr>
          <w:p>
            <w:pPr>
              <w:numPr>
                <w:ilvl w:val="0"/>
                <w:numId w:val="9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“Underweight (less than 5th percentile)”</w:t>
            </w:r>
          </w:p>
          <w:p>
            <w:pPr>
              <w:numPr>
                <w:ilvl w:val="0"/>
                <w:numId w:val="9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“Healthy weight (5th to 84th percentile)”</w:t>
            </w:r>
          </w:p>
          <w:p>
            <w:pPr>
              <w:numPr>
                <w:ilvl w:val="0"/>
                <w:numId w:val="9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“Overweight (85th to 94th percentile)”</w:t>
            </w:r>
          </w:p>
          <w:p>
            <w:pPr>
              <w:numPr>
                <w:ilvl w:val="0"/>
                <w:numId w:val="9"/>
              </w:num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“Obese (95th percentile or above)”</w:t>
            </w:r>
          </w:p>
        </w:tc>
      </w:tr>
    </w:tbl>
    <w:p/>
    <w:p>
      <w:pPr>
        <w:pStyle w:val="5"/>
        <w:rPr>
          <w:rFonts w:hint="default" w:asciiTheme="minorHAnsi" w:hAnsiTheme="minorHAnsi" w:cstheme="minorBidi"/>
          <w:sz w:val="24"/>
          <w:lang w:val="en-US"/>
        </w:rPr>
      </w:pPr>
      <w:bookmarkStart w:id="88" w:name="_Toc1358781512"/>
      <w:bookmarkStart w:id="89" w:name="_Toc1194358800"/>
      <w:bookmarkStart w:id="90" w:name="_Toc1182928943"/>
      <w:bookmarkStart w:id="91" w:name="_Toc1997939815"/>
      <w:bookmarkStart w:id="92" w:name="_Toc154756555"/>
      <w:bookmarkStart w:id="93" w:name="_Toc1025118926"/>
      <w:bookmarkStart w:id="94" w:name="_Toc193062170"/>
      <w:r>
        <w:rPr>
          <w:rFonts w:asciiTheme="minorHAnsi" w:hAnsiTheme="minorHAnsi" w:cstheme="minorBidi"/>
          <w:b/>
        </w:rPr>
        <w:t>Table</w:t>
      </w:r>
      <w:r>
        <w:rPr>
          <w:rFonts w:hint="default" w:asciiTheme="minorHAnsi" w:hAnsiTheme="minorHAnsi" w:cstheme="minorBidi"/>
          <w:b/>
          <w:lang w:val="en-US"/>
        </w:rPr>
        <w:t xml:space="preserve"> 4. Weighted logistic regression models of 24 HMB guidelines adjusted for sociodemographic factors (Model 1), NSCH 2016-2021</w:t>
      </w:r>
      <w:bookmarkEnd w:id="88"/>
      <w:bookmarkEnd w:id="89"/>
      <w:bookmarkEnd w:id="90"/>
      <w:bookmarkEnd w:id="91"/>
    </w:p>
    <w:p>
      <w:pPr>
        <w:jc w:val="left"/>
        <w:rPr>
          <w:rFonts w:ascii="Arial Narrow" w:hAnsi="Arial Narrow" w:cs="Arial Narrow"/>
          <w:sz w:val="24"/>
        </w:rPr>
      </w:pPr>
    </w:p>
    <w:tbl>
      <w:tblPr>
        <w:tblStyle w:val="18"/>
        <w:tblpPr w:leftFromText="180" w:rightFromText="180" w:vertAnchor="text" w:horzAnchor="page" w:tblpX="975" w:tblpY="86"/>
        <w:tblOverlap w:val="never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"/>
        <w:gridCol w:w="1278"/>
        <w:gridCol w:w="1362"/>
        <w:gridCol w:w="1539"/>
        <w:gridCol w:w="1539"/>
        <w:gridCol w:w="1539"/>
        <w:gridCol w:w="1539"/>
        <w:gridCol w:w="1539"/>
        <w:gridCol w:w="1539"/>
        <w:gridCol w:w="1539"/>
      </w:tblGrid>
      <w:tr>
        <w:trPr>
          <w:trHeight w:val="312" w:hRule="atLeast"/>
        </w:trPr>
        <w:tc>
          <w:tcPr>
            <w:tcW w:w="0" w:type="auto"/>
            <w:gridSpan w:val="2"/>
            <w:vMerge w:val="restar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bookmarkStart w:id="95" w:name="_Toc588862017"/>
            <w:bookmarkStart w:id="96" w:name="_Toc1031786974"/>
            <w:bookmarkStart w:id="97" w:name="_Toc1593321547"/>
            <w:bookmarkStart w:id="98" w:name="_Toc2000491851"/>
            <w:bookmarkStart w:id="99" w:name="_Toc1761861512"/>
            <w:bookmarkStart w:id="100" w:name="_Toc1424146025"/>
            <w:bookmarkStart w:id="101" w:name="_Toc197989706"/>
          </w:p>
        </w:tc>
        <w:tc>
          <w:tcPr>
            <w:tcW w:w="0" w:type="auto"/>
            <w:gridSpan w:val="8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Odds Ratio (95% CI)</w:t>
            </w:r>
            <w:r>
              <w:rPr>
                <w:rFonts w:hint="default" w:ascii="Arial Regular" w:hAnsi="Arial Regular" w:cs="Arial Regular"/>
                <w:sz w:val="20"/>
                <w:szCs w:val="20"/>
                <w:vertAlign w:val="superscript"/>
                <w:lang w:val="en-US"/>
              </w:rPr>
              <w:t>1</w:t>
            </w:r>
          </w:p>
        </w:tc>
      </w:tr>
      <w:tr>
        <w:trPr>
          <w:trHeight w:val="312" w:hRule="atLeast"/>
        </w:trPr>
        <w:tc>
          <w:tcPr>
            <w:tcW w:w="0" w:type="auto"/>
            <w:gridSpan w:val="2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gridSpan w:val="8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ind w:firstLine="545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24-HMB guidelines (Categorical)</w:t>
            </w:r>
          </w:p>
        </w:tc>
      </w:tr>
      <w:tr>
        <w:trPr>
          <w:trHeight w:val="312" w:hRule="atLeast"/>
        </w:trPr>
        <w:tc>
          <w:tcPr>
            <w:tcW w:w="0" w:type="auto"/>
            <w:gridSpan w:val="2"/>
            <w:vMerge w:val="continue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only</w:t>
            </w:r>
          </w:p>
        </w:tc>
        <w:tc>
          <w:tcPr>
            <w:tcW w:w="0" w:type="auto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SL only</w:t>
            </w:r>
          </w:p>
        </w:tc>
        <w:tc>
          <w:tcPr>
            <w:tcW w:w="0" w:type="auto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ST only</w:t>
            </w:r>
          </w:p>
        </w:tc>
        <w:tc>
          <w:tcPr>
            <w:tcW w:w="0" w:type="auto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ST</w:t>
            </w:r>
          </w:p>
        </w:tc>
        <w:tc>
          <w:tcPr>
            <w:tcW w:w="0" w:type="auto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SL</w:t>
            </w:r>
          </w:p>
        </w:tc>
        <w:tc>
          <w:tcPr>
            <w:tcW w:w="0" w:type="auto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SL + ST</w:t>
            </w:r>
          </w:p>
        </w:tc>
        <w:tc>
          <w:tcPr>
            <w:tcW w:w="0" w:type="auto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PA+ST+SL</w:t>
            </w:r>
          </w:p>
        </w:tc>
        <w:tc>
          <w:tcPr>
            <w:tcW w:w="0" w:type="auto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None</w:t>
            </w:r>
          </w:p>
        </w:tc>
      </w:tr>
      <w:tr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bottom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Model 1</w:t>
            </w:r>
          </w:p>
        </w:tc>
        <w:tc>
          <w:tcPr>
            <w:tcW w:w="0" w:type="auto"/>
            <w:tcBorders>
              <w:top w:val="single" w:color="000000" w:sz="4" w:space="0"/>
              <w:bottom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bottom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bottom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bottom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bottom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bottom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bottom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bottom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rPr>
          <w:trHeight w:val="312" w:hRule="atLeast"/>
        </w:trPr>
        <w:tc>
          <w:tcPr>
            <w:tcW w:w="0" w:type="auto"/>
            <w:vMerge w:val="restar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bottom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Year (Categorical)</w:t>
            </w:r>
          </w:p>
        </w:tc>
        <w:tc>
          <w:tcPr>
            <w:tcW w:w="0" w:type="auto"/>
            <w:tcBorders>
              <w:top w:val="single" w:color="000000" w:sz="4" w:space="0"/>
              <w:bottom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bottom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bottom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bottom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bottom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bottom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bottom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rPr>
          <w:trHeight w:val="312" w:hRule="atLeast"/>
        </w:trPr>
        <w:tc>
          <w:tcPr>
            <w:tcW w:w="0" w:type="auto"/>
            <w:vMerge w:val="continue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tl2br w:val="nil"/>
              <w:tr2bl w:val="nil"/>
            </w:tcBorders>
          </w:tcPr>
          <w:p>
            <w:pPr>
              <w:ind w:firstLine="200" w:firstLineChars="100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2016</w:t>
            </w:r>
          </w:p>
        </w:tc>
        <w:tc>
          <w:tcPr>
            <w:tcW w:w="0" w:type="auto"/>
            <w:tcBorders>
              <w:top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1[Reference]</w:t>
            </w:r>
          </w:p>
        </w:tc>
        <w:tc>
          <w:tcPr>
            <w:tcW w:w="0" w:type="auto"/>
            <w:tcBorders>
              <w:top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1[Reference]</w:t>
            </w:r>
          </w:p>
        </w:tc>
        <w:tc>
          <w:tcPr>
            <w:tcW w:w="0" w:type="auto"/>
            <w:tcBorders>
              <w:top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1[Reference]</w:t>
            </w:r>
          </w:p>
        </w:tc>
        <w:tc>
          <w:tcPr>
            <w:tcW w:w="0" w:type="auto"/>
            <w:tcBorders>
              <w:top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1[Reference]</w:t>
            </w:r>
          </w:p>
        </w:tc>
        <w:tc>
          <w:tcPr>
            <w:tcW w:w="0" w:type="auto"/>
            <w:tcBorders>
              <w:top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1[Reference]</w:t>
            </w:r>
          </w:p>
        </w:tc>
        <w:tc>
          <w:tcPr>
            <w:tcW w:w="0" w:type="auto"/>
            <w:tcBorders>
              <w:top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1[Reference]</w:t>
            </w:r>
          </w:p>
        </w:tc>
        <w:tc>
          <w:tcPr>
            <w:tcW w:w="0" w:type="auto"/>
            <w:tcBorders>
              <w:top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1[Reference]</w:t>
            </w:r>
          </w:p>
        </w:tc>
        <w:tc>
          <w:tcPr>
            <w:tcW w:w="0" w:type="auto"/>
            <w:tcBorders>
              <w:top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1[Reference]</w:t>
            </w:r>
          </w:p>
        </w:tc>
      </w:tr>
      <w:tr>
        <w:trPr>
          <w:trHeight w:val="312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</w:tcPr>
          <w:p>
            <w:pPr>
              <w:ind w:firstLine="100" w:firstLineChars="50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ind w:firstLine="200" w:firstLineChars="100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2017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0.8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(0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</w:t>
            </w:r>
            <w:r>
              <w:rPr>
                <w:rFonts w:ascii="Arial Regular" w:hAnsi="Arial Regular" w:cs="Arial Regular"/>
                <w:sz w:val="20"/>
                <w:szCs w:val="20"/>
              </w:rPr>
              <w:t>-1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(0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7-1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(1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0-1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(0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</w:t>
            </w:r>
            <w:r>
              <w:rPr>
                <w:rFonts w:ascii="Arial Regular" w:hAnsi="Arial Regular" w:cs="Arial Regular"/>
                <w:sz w:val="20"/>
                <w:szCs w:val="20"/>
              </w:rPr>
              <w:t>-1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4)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1.2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(0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.7</w:t>
            </w:r>
            <w:r>
              <w:rPr>
                <w:rFonts w:ascii="Arial Regular" w:hAnsi="Arial Regular" w:cs="Arial Regular"/>
                <w:sz w:val="20"/>
                <w:szCs w:val="20"/>
              </w:rPr>
              <w:t>-1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.9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9 (0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8-1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1)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 w:eastAsiaTheme="minorEastAsia"/>
                <w:sz w:val="20"/>
                <w:szCs w:val="20"/>
                <w:lang w:val="en-US" w:eastAsia="zh-CN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 (0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8-1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2 (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1.0</w:t>
            </w:r>
            <w:r>
              <w:rPr>
                <w:rFonts w:ascii="Arial Regular" w:hAnsi="Arial Regular" w:cs="Arial Regular"/>
                <w:sz w:val="20"/>
                <w:szCs w:val="20"/>
              </w:rPr>
              <w:t>-1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4)</w:t>
            </w:r>
          </w:p>
        </w:tc>
      </w:tr>
      <w:tr>
        <w:trPr>
          <w:trHeight w:val="312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ind w:firstLine="200" w:firstLineChars="100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2018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1.3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(0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</w:t>
            </w:r>
            <w:r>
              <w:rPr>
                <w:rFonts w:ascii="Arial Regular" w:hAnsi="Arial Regular" w:cs="Arial Regular"/>
                <w:sz w:val="20"/>
                <w:szCs w:val="20"/>
              </w:rPr>
              <w:t>-1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1.5</w:t>
            </w:r>
            <w:r>
              <w:rPr>
                <w:rFonts w:ascii="Arial Regular" w:hAnsi="Arial Regular" w:cs="Arial Regular"/>
                <w:sz w:val="20"/>
                <w:szCs w:val="20"/>
              </w:rPr>
              <w:t>-2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.1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***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0.7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(0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</w:t>
            </w: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0.8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***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(0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</w:t>
            </w: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0.9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1.6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1.2-2.3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**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 w:eastAsiaTheme="minorEastAsia"/>
                <w:sz w:val="20"/>
                <w:szCs w:val="20"/>
                <w:lang w:val="en-US" w:eastAsia="zh-CN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(0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.5</w:t>
            </w:r>
            <w:r>
              <w:rPr>
                <w:rFonts w:ascii="Arial Regular" w:hAnsi="Arial Regular" w:cs="Arial Regular"/>
                <w:sz w:val="20"/>
                <w:szCs w:val="20"/>
              </w:rPr>
              <w:t>-0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.7</w:t>
            </w:r>
            <w:r>
              <w:rPr>
                <w:rFonts w:ascii="Arial Regular" w:hAnsi="Arial Regular" w:cs="Arial Regular"/>
                <w:sz w:val="20"/>
                <w:szCs w:val="20"/>
              </w:rPr>
              <w:t>)**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*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9 (0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7</w:t>
            </w:r>
            <w:r>
              <w:rPr>
                <w:rFonts w:ascii="Arial Regular" w:hAnsi="Arial Regular" w:cs="Arial Regular"/>
                <w:sz w:val="20"/>
                <w:szCs w:val="20"/>
              </w:rPr>
              <w:t>-1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7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(1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.5</w:t>
            </w: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2.0</w:t>
            </w:r>
            <w:r>
              <w:rPr>
                <w:rFonts w:ascii="Arial Regular" w:hAnsi="Arial Regular" w:cs="Arial Regular"/>
                <w:sz w:val="20"/>
                <w:szCs w:val="20"/>
              </w:rPr>
              <w:t>**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*</w:t>
            </w:r>
          </w:p>
        </w:tc>
      </w:tr>
      <w:tr>
        <w:trPr>
          <w:trHeight w:val="312" w:hRule="atLeast"/>
        </w:trPr>
        <w:tc>
          <w:tcPr>
            <w:tcW w:w="0" w:type="auto"/>
            <w:vMerge w:val="restar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ind w:firstLine="200" w:firstLineChars="100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2019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1.1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(0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</w:t>
            </w:r>
            <w:r>
              <w:rPr>
                <w:rFonts w:ascii="Arial Regular" w:hAnsi="Arial Regular" w:cs="Arial Regular"/>
                <w:sz w:val="20"/>
                <w:szCs w:val="20"/>
              </w:rPr>
              <w:t>-1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(1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</w:t>
            </w: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2.2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***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0.6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(0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</w:t>
            </w: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0.8***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(0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</w:t>
            </w: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0.8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**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.9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1.3-2.5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***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 w:eastAsiaTheme="minorEastAsia"/>
                <w:sz w:val="20"/>
                <w:szCs w:val="20"/>
                <w:lang w:val="en-US" w:eastAsia="zh-CN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(0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5</w:t>
            </w: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0.7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***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8 (0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6</w:t>
            </w: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0.9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8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(1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.5</w:t>
            </w: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2.2</w:t>
            </w:r>
            <w:r>
              <w:rPr>
                <w:rFonts w:ascii="Arial Regular" w:hAnsi="Arial Regular" w:cs="Arial Regular"/>
                <w:sz w:val="20"/>
                <w:szCs w:val="20"/>
              </w:rPr>
              <w:t>)**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*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</w:t>
            </w:r>
          </w:p>
        </w:tc>
      </w:tr>
      <w:tr>
        <w:trPr>
          <w:trHeight w:val="312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ind w:firstLine="200" w:firstLineChars="100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2020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1.5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1.0</w:t>
            </w: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2.2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2.6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2.3</w:t>
            </w: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3.0</w:t>
            </w:r>
            <w:r>
              <w:rPr>
                <w:rFonts w:ascii="Arial Regular" w:hAnsi="Arial Regular" w:cs="Arial Regular"/>
                <w:sz w:val="20"/>
                <w:szCs w:val="20"/>
              </w:rPr>
              <w:t>)***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0.5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(0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4-0.6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***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(0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</w:t>
            </w: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0.7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***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.9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1.4-2.5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***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(0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4</w:t>
            </w:r>
            <w:r>
              <w:rPr>
                <w:rFonts w:ascii="Arial Regular" w:hAnsi="Arial Regular" w:cs="Arial Regular"/>
                <w:sz w:val="20"/>
                <w:szCs w:val="20"/>
              </w:rPr>
              <w:t>-0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5</w:t>
            </w:r>
            <w:r>
              <w:rPr>
                <w:rFonts w:ascii="Arial Regular" w:hAnsi="Arial Regular" w:cs="Arial Regular"/>
                <w:sz w:val="20"/>
                <w:szCs w:val="20"/>
              </w:rPr>
              <w:t>)***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 w:eastAsiaTheme="minorEastAsia"/>
                <w:sz w:val="20"/>
                <w:szCs w:val="20"/>
                <w:lang w:val="en-US" w:eastAsia="zh-CN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6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(0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5-0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8</w:t>
            </w:r>
            <w:r>
              <w:rPr>
                <w:rFonts w:ascii="Arial Regular" w:hAnsi="Arial Regular" w:cs="Arial Regular"/>
                <w:sz w:val="20"/>
                <w:szCs w:val="20"/>
              </w:rPr>
              <w:t>)**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*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2.0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(1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.8-2.4</w:t>
            </w:r>
            <w:r>
              <w:rPr>
                <w:rFonts w:ascii="Arial Regular" w:hAnsi="Arial Regular" w:cs="Arial Regular"/>
                <w:sz w:val="20"/>
                <w:szCs w:val="20"/>
              </w:rPr>
              <w:t>)***</w:t>
            </w:r>
          </w:p>
        </w:tc>
      </w:tr>
      <w:tr>
        <w:trPr>
          <w:trHeight w:val="312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ind w:firstLine="200" w:firstLineChars="100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2021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1.2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(0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</w:t>
            </w:r>
            <w:r>
              <w:rPr>
                <w:rFonts w:ascii="Arial Regular" w:hAnsi="Arial Regular" w:cs="Arial Regular"/>
                <w:sz w:val="20"/>
                <w:szCs w:val="20"/>
              </w:rPr>
              <w:t>-1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2.4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2.0-2.7</w:t>
            </w:r>
            <w:r>
              <w:rPr>
                <w:rFonts w:ascii="Arial Regular" w:hAnsi="Arial Regular" w:cs="Arial Regular"/>
                <w:sz w:val="20"/>
                <w:szCs w:val="20"/>
              </w:rPr>
              <w:t>)***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0.6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(0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</w:t>
            </w: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0.7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***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</w:t>
            </w:r>
            <w:r>
              <w:rPr>
                <w:rFonts w:ascii="Arial Regular" w:hAnsi="Arial Regular" w:cs="Arial Regular"/>
                <w:sz w:val="20"/>
                <w:szCs w:val="20"/>
              </w:rPr>
              <w:t>(0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</w:t>
            </w:r>
            <w:r>
              <w:rPr>
                <w:rFonts w:ascii="Arial Regular" w:hAnsi="Arial Regular" w:cs="Arial Regular"/>
                <w:sz w:val="20"/>
                <w:szCs w:val="20"/>
              </w:rPr>
              <w:t>-0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</w:t>
            </w:r>
            <w:r>
              <w:rPr>
                <w:rFonts w:ascii="Arial Regular" w:hAnsi="Arial Regular" w:cs="Arial Regular"/>
                <w:sz w:val="20"/>
                <w:szCs w:val="20"/>
              </w:rPr>
              <w:t>)**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*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.9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1.4-2.6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***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(0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4</w:t>
            </w:r>
            <w:r>
              <w:rPr>
                <w:rFonts w:ascii="Arial Regular" w:hAnsi="Arial Regular" w:cs="Arial Regular"/>
                <w:sz w:val="20"/>
                <w:szCs w:val="20"/>
              </w:rPr>
              <w:t>-0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5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  <w:r>
              <w:rPr>
                <w:rFonts w:hint="eastAsia" w:ascii="Arial Regular" w:hAnsi="Arial Regular" w:cs="Arial Regular"/>
                <w:sz w:val="20"/>
                <w:szCs w:val="20"/>
              </w:rPr>
              <w:t>*</w:t>
            </w:r>
            <w:r>
              <w:rPr>
                <w:rFonts w:ascii="Arial Regular" w:hAnsi="Arial Regular" w:cs="Arial Regular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7 (0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6-0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8</w:t>
            </w:r>
            <w:r>
              <w:rPr>
                <w:rFonts w:ascii="Arial Regular" w:hAnsi="Arial Regular" w:cs="Arial Regular"/>
                <w:sz w:val="20"/>
                <w:szCs w:val="20"/>
              </w:rPr>
              <w:t>)**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*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2.0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(1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.7-2.3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)*** </w:t>
            </w:r>
          </w:p>
        </w:tc>
      </w:tr>
      <w:tr>
        <w:trPr>
          <w:trHeight w:val="312" w:hRule="atLeast"/>
        </w:trPr>
        <w:tc>
          <w:tcPr>
            <w:tcW w:w="0" w:type="auto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i/>
                <w:iCs/>
                <w:sz w:val="20"/>
                <w:szCs w:val="20"/>
              </w:rPr>
              <w:t>P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for trend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 xml:space="preserve"> </w:t>
            </w:r>
            <w:r>
              <w:rPr>
                <w:rFonts w:hint="default" w:ascii="Arial Regular" w:hAnsi="Arial Regular" w:cs="Arial Regular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03</w:t>
            </w:r>
          </w:p>
        </w:tc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001</w:t>
            </w:r>
          </w:p>
        </w:tc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</w:t>
            </w:r>
          </w:p>
        </w:tc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01</w:t>
            </w:r>
          </w:p>
        </w:tc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.001</w:t>
            </w:r>
          </w:p>
        </w:tc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001</w:t>
            </w:r>
          </w:p>
        </w:tc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001</w:t>
            </w:r>
          </w:p>
        </w:tc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001</w:t>
            </w:r>
          </w:p>
        </w:tc>
      </w:tr>
    </w:tbl>
    <w:p>
      <w:pPr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  <w:bookmarkStart w:id="102" w:name="_Toc1523188024"/>
    </w:p>
    <w:p>
      <w:pPr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</w:p>
    <w:p>
      <w:pPr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</w:p>
    <w:p>
      <w:pPr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</w:p>
    <w:p>
      <w:pPr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</w:p>
    <w:p>
      <w:pPr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</w:p>
    <w:p>
      <w:pPr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</w:p>
    <w:p>
      <w:pPr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</w:p>
    <w:p>
      <w:pPr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</w:p>
    <w:p>
      <w:pPr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</w:p>
    <w:p>
      <w:pPr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</w:p>
    <w:p>
      <w:pPr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</w:p>
    <w:p>
      <w:pPr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</w:p>
    <w:bookmarkEnd w:id="102"/>
    <w:p>
      <w:pPr>
        <w:rPr>
          <w:rFonts w:hint="default" w:ascii="Times New Roman Regular" w:hAnsi="Times New Roman Regular" w:cs="Times New Roman Regular"/>
          <w:color w:val="000000"/>
          <w:sz w:val="20"/>
          <w:szCs w:val="20"/>
        </w:rPr>
      </w:pPr>
      <w:r>
        <w:rPr>
          <w:rFonts w:ascii="Times New Roman Regular" w:hAnsi="Times New Roman Regular" w:cs="Times New Roman Regular"/>
          <w:sz w:val="20"/>
          <w:szCs w:val="20"/>
        </w:rPr>
        <w:t xml:space="preserve">Note: </w:t>
      </w:r>
      <w:r>
        <w:rPr>
          <w:rFonts w:hint="default" w:ascii="Times New Roman Regular" w:hAnsi="Times New Roman Regular" w:cs="Times New Roman Regular"/>
          <w:sz w:val="20"/>
          <w:szCs w:val="20"/>
          <w:vertAlign w:val="superscript"/>
          <w:lang w:val="en-US"/>
        </w:rPr>
        <w:t>1</w:t>
      </w:r>
      <w:r>
        <w:rPr>
          <w:rFonts w:ascii="Times New Roman Regular" w:hAnsi="Times New Roman Regular" w:cs="Times New Roman Regular"/>
          <w:sz w:val="20"/>
          <w:szCs w:val="20"/>
        </w:rPr>
        <w:t xml:space="preserve"> For categorical variables, the Coefficient (β) represent the change in odds expected in each category compared with the reference group</w:t>
      </w:r>
      <w:r>
        <w:rPr>
          <w:rFonts w:ascii="Times New Roman Regular" w:hAnsi="Times New Roman Regular" w:cs="Times New Roman Regular"/>
          <w:sz w:val="20"/>
          <w:szCs w:val="20"/>
          <w:lang w:val="en-US"/>
        </w:rPr>
        <w:t>.</w:t>
      </w:r>
      <w:r>
        <w:rPr>
          <w:rFonts w:ascii="Times New Roman Regular" w:hAnsi="Times New Roman Regular" w:cs="Times New Roman Regular"/>
          <w:sz w:val="20"/>
          <w:szCs w:val="20"/>
          <w:vertAlign w:val="superscript"/>
        </w:rPr>
        <w:t xml:space="preserve"> </w:t>
      </w:r>
      <w:r>
        <w:rPr>
          <w:rFonts w:hint="default" w:ascii="Times New Roman Regular" w:hAnsi="Times New Roman Regular" w:cs="Times New Roman Regular"/>
          <w:sz w:val="20"/>
          <w:szCs w:val="20"/>
          <w:vertAlign w:val="superscript"/>
          <w:lang w:val="en-US"/>
        </w:rPr>
        <w:t>2</w:t>
      </w:r>
      <w:r>
        <w:rPr>
          <w:rFonts w:ascii="Times New Roman Regular" w:hAnsi="Times New Roman Regular" w:cs="Times New Roman Regular"/>
          <w:sz w:val="20"/>
          <w:szCs w:val="20"/>
        </w:rPr>
        <w:t xml:space="preserve"> P for trend over years was calculated using the 2016 to 2021years as a continuous variable</w:t>
      </w:r>
      <w:r>
        <w:rPr>
          <w:rFonts w:hint="default" w:ascii="Times New Roman Regular" w:hAnsi="Times New Roman Regular" w:cs="Times New Roman Regular"/>
          <w:sz w:val="20"/>
          <w:szCs w:val="20"/>
          <w:lang w:val="en-US"/>
        </w:rPr>
        <w:t>.</w:t>
      </w:r>
      <w:r>
        <w:rPr>
          <w:rFonts w:ascii="Times New Roman Regular" w:hAnsi="Times New Roman Regular" w:cs="Times New Roman Regular"/>
          <w:sz w:val="20"/>
          <w:szCs w:val="20"/>
        </w:rPr>
        <w:t>**</w:t>
      </w:r>
      <w:r>
        <w:rPr>
          <w:rFonts w:ascii="Times New Roman Regular" w:hAnsi="Times New Roman Regular" w:cs="Times New Roman Regular"/>
          <w:i/>
          <w:iCs/>
          <w:sz w:val="20"/>
          <w:szCs w:val="20"/>
        </w:rPr>
        <w:t>p</w:t>
      </w:r>
      <w:r>
        <w:rPr>
          <w:rFonts w:ascii="Times New Roman Regular" w:hAnsi="Times New Roman Regular" w:cs="Times New Roman Regular"/>
          <w:sz w:val="20"/>
          <w:szCs w:val="20"/>
        </w:rPr>
        <w:t xml:space="preserve"> &lt;</w:t>
      </w:r>
      <w:r>
        <w:rPr>
          <w:rFonts w:hint="eastAsia" w:ascii="Times New Roman Regular" w:hAnsi="Times New Roman Regular" w:cs="Times New Roman Regular"/>
          <w:sz w:val="20"/>
          <w:szCs w:val="20"/>
          <w:lang w:val="en-US" w:eastAsia="zh-CN"/>
        </w:rPr>
        <w:t>0</w:t>
      </w:r>
      <w:r>
        <w:rPr>
          <w:rFonts w:ascii="Times New Roman Regular" w:hAnsi="Times New Roman Regular" w:cs="Times New Roman Regular"/>
          <w:sz w:val="20"/>
          <w:szCs w:val="20"/>
          <w:lang w:val="en-US"/>
        </w:rPr>
        <w:t>.</w:t>
      </w:r>
      <w:r>
        <w:rPr>
          <w:rFonts w:ascii="Times New Roman Regular" w:hAnsi="Times New Roman Regular" w:cs="Times New Roman Regular"/>
          <w:sz w:val="20"/>
          <w:szCs w:val="20"/>
        </w:rPr>
        <w:t>005, **</w:t>
      </w:r>
      <w:r>
        <w:rPr>
          <w:rFonts w:ascii="Times New Roman Regular" w:hAnsi="Times New Roman Regular" w:cs="Times New Roman Regular"/>
          <w:i/>
          <w:iCs/>
          <w:sz w:val="20"/>
          <w:szCs w:val="20"/>
        </w:rPr>
        <w:t>*p</w:t>
      </w:r>
      <w:r>
        <w:rPr>
          <w:rFonts w:ascii="Times New Roman Regular" w:hAnsi="Times New Roman Regular" w:cs="Times New Roman Regular"/>
          <w:sz w:val="20"/>
          <w:szCs w:val="20"/>
        </w:rPr>
        <w:t xml:space="preserve"> &lt;</w:t>
      </w:r>
      <w:r>
        <w:rPr>
          <w:rFonts w:hint="eastAsia" w:ascii="Times New Roman Regular" w:hAnsi="Times New Roman Regular" w:cs="Times New Roman Regular"/>
          <w:sz w:val="20"/>
          <w:szCs w:val="20"/>
          <w:lang w:val="en-US" w:eastAsia="zh-CN"/>
        </w:rPr>
        <w:t>0</w:t>
      </w:r>
      <w:r>
        <w:rPr>
          <w:rFonts w:ascii="Times New Roman Regular" w:hAnsi="Times New Roman Regular" w:cs="Times New Roman Regular"/>
          <w:sz w:val="20"/>
          <w:szCs w:val="20"/>
          <w:lang w:val="en-US"/>
        </w:rPr>
        <w:t>.</w:t>
      </w:r>
      <w:r>
        <w:rPr>
          <w:rFonts w:ascii="Times New Roman Regular" w:hAnsi="Times New Roman Regular" w:cs="Times New Roman Regular"/>
          <w:sz w:val="20"/>
          <w:szCs w:val="20"/>
        </w:rPr>
        <w:t>001.</w:t>
      </w:r>
    </w:p>
    <w:p>
      <w:pPr>
        <w:rPr>
          <w:rFonts w:ascii="Arial Narrow" w:hAnsi="Arial Narrow" w:eastAsia="黑体"/>
          <w:sz w:val="24"/>
        </w:rPr>
      </w:pPr>
    </w:p>
    <w:p>
      <w:pPr>
        <w:rPr>
          <w:rFonts w:ascii="Arial" w:hAnsi="Arial" w:eastAsia="黑体"/>
          <w:sz w:val="24"/>
        </w:rPr>
      </w:pPr>
    </w:p>
    <w:p>
      <w:pPr>
        <w:rPr>
          <w:rFonts w:ascii="Arial" w:hAnsi="Arial" w:eastAsia="黑体"/>
          <w:sz w:val="24"/>
        </w:rPr>
      </w:pPr>
    </w:p>
    <w:p>
      <w:pPr>
        <w:rPr>
          <w:rFonts w:ascii="Arial" w:hAnsi="Arial" w:eastAsia="黑体"/>
          <w:sz w:val="24"/>
        </w:rPr>
      </w:pPr>
    </w:p>
    <w:p>
      <w:pPr>
        <w:rPr>
          <w:rFonts w:hint="eastAsia" w:asciiTheme="minorHAnsi" w:hAnsiTheme="minorHAnsi" w:eastAsiaTheme="minorEastAsia"/>
          <w:sz w:val="21"/>
        </w:rPr>
      </w:pPr>
    </w:p>
    <w:p>
      <w:pPr>
        <w:pStyle w:val="5"/>
        <w:rPr>
          <w:rFonts w:hint="default" w:asciiTheme="minorHAnsi" w:hAnsiTheme="minorHAnsi" w:cstheme="minorBidi"/>
          <w:b/>
          <w:lang w:val="en-US"/>
        </w:rPr>
      </w:pPr>
      <w:bookmarkStart w:id="103" w:name="_Toc83141075"/>
      <w:bookmarkStart w:id="104" w:name="_Toc699769986"/>
      <w:bookmarkStart w:id="105" w:name="_Toc1058703091"/>
      <w:bookmarkStart w:id="106" w:name="_Toc1320166213"/>
      <w:r>
        <w:rPr>
          <w:rFonts w:asciiTheme="minorHAnsi" w:hAnsiTheme="minorHAnsi" w:cstheme="minorBidi"/>
          <w:b/>
        </w:rPr>
        <w:t>Table</w:t>
      </w:r>
      <w:r>
        <w:rPr>
          <w:rFonts w:hint="default" w:asciiTheme="minorHAnsi" w:hAnsiTheme="minorHAnsi" w:cstheme="minorBidi"/>
          <w:b/>
          <w:lang w:val="en-US"/>
        </w:rPr>
        <w:t xml:space="preserve"> 5. Weighted logistic regression of 24-HMB guidelines among 10- 17 years’ participants with MBD conditions, adjusted for sociodempgraphic and BMI characteristics, NSCH 2016-2021</w:t>
      </w:r>
      <w:bookmarkEnd w:id="103"/>
      <w:bookmarkEnd w:id="104"/>
      <w:bookmarkEnd w:id="105"/>
      <w:bookmarkEnd w:id="106"/>
    </w:p>
    <w:p>
      <w:pPr>
        <w:rPr>
          <w:rFonts w:hint="eastAsia"/>
        </w:rPr>
      </w:pPr>
    </w:p>
    <w:tbl>
      <w:tblPr>
        <w:tblStyle w:val="18"/>
        <w:tblpPr w:leftFromText="180" w:rightFromText="180" w:vertAnchor="text" w:horzAnchor="page" w:tblpX="975" w:tblpY="86"/>
        <w:tblOverlap w:val="never"/>
        <w:tblW w:w="5179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"/>
        <w:gridCol w:w="2897"/>
        <w:gridCol w:w="1439"/>
        <w:gridCol w:w="1439"/>
        <w:gridCol w:w="1439"/>
        <w:gridCol w:w="1442"/>
        <w:gridCol w:w="1439"/>
        <w:gridCol w:w="1439"/>
        <w:gridCol w:w="1439"/>
        <w:gridCol w:w="1439"/>
      </w:tblGrid>
      <w:tr>
        <w:trPr>
          <w:trHeight w:val="312" w:hRule="atLeast"/>
        </w:trPr>
        <w:tc>
          <w:tcPr>
            <w:tcW w:w="1079" w:type="pct"/>
            <w:gridSpan w:val="2"/>
            <w:vMerge w:val="restar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921" w:type="pct"/>
            <w:gridSpan w:val="8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Odds Ratio (95% CI)</w:t>
            </w:r>
            <w:r>
              <w:rPr>
                <w:rFonts w:hint="default" w:ascii="Arial Narrow" w:hAnsi="Arial Narrow" w:cs="Arial Narrow"/>
                <w:sz w:val="20"/>
                <w:szCs w:val="20"/>
                <w:vertAlign w:val="superscript"/>
                <w:lang w:val="en-US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vertAlign w:val="superscript"/>
              </w:rPr>
              <w:t xml:space="preserve">  </w:t>
            </w:r>
            <w:r>
              <w:rPr>
                <w:rFonts w:ascii="Arial Narrow" w:hAnsi="Arial Narrow" w:cs="Arial Narrow"/>
                <w:sz w:val="20"/>
                <w:szCs w:val="20"/>
              </w:rPr>
              <w:t>(N=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39</w:t>
            </w:r>
            <w:r>
              <w:rPr>
                <w:rFonts w:ascii="Arial Narrow" w:hAnsi="Arial Narrow" w:cs="Arial Narrow"/>
                <w:sz w:val="20"/>
                <w:szCs w:val="20"/>
              </w:rPr>
              <w:t>,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622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</w:tr>
      <w:tr>
        <w:trPr>
          <w:trHeight w:val="312" w:hRule="atLeast"/>
        </w:trPr>
        <w:tc>
          <w:tcPr>
            <w:tcW w:w="1079" w:type="pct"/>
            <w:gridSpan w:val="2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921" w:type="pct"/>
            <w:gridSpan w:val="8"/>
            <w:tcBorders>
              <w:tl2br w:val="nil"/>
              <w:tr2bl w:val="nil"/>
            </w:tcBorders>
          </w:tcPr>
          <w:p>
            <w:pPr>
              <w:ind w:firstLine="545"/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24-HMB guidelines (Categorical)</w:t>
            </w:r>
          </w:p>
        </w:tc>
      </w:tr>
      <w:tr>
        <w:trPr>
          <w:trHeight w:val="422" w:hRule="atLeast"/>
        </w:trPr>
        <w:tc>
          <w:tcPr>
            <w:tcW w:w="1079" w:type="pct"/>
            <w:gridSpan w:val="2"/>
            <w:vMerge w:val="continue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PA only</w:t>
            </w:r>
          </w:p>
        </w:tc>
        <w:tc>
          <w:tcPr>
            <w:tcW w:w="490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SL only</w:t>
            </w:r>
          </w:p>
        </w:tc>
        <w:tc>
          <w:tcPr>
            <w:tcW w:w="490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ST only</w:t>
            </w:r>
          </w:p>
        </w:tc>
        <w:tc>
          <w:tcPr>
            <w:tcW w:w="491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PA + ST</w:t>
            </w:r>
          </w:p>
        </w:tc>
        <w:tc>
          <w:tcPr>
            <w:tcW w:w="490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PA + SL</w:t>
            </w:r>
          </w:p>
        </w:tc>
        <w:tc>
          <w:tcPr>
            <w:tcW w:w="490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SL + ST</w:t>
            </w:r>
          </w:p>
        </w:tc>
        <w:tc>
          <w:tcPr>
            <w:tcW w:w="490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PA+ST+SL</w:t>
            </w:r>
          </w:p>
        </w:tc>
        <w:tc>
          <w:tcPr>
            <w:tcW w:w="490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None</w:t>
            </w:r>
          </w:p>
        </w:tc>
      </w:tr>
      <w:tr>
        <w:trPr>
          <w:trHeight w:val="312" w:hRule="atLeast"/>
        </w:trPr>
        <w:tc>
          <w:tcPr>
            <w:tcW w:w="92" w:type="pct"/>
            <w:vMerge w:val="restar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987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Age (years )</w:t>
            </w:r>
          </w:p>
        </w:tc>
        <w:tc>
          <w:tcPr>
            <w:tcW w:w="490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1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</w:tr>
      <w:tr>
        <w:trPr>
          <w:trHeight w:val="312" w:hRule="atLeast"/>
        </w:trPr>
        <w:tc>
          <w:tcPr>
            <w:tcW w:w="92" w:type="pct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987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 xml:space="preserve"> 10-13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</w:tr>
      <w:tr>
        <w:trPr>
          <w:trHeight w:val="312" w:hRule="atLeast"/>
        </w:trPr>
        <w:tc>
          <w:tcPr>
            <w:tcW w:w="92" w:type="pct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987" w:type="pct"/>
            <w:tcBorders>
              <w:tl2br w:val="nil"/>
              <w:tr2bl w:val="nil"/>
            </w:tcBorders>
          </w:tcPr>
          <w:p>
            <w:pPr>
              <w:ind w:firstLine="100" w:firstLineChars="50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14-17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7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5-0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9)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2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5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(2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3</w:t>
            </w:r>
            <w:r>
              <w:rPr>
                <w:rFonts w:ascii="Arial Narrow" w:hAnsi="Arial Narrow" w:cs="Arial Narrow"/>
                <w:sz w:val="20"/>
                <w:szCs w:val="20"/>
              </w:rPr>
              <w:t>-2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8</w:t>
            </w:r>
            <w:r>
              <w:rPr>
                <w:rFonts w:ascii="Arial Narrow" w:hAnsi="Arial Narrow" w:cs="Arial Narrow"/>
                <w:sz w:val="20"/>
                <w:szCs w:val="20"/>
              </w:rPr>
              <w:t>)***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5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4-0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5</w:t>
            </w:r>
            <w:r>
              <w:rPr>
                <w:rFonts w:ascii="Arial Narrow" w:hAnsi="Arial Narrow" w:cs="Arial Narrow"/>
                <w:sz w:val="20"/>
                <w:szCs w:val="20"/>
              </w:rPr>
              <w:t>)***</w:t>
            </w: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3 (0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.3</w:t>
            </w:r>
            <w:r>
              <w:rPr>
                <w:rFonts w:ascii="Arial Narrow" w:hAnsi="Arial Narrow" w:cs="Arial Narrow"/>
                <w:sz w:val="20"/>
                <w:szCs w:val="20"/>
              </w:rPr>
              <w:t>-0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4)***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6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2</w:t>
            </w:r>
            <w:r>
              <w:rPr>
                <w:rFonts w:ascii="Arial Narrow" w:hAnsi="Arial Narrow" w:cs="Arial Narrow"/>
                <w:sz w:val="20"/>
                <w:szCs w:val="20"/>
              </w:rPr>
              <w:t>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2.1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***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8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7-0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9)**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5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5-0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6</w:t>
            </w:r>
            <w:r>
              <w:rPr>
                <w:rFonts w:ascii="Arial Narrow" w:hAnsi="Arial Narrow" w:cs="Arial Narrow"/>
                <w:sz w:val="20"/>
                <w:szCs w:val="20"/>
              </w:rPr>
              <w:t>)***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9-1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2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</w:tr>
      <w:tr>
        <w:trPr>
          <w:trHeight w:val="312" w:hRule="atLeast"/>
        </w:trPr>
        <w:tc>
          <w:tcPr>
            <w:tcW w:w="92" w:type="pct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98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Narrow" w:hAnsi="Arial Narrow" w:cs="Arial Narrow"/>
                <w:sz w:val="20"/>
                <w:szCs w:val="20"/>
              </w:rPr>
            </w:pPr>
            <w:r>
              <w:rPr>
                <w:rFonts w:hint="eastAsia" w:ascii="Arial Narrow" w:hAnsi="Arial Narrow" w:cs="Arial Narrow"/>
                <w:sz w:val="20"/>
                <w:szCs w:val="20"/>
                <w:lang w:eastAsia="zh-CN"/>
              </w:rPr>
              <w:t>Sex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</w:tr>
      <w:tr>
        <w:trPr>
          <w:trHeight w:val="312" w:hRule="atLeast"/>
        </w:trPr>
        <w:tc>
          <w:tcPr>
            <w:tcW w:w="92" w:type="pct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987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 xml:space="preserve"> Boys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</w:tr>
      <w:tr>
        <w:trPr>
          <w:trHeight w:val="312" w:hRule="atLeast"/>
        </w:trPr>
        <w:tc>
          <w:tcPr>
            <w:tcW w:w="92" w:type="pct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987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 xml:space="preserve"> Girls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7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5-0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8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**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1 (1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2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3 (1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1-1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5)**</w:t>
            </w: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6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5-0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.8</w:t>
            </w:r>
            <w:r>
              <w:rPr>
                <w:rFonts w:ascii="Arial Narrow" w:hAnsi="Arial Narrow" w:cs="Arial Narrow"/>
                <w:sz w:val="20"/>
                <w:szCs w:val="20"/>
              </w:rPr>
              <w:t>)**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4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4-0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6)***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1.0-1.2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7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5</w:t>
            </w:r>
            <w:r>
              <w:rPr>
                <w:rFonts w:ascii="Arial Narrow" w:hAnsi="Arial Narrow" w:cs="Arial Narrow"/>
                <w:sz w:val="20"/>
                <w:szCs w:val="20"/>
              </w:rPr>
              <w:t>-0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8)***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1 (1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3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</w:tr>
      <w:tr>
        <w:trPr>
          <w:trHeight w:val="312" w:hRule="atLeast"/>
        </w:trPr>
        <w:tc>
          <w:tcPr>
            <w:tcW w:w="92" w:type="pct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987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Ethnicity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</w:tr>
      <w:tr>
        <w:trPr>
          <w:trHeight w:val="312" w:hRule="atLeast"/>
        </w:trPr>
        <w:tc>
          <w:tcPr>
            <w:tcW w:w="92" w:type="pct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987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 xml:space="preserve">  Non-Hispanic white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</w:tr>
      <w:tr>
        <w:trPr>
          <w:trHeight w:val="312" w:hRule="atLeast"/>
        </w:trPr>
        <w:tc>
          <w:tcPr>
            <w:tcW w:w="92" w:type="pct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987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 xml:space="preserve">  Hispanic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9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.6</w:t>
            </w:r>
            <w:r>
              <w:rPr>
                <w:rFonts w:ascii="Arial Narrow" w:hAnsi="Arial Narrow" w:cs="Arial Narrow"/>
                <w:sz w:val="20"/>
                <w:szCs w:val="20"/>
              </w:rPr>
              <w:t>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1.4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1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9-1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3)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1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9-1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.4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ind w:firstLine="100" w:firstLineChars="50"/>
              <w:jc w:val="both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0.8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5-1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4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9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6-1.4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8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6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1.0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7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5-1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 xml:space="preserve">3 </w:t>
            </w:r>
            <w:r>
              <w:rPr>
                <w:rFonts w:ascii="Arial Narrow" w:hAnsi="Arial Narrow" w:cs="Arial Narrow"/>
                <w:sz w:val="20"/>
                <w:szCs w:val="20"/>
              </w:rPr>
              <w:t>(1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1-1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5</w:t>
            </w:r>
            <w:r>
              <w:rPr>
                <w:rFonts w:ascii="Arial Narrow" w:hAnsi="Arial Narrow" w:cs="Arial Narrow"/>
                <w:sz w:val="20"/>
                <w:szCs w:val="20"/>
              </w:rPr>
              <w:t>)**</w:t>
            </w:r>
          </w:p>
        </w:tc>
      </w:tr>
      <w:tr>
        <w:trPr>
          <w:trHeight w:val="312" w:hRule="atLeast"/>
        </w:trPr>
        <w:tc>
          <w:tcPr>
            <w:tcW w:w="92" w:type="pct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987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 xml:space="preserve">  Non-Hispanic Black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2.0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(1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.3-3.0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**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7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6-0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9)**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.1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9-1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.4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9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6-1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3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1.1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.8-1.6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6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4</w:t>
            </w:r>
            <w:r>
              <w:rPr>
                <w:rFonts w:ascii="Arial Narrow" w:hAnsi="Arial Narrow" w:cs="Arial Narrow"/>
                <w:sz w:val="20"/>
                <w:szCs w:val="20"/>
              </w:rPr>
              <w:t>-0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7)***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5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3-0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7</w:t>
            </w:r>
            <w:r>
              <w:rPr>
                <w:rFonts w:ascii="Arial Narrow" w:hAnsi="Arial Narrow" w:cs="Arial Narrow"/>
                <w:sz w:val="20"/>
                <w:szCs w:val="20"/>
              </w:rPr>
              <w:t>)**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9 (1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6-2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3)***</w:t>
            </w:r>
          </w:p>
        </w:tc>
      </w:tr>
      <w:tr>
        <w:trPr>
          <w:trHeight w:val="312" w:hRule="atLeast"/>
        </w:trPr>
        <w:tc>
          <w:tcPr>
            <w:tcW w:w="92" w:type="pct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987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 xml:space="preserve">  Non-Hispanic Asian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0.9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.3-2.4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9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6-1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2)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1 (0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.8</w:t>
            </w:r>
            <w:r>
              <w:rPr>
                <w:rFonts w:ascii="Arial Narrow" w:hAnsi="Arial Narrow" w:cs="Arial Narrow"/>
                <w:sz w:val="20"/>
                <w:szCs w:val="20"/>
              </w:rPr>
              <w:t>-1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.7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7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3</w:t>
            </w:r>
            <w:r>
              <w:rPr>
                <w:rFonts w:ascii="Arial Narrow" w:hAnsi="Arial Narrow" w:cs="Arial Narrow"/>
                <w:sz w:val="20"/>
                <w:szCs w:val="20"/>
              </w:rPr>
              <w:t>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5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5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2-0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9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7-1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3)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8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0.3-1.9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5 (1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1-2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1)</w:t>
            </w:r>
          </w:p>
        </w:tc>
      </w:tr>
      <w:tr>
        <w:trPr>
          <w:trHeight w:val="312" w:hRule="atLeast"/>
        </w:trPr>
        <w:tc>
          <w:tcPr>
            <w:tcW w:w="92" w:type="pct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987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 xml:space="preserve">  Other/Multi-racial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 (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0.7-1.5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1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9-1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3)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.1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.9-1.4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6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0-2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7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1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7-1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7)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8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6-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0.9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8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0.6-1.0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0.8-1.2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</w:tr>
      <w:tr>
        <w:trPr>
          <w:trHeight w:val="312" w:hRule="atLeast"/>
        </w:trPr>
        <w:tc>
          <w:tcPr>
            <w:tcW w:w="92" w:type="pct"/>
            <w:vMerge w:val="continue"/>
            <w:tcBorders>
              <w:tl2br w:val="nil"/>
              <w:tr2bl w:val="nil"/>
            </w:tcBorders>
          </w:tcPr>
          <w:p>
            <w:pPr>
              <w:kinsoku w:val="0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1477" w:type="pct"/>
            <w:gridSpan w:val="2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Household poverty level (FPL)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</w:tr>
      <w:tr>
        <w:trPr>
          <w:trHeight w:val="312" w:hRule="atLeast"/>
        </w:trPr>
        <w:tc>
          <w:tcPr>
            <w:tcW w:w="92" w:type="pct"/>
            <w:vMerge w:val="continue"/>
            <w:tcBorders>
              <w:tl2br w:val="nil"/>
              <w:tr2bl w:val="nil"/>
            </w:tcBorders>
          </w:tcPr>
          <w:p>
            <w:pPr>
              <w:kinsoku w:val="0"/>
              <w:ind w:firstLine="200" w:firstLineChars="100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987" w:type="pct"/>
            <w:tcBorders>
              <w:tl2br w:val="nil"/>
              <w:tr2bl w:val="nil"/>
            </w:tcBorders>
          </w:tcPr>
          <w:p>
            <w:pPr>
              <w:kinsoku w:val="0"/>
              <w:ind w:firstLine="200" w:firstLineChars="100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 xml:space="preserve">Less than 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99% 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</w:tr>
      <w:tr>
        <w:trPr>
          <w:trHeight w:val="312" w:hRule="atLeast"/>
        </w:trPr>
        <w:tc>
          <w:tcPr>
            <w:tcW w:w="92" w:type="pct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987" w:type="pct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 xml:space="preserve">  100%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 xml:space="preserve"> and more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7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5</w:t>
            </w:r>
            <w:r>
              <w:rPr>
                <w:rFonts w:ascii="Arial Narrow" w:hAnsi="Arial Narrow" w:cs="Arial Narrow"/>
                <w:sz w:val="20"/>
                <w:szCs w:val="20"/>
              </w:rPr>
              <w:t>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1 (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1.0</w:t>
            </w:r>
            <w:r>
              <w:rPr>
                <w:rFonts w:ascii="Arial Narrow" w:hAnsi="Arial Narrow" w:cs="Arial Narrow"/>
                <w:sz w:val="20"/>
                <w:szCs w:val="20"/>
              </w:rPr>
              <w:t>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4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9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7-1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2)</w:t>
            </w: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7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4-1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1)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1.0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7</w:t>
            </w:r>
            <w:r>
              <w:rPr>
                <w:rFonts w:ascii="Arial Narrow" w:hAnsi="Arial Narrow" w:cs="Arial Narrow"/>
                <w:sz w:val="20"/>
                <w:szCs w:val="20"/>
              </w:rPr>
              <w:t>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4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2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4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7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6</w:t>
            </w:r>
            <w:r>
              <w:rPr>
                <w:rFonts w:ascii="Arial Narrow" w:hAnsi="Arial Narrow" w:cs="Arial Narrow"/>
                <w:sz w:val="20"/>
                <w:szCs w:val="20"/>
              </w:rPr>
              <w:t>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1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9-1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3)</w:t>
            </w:r>
          </w:p>
        </w:tc>
      </w:tr>
      <w:tr>
        <w:trPr>
          <w:trHeight w:val="312" w:hRule="atLeast"/>
        </w:trPr>
        <w:tc>
          <w:tcPr>
            <w:tcW w:w="92" w:type="pct"/>
            <w:vMerge w:val="continue"/>
            <w:tcBorders>
              <w:tl2br w:val="nil"/>
              <w:tr2bl w:val="nil"/>
            </w:tcBorders>
          </w:tcPr>
          <w:p>
            <w:pPr>
              <w:kinsoku w:val="0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1967" w:type="pct"/>
            <w:gridSpan w:val="3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Highest level of education of primary caregivers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</w:tr>
      <w:tr>
        <w:trPr>
          <w:trHeight w:val="312" w:hRule="atLeast"/>
        </w:trPr>
        <w:tc>
          <w:tcPr>
            <w:tcW w:w="92" w:type="pct"/>
            <w:vMerge w:val="continue"/>
            <w:tcBorders>
              <w:tl2br w:val="nil"/>
              <w:tr2bl w:val="nil"/>
            </w:tcBorders>
          </w:tcPr>
          <w:p>
            <w:pPr>
              <w:kinsoku w:val="0"/>
              <w:ind w:left="200" w:hanging="200" w:hangingChars="100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987" w:type="pct"/>
            <w:tcBorders>
              <w:tl2br w:val="nil"/>
              <w:tr2bl w:val="nil"/>
            </w:tcBorders>
          </w:tcPr>
          <w:p>
            <w:pPr>
              <w:kinsoku w:val="0"/>
              <w:ind w:left="200" w:hanging="200" w:hangingChars="100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 xml:space="preserve">  Less than highs school 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</w:tr>
      <w:tr>
        <w:trPr>
          <w:trHeight w:val="312" w:hRule="atLeast"/>
        </w:trPr>
        <w:tc>
          <w:tcPr>
            <w:tcW w:w="92" w:type="pct"/>
            <w:vMerge w:val="continue"/>
            <w:tcBorders>
              <w:tl2br w:val="nil"/>
              <w:tr2bl w:val="nil"/>
            </w:tcBorders>
          </w:tcPr>
          <w:p>
            <w:pPr>
              <w:kinsoku w:val="0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987" w:type="pct"/>
            <w:tcBorders>
              <w:tl2br w:val="nil"/>
              <w:tr2bl w:val="nil"/>
            </w:tcBorders>
          </w:tcPr>
          <w:p>
            <w:pPr>
              <w:kinsoku w:val="0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 xml:space="preserve">  High school or GED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0.9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5-1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5)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ind w:firstLine="100" w:firstLineChars="50"/>
              <w:jc w:val="both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1.0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7</w:t>
            </w:r>
            <w:r>
              <w:rPr>
                <w:rFonts w:ascii="Arial Narrow" w:hAnsi="Arial Narrow" w:cs="Arial Narrow"/>
                <w:sz w:val="20"/>
                <w:szCs w:val="20"/>
              </w:rPr>
              <w:t>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4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7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5-1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3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6-2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4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1.1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5-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2.3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0.6-1.5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7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9-3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1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8-1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6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</w:tr>
      <w:tr>
        <w:trPr>
          <w:trHeight w:val="312" w:hRule="atLeast"/>
        </w:trPr>
        <w:tc>
          <w:tcPr>
            <w:tcW w:w="92" w:type="pct"/>
            <w:vMerge w:val="continue"/>
            <w:tcBorders>
              <w:tl2br w:val="nil"/>
              <w:tr2bl w:val="nil"/>
            </w:tcBorders>
          </w:tcPr>
          <w:p>
            <w:pPr>
              <w:kinsoku w:val="0"/>
              <w:ind w:firstLine="200" w:firstLineChars="100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987" w:type="pct"/>
            <w:tcBorders>
              <w:tl2br w:val="nil"/>
              <w:tr2bl w:val="nil"/>
            </w:tcBorders>
          </w:tcPr>
          <w:p>
            <w:pPr>
              <w:kinsoku w:val="0"/>
              <w:ind w:firstLine="200" w:firstLineChars="100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 xml:space="preserve">Some colleges credit 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1.0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.6</w:t>
            </w:r>
            <w:r>
              <w:rPr>
                <w:rFonts w:ascii="Arial Narrow" w:hAnsi="Arial Narrow" w:cs="Arial Narrow"/>
                <w:sz w:val="20"/>
                <w:szCs w:val="20"/>
              </w:rPr>
              <w:t>-1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.6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 xml:space="preserve">.2 </w:t>
            </w:r>
            <w:r>
              <w:rPr>
                <w:rFonts w:ascii="Arial Narrow" w:hAnsi="Arial Narrow" w:cs="Arial Narrow"/>
                <w:sz w:val="20"/>
                <w:szCs w:val="20"/>
              </w:rPr>
              <w:t>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8</w:t>
            </w:r>
            <w:r>
              <w:rPr>
                <w:rFonts w:ascii="Arial Narrow" w:hAnsi="Arial Narrow" w:cs="Arial Narrow"/>
                <w:sz w:val="20"/>
                <w:szCs w:val="20"/>
              </w:rPr>
              <w:t>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6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7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5-1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3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6</w:t>
            </w:r>
            <w:r>
              <w:rPr>
                <w:rFonts w:ascii="Arial Narrow" w:hAnsi="Arial Narrow" w:cs="Arial Narrow"/>
                <w:sz w:val="20"/>
                <w:szCs w:val="20"/>
              </w:rPr>
              <w:t>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2.9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5-1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.8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0.6-1.5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5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8-2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8)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7-1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3)</w:t>
            </w:r>
          </w:p>
        </w:tc>
      </w:tr>
      <w:tr>
        <w:trPr>
          <w:trHeight w:val="312" w:hRule="atLeast"/>
        </w:trPr>
        <w:tc>
          <w:tcPr>
            <w:tcW w:w="92" w:type="pct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987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 xml:space="preserve">  College degree or higher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0.7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.4-1.2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2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9</w:t>
            </w:r>
            <w:r>
              <w:rPr>
                <w:rFonts w:ascii="Arial Narrow" w:hAnsi="Arial Narrow" w:cs="Arial Narrow"/>
                <w:sz w:val="20"/>
                <w:szCs w:val="20"/>
              </w:rPr>
              <w:t>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7)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8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5-1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1)</w:t>
            </w: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.7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3</w:t>
            </w:r>
            <w:r>
              <w:rPr>
                <w:rFonts w:ascii="Arial Narrow" w:hAnsi="Arial Narrow" w:cs="Arial Narrow"/>
                <w:sz w:val="20"/>
                <w:szCs w:val="20"/>
              </w:rPr>
              <w:t>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4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9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5-1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.6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4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0.9-2.1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8 (1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0-3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4)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7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5</w:t>
            </w:r>
            <w:r>
              <w:rPr>
                <w:rFonts w:ascii="Arial Narrow" w:hAnsi="Arial Narrow" w:cs="Arial Narrow"/>
                <w:sz w:val="20"/>
                <w:szCs w:val="20"/>
              </w:rPr>
              <w:t>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</w:tr>
      <w:tr>
        <w:trPr>
          <w:trHeight w:val="312" w:hRule="atLeast"/>
        </w:trPr>
        <w:tc>
          <w:tcPr>
            <w:tcW w:w="92" w:type="pct"/>
            <w:vMerge w:val="continue"/>
            <w:tcBorders>
              <w:tl2br w:val="nil"/>
              <w:tr2bl w:val="nil"/>
            </w:tcBorders>
          </w:tcPr>
          <w:p>
            <w:pPr>
              <w:kinsoku w:val="0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1477" w:type="pct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Born≥3weeks before due date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</w:tr>
      <w:tr>
        <w:trPr>
          <w:trHeight w:val="312" w:hRule="atLeast"/>
        </w:trPr>
        <w:tc>
          <w:tcPr>
            <w:tcW w:w="92" w:type="pct"/>
            <w:vMerge w:val="continue"/>
            <w:tcBorders>
              <w:tl2br w:val="nil"/>
              <w:tr2bl w:val="nil"/>
            </w:tcBorders>
          </w:tcPr>
          <w:p>
            <w:pPr>
              <w:kinsoku w:val="0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987" w:type="pct"/>
            <w:tcBorders>
              <w:tl2br w:val="nil"/>
              <w:tr2bl w:val="nil"/>
            </w:tcBorders>
          </w:tcPr>
          <w:p>
            <w:pPr>
              <w:kinsoku w:val="0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 xml:space="preserve">  No 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</w:tr>
      <w:tr>
        <w:trPr>
          <w:trHeight w:val="312" w:hRule="atLeast"/>
        </w:trPr>
        <w:tc>
          <w:tcPr>
            <w:tcW w:w="92" w:type="pct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987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 xml:space="preserve">  Yes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9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6-1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2)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9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8-1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1)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2 (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1.0</w:t>
            </w:r>
            <w:r>
              <w:rPr>
                <w:rFonts w:ascii="Arial Narrow" w:hAnsi="Arial Narrow" w:cs="Arial Narrow"/>
                <w:sz w:val="20"/>
                <w:szCs w:val="20"/>
              </w:rPr>
              <w:t>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5)</w:t>
            </w: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8-1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6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8-1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.6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0.9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 w:eastAsia="zh-CN"/>
              </w:rPr>
              <w:t>8-1.1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8-1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2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9</w:t>
            </w:r>
            <w:r>
              <w:rPr>
                <w:rFonts w:ascii="Arial Narrow" w:hAnsi="Arial Narrow" w:cs="Arial Narrow"/>
                <w:sz w:val="20"/>
                <w:szCs w:val="20"/>
              </w:rPr>
              <w:t>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2)</w:t>
            </w:r>
          </w:p>
        </w:tc>
      </w:tr>
      <w:tr>
        <w:trPr>
          <w:trHeight w:val="302" w:hRule="atLeast"/>
        </w:trPr>
        <w:tc>
          <w:tcPr>
            <w:tcW w:w="92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987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Weight status</w:t>
            </w:r>
            <w:r>
              <w:rPr>
                <w:rFonts w:hint="default" w:ascii="Arial Narrow" w:hAnsi="Arial Narrow" w:cs="Arial Narrow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</w:tr>
      <w:tr>
        <w:trPr>
          <w:trHeight w:val="312" w:hRule="atLeast"/>
        </w:trPr>
        <w:tc>
          <w:tcPr>
            <w:tcW w:w="92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987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 xml:space="preserve">  Underweight        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ind w:firstLine="200" w:firstLineChars="100"/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</w:tr>
      <w:tr>
        <w:trPr>
          <w:trHeight w:val="312" w:hRule="atLeast"/>
        </w:trPr>
        <w:tc>
          <w:tcPr>
            <w:tcW w:w="92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987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 xml:space="preserve">  Healthy weight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.5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0-2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.3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9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7-1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1)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.8-1.5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7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1.1-2.7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7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0.5-1.0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9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8-1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9 (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0.7-1.1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1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9-1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4)</w:t>
            </w:r>
          </w:p>
        </w:tc>
      </w:tr>
      <w:tr>
        <w:trPr>
          <w:trHeight w:val="302" w:hRule="atLeast"/>
        </w:trPr>
        <w:tc>
          <w:tcPr>
            <w:tcW w:w="92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987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 xml:space="preserve">  Overweight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.4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0.8-2.2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0.9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7</w:t>
            </w:r>
            <w:r>
              <w:rPr>
                <w:rFonts w:ascii="Arial Narrow" w:hAnsi="Arial Narrow" w:cs="Arial Narrow"/>
                <w:sz w:val="20"/>
                <w:szCs w:val="20"/>
              </w:rPr>
              <w:t>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2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7-1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4)</w:t>
            </w: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3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.8-2.1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6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4-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1.1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9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7-1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2)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5 (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0.4</w:t>
            </w:r>
            <w:r>
              <w:rPr>
                <w:rFonts w:ascii="Arial Narrow" w:hAnsi="Arial Narrow" w:cs="Arial Narrow"/>
                <w:sz w:val="20"/>
                <w:szCs w:val="20"/>
              </w:rPr>
              <w:t>-0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8)**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 w:eastAsiaTheme="minorEastAsia"/>
                <w:sz w:val="20"/>
                <w:szCs w:val="20"/>
                <w:lang w:val="en-US" w:eastAsia="zh-CN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5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1-1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8)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**</w:t>
            </w:r>
          </w:p>
        </w:tc>
      </w:tr>
      <w:tr>
        <w:trPr>
          <w:trHeight w:val="312" w:hRule="atLeast"/>
        </w:trPr>
        <w:tc>
          <w:tcPr>
            <w:tcW w:w="92" w:type="pct"/>
            <w:vMerge w:val="restar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987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 xml:space="preserve">  Obese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0.8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.5-1.3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8-1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4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3 (0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.9-1.8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1.1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0.6-1.8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4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2-0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6)***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7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6-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0.9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4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3-0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6)***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7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3-2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1)***</w:t>
            </w:r>
          </w:p>
        </w:tc>
      </w:tr>
      <w:tr>
        <w:trPr>
          <w:trHeight w:val="312" w:hRule="atLeast"/>
        </w:trPr>
        <w:tc>
          <w:tcPr>
            <w:tcW w:w="92" w:type="pct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987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 w:cs="Arial Narrow"/>
                <w:i/>
                <w:iCs/>
                <w:sz w:val="20"/>
                <w:szCs w:val="20"/>
              </w:rPr>
              <w:t>P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for trend </w:t>
            </w:r>
            <w:r>
              <w:rPr>
                <w:rFonts w:hint="default" w:ascii="Arial Narrow" w:hAnsi="Arial Narrow" w:cs="Arial Narrow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02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18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2</w:t>
            </w: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7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&lt;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001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01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&lt;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001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&lt;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001</w:t>
            </w:r>
          </w:p>
        </w:tc>
      </w:tr>
      <w:tr>
        <w:trPr>
          <w:trHeight w:val="312" w:hRule="atLeast"/>
        </w:trPr>
        <w:tc>
          <w:tcPr>
            <w:tcW w:w="92" w:type="pct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1477" w:type="pct"/>
            <w:gridSpan w:val="2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Year (Categorical)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</w:tr>
      <w:tr>
        <w:trPr>
          <w:trHeight w:val="312" w:hRule="atLeast"/>
        </w:trPr>
        <w:tc>
          <w:tcPr>
            <w:tcW w:w="92" w:type="pct"/>
            <w:vMerge w:val="continue"/>
            <w:tcBorders>
              <w:tl2br w:val="nil"/>
              <w:tr2bl w:val="nil"/>
            </w:tcBorders>
          </w:tcPr>
          <w:p>
            <w:pPr>
              <w:ind w:firstLine="200" w:firstLineChars="100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987" w:type="pct"/>
            <w:tcBorders>
              <w:tl2br w:val="nil"/>
              <w:tr2bl w:val="nil"/>
            </w:tcBorders>
          </w:tcPr>
          <w:p>
            <w:pPr>
              <w:ind w:firstLine="200" w:firstLineChars="100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2016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1[Reference]</w:t>
            </w:r>
          </w:p>
        </w:tc>
      </w:tr>
      <w:tr>
        <w:trPr>
          <w:trHeight w:val="312" w:hRule="atLeast"/>
        </w:trPr>
        <w:tc>
          <w:tcPr>
            <w:tcW w:w="92" w:type="pct"/>
            <w:vMerge w:val="continue"/>
            <w:tcBorders>
              <w:tl2br w:val="nil"/>
              <w:tr2bl w:val="nil"/>
            </w:tcBorders>
          </w:tcPr>
          <w:p>
            <w:pPr>
              <w:ind w:firstLine="200" w:firstLineChars="100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987" w:type="pct"/>
            <w:tcBorders>
              <w:tl2br w:val="nil"/>
              <w:tr2bl w:val="nil"/>
            </w:tcBorders>
          </w:tcPr>
          <w:p>
            <w:pPr>
              <w:ind w:firstLine="200" w:firstLineChars="100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2017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6-1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8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8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7-1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2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9-1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.5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9 (0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.5-1.6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1.0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.6-1.9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9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8</w:t>
            </w:r>
            <w:r>
              <w:rPr>
                <w:rFonts w:ascii="Arial Narrow" w:hAnsi="Arial Narrow" w:cs="Arial Narrow"/>
                <w:sz w:val="20"/>
                <w:szCs w:val="20"/>
              </w:rPr>
              <w:t>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2)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0.9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7-1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2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2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9-1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5)</w:t>
            </w:r>
          </w:p>
        </w:tc>
      </w:tr>
      <w:tr>
        <w:trPr>
          <w:trHeight w:val="312" w:hRule="atLeast"/>
        </w:trPr>
        <w:tc>
          <w:tcPr>
            <w:tcW w:w="92" w:type="pct"/>
            <w:vMerge w:val="continue"/>
            <w:tcBorders>
              <w:tl2br w:val="nil"/>
              <w:tr2bl w:val="nil"/>
            </w:tcBorders>
          </w:tcPr>
          <w:p>
            <w:pPr>
              <w:ind w:firstLine="200" w:firstLineChars="100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987" w:type="pct"/>
            <w:tcBorders>
              <w:tl2br w:val="nil"/>
              <w:tr2bl w:val="nil"/>
            </w:tcBorders>
          </w:tcPr>
          <w:p>
            <w:pPr>
              <w:ind w:firstLine="200" w:firstLineChars="100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2018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1.2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7</w:t>
            </w:r>
            <w:r>
              <w:rPr>
                <w:rFonts w:ascii="Arial Narrow" w:hAnsi="Arial Narrow" w:cs="Arial Narrow"/>
                <w:sz w:val="20"/>
                <w:szCs w:val="20"/>
              </w:rPr>
              <w:t>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2.0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1.7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1.4-2.0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***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0.7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.6-0.9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**</w:t>
            </w: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0.7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.4-1.0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1.4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.9-2.0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5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4</w:t>
            </w:r>
            <w:r>
              <w:rPr>
                <w:rFonts w:ascii="Arial Narrow" w:hAnsi="Arial Narrow" w:cs="Arial Narrow"/>
                <w:sz w:val="20"/>
                <w:szCs w:val="20"/>
              </w:rPr>
              <w:t>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0.6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***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ind w:firstLine="200" w:firstLineChars="100"/>
              <w:jc w:val="both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0.7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.5-0.9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7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(1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.5</w:t>
            </w:r>
            <w:r>
              <w:rPr>
                <w:rFonts w:ascii="Arial Narrow" w:hAnsi="Arial Narrow" w:cs="Arial Narrow"/>
                <w:sz w:val="20"/>
                <w:szCs w:val="20"/>
              </w:rPr>
              <w:t>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2.1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*</w:t>
            </w:r>
            <w:r>
              <w:rPr>
                <w:rFonts w:ascii="Arial Narrow" w:hAnsi="Arial Narrow" w:cs="Arial Narrow"/>
                <w:sz w:val="20"/>
                <w:szCs w:val="20"/>
              </w:rPr>
              <w:t>**</w:t>
            </w:r>
          </w:p>
        </w:tc>
      </w:tr>
      <w:tr>
        <w:trPr>
          <w:trHeight w:val="312" w:hRule="atLeast"/>
        </w:trPr>
        <w:tc>
          <w:tcPr>
            <w:tcW w:w="92" w:type="pct"/>
            <w:vMerge w:val="continue"/>
            <w:tcBorders>
              <w:tl2br w:val="nil"/>
              <w:tr2bl w:val="nil"/>
            </w:tcBorders>
          </w:tcPr>
          <w:p>
            <w:pPr>
              <w:ind w:firstLine="200" w:firstLineChars="100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987" w:type="pct"/>
            <w:tcBorders>
              <w:tl2br w:val="nil"/>
              <w:tr2bl w:val="nil"/>
            </w:tcBorders>
          </w:tcPr>
          <w:p>
            <w:pPr>
              <w:ind w:firstLine="200" w:firstLineChars="100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2019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1.1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6</w:t>
            </w:r>
            <w:r>
              <w:rPr>
                <w:rFonts w:ascii="Arial Narrow" w:hAnsi="Arial Narrow" w:cs="Arial Narrow"/>
                <w:sz w:val="20"/>
                <w:szCs w:val="20"/>
              </w:rPr>
              <w:t>-1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8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8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1.5-2.</w:t>
            </w:r>
            <w:r>
              <w:rPr>
                <w:rFonts w:ascii="Arial Narrow" w:hAnsi="Arial Narrow" w:cs="Arial Narrow"/>
                <w:sz w:val="20"/>
                <w:szCs w:val="20"/>
              </w:rPr>
              <w:t>2)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***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0.6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.5-0.7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***</w:t>
            </w: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0.7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.5-1.1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1.5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1.0-2.2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5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0.4-0.6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***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0.8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.6-1.1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7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(1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.4-2.1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***</w:t>
            </w:r>
          </w:p>
        </w:tc>
      </w:tr>
      <w:tr>
        <w:trPr>
          <w:trHeight w:val="312" w:hRule="atLeast"/>
        </w:trPr>
        <w:tc>
          <w:tcPr>
            <w:tcW w:w="92" w:type="pct"/>
            <w:vMerge w:val="continue"/>
            <w:tcBorders>
              <w:tl2br w:val="nil"/>
              <w:tr2bl w:val="nil"/>
            </w:tcBorders>
          </w:tcPr>
          <w:p>
            <w:pPr>
              <w:ind w:firstLine="200" w:firstLineChars="100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987" w:type="pct"/>
            <w:tcBorders>
              <w:tl2br w:val="nil"/>
              <w:tr2bl w:val="nil"/>
            </w:tcBorders>
          </w:tcPr>
          <w:p>
            <w:pPr>
              <w:ind w:firstLine="200" w:firstLineChars="100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2020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ind w:firstLine="200" w:firstLineChars="100"/>
              <w:jc w:val="both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1.4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9</w:t>
            </w:r>
            <w:r>
              <w:rPr>
                <w:rFonts w:ascii="Arial Narrow" w:hAnsi="Arial Narrow" w:cs="Arial Narrow"/>
                <w:sz w:val="20"/>
                <w:szCs w:val="20"/>
              </w:rPr>
              <w:t>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2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2)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2.3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2.0-2.7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***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.4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.3-0.5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***</w:t>
            </w: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.6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.4-0.9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1.5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1.0-2.0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4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0.3-0.5</w:t>
            </w:r>
            <w:r>
              <w:rPr>
                <w:rFonts w:ascii="Arial Narrow" w:hAnsi="Arial Narrow" w:cs="Arial Narrow"/>
                <w:sz w:val="20"/>
                <w:szCs w:val="20"/>
              </w:rPr>
              <w:t>)***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.6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.5-0.8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***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9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(1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.6-2.3)</w:t>
            </w:r>
            <w:r>
              <w:rPr>
                <w:rFonts w:ascii="Arial Narrow" w:hAnsi="Arial Narrow" w:cs="Arial Narrow"/>
                <w:sz w:val="20"/>
                <w:szCs w:val="20"/>
              </w:rPr>
              <w:t>***</w:t>
            </w:r>
          </w:p>
        </w:tc>
      </w:tr>
      <w:tr>
        <w:trPr>
          <w:trHeight w:val="312" w:hRule="atLeast"/>
        </w:trPr>
        <w:tc>
          <w:tcPr>
            <w:tcW w:w="92" w:type="pct"/>
            <w:vMerge w:val="continue"/>
            <w:tcBorders>
              <w:tl2br w:val="nil"/>
              <w:tr2bl w:val="nil"/>
            </w:tcBorders>
          </w:tcPr>
          <w:p>
            <w:pPr>
              <w:ind w:firstLine="200" w:firstLineChars="100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987" w:type="pct"/>
            <w:tcBorders>
              <w:tl2br w:val="nil"/>
              <w:tr2bl w:val="nil"/>
            </w:tcBorders>
          </w:tcPr>
          <w:p>
            <w:pPr>
              <w:ind w:firstLine="200" w:firstLineChars="100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2021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1.3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8</w:t>
            </w:r>
            <w:r>
              <w:rPr>
                <w:rFonts w:ascii="Arial Narrow" w:hAnsi="Arial Narrow" w:cs="Arial Narrow"/>
                <w:sz w:val="20"/>
                <w:szCs w:val="20"/>
              </w:rPr>
              <w:t>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2.0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2.2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(1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.9-2.6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***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.5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.4-0.7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***</w:t>
            </w: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.4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.3-0.6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***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1.6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1.1-2.3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4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0.3-0.5</w:t>
            </w:r>
            <w:r>
              <w:rPr>
                <w:rFonts w:ascii="Arial Narrow" w:hAnsi="Arial Narrow" w:cs="Arial Narrow"/>
                <w:sz w:val="20"/>
                <w:szCs w:val="20"/>
              </w:rPr>
              <w:t>)***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.6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.5-0.8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***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9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(1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.6-2.3</w:t>
            </w:r>
            <w:r>
              <w:rPr>
                <w:rFonts w:ascii="Arial Narrow" w:hAnsi="Arial Narrow" w:cs="Arial Narrow"/>
                <w:sz w:val="20"/>
                <w:szCs w:val="20"/>
              </w:rPr>
              <w:t>)***</w:t>
            </w:r>
          </w:p>
        </w:tc>
      </w:tr>
      <w:tr>
        <w:trPr>
          <w:trHeight w:val="312" w:hRule="atLeast"/>
        </w:trPr>
        <w:tc>
          <w:tcPr>
            <w:tcW w:w="92" w:type="pct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987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 w:cs="Arial Narrow"/>
                <w:i/>
                <w:iCs/>
                <w:sz w:val="20"/>
                <w:szCs w:val="20"/>
              </w:rPr>
              <w:t>P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for trend </w:t>
            </w:r>
            <w:r>
              <w:rPr>
                <w:rFonts w:hint="default" w:ascii="Arial Narrow" w:hAnsi="Arial Narrow" w:cs="Arial Narrow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&lt;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001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001</w:t>
            </w:r>
          </w:p>
        </w:tc>
        <w:tc>
          <w:tcPr>
            <w:tcW w:w="491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 w:eastAsia="zh-CN"/>
              </w:rPr>
              <w:t>.001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01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&lt;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001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01</w:t>
            </w:r>
          </w:p>
        </w:tc>
        <w:tc>
          <w:tcPr>
            <w:tcW w:w="490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&lt;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001</w:t>
            </w:r>
          </w:p>
        </w:tc>
      </w:tr>
      <w:tr>
        <w:trPr>
          <w:trHeight w:val="312" w:hRule="atLeast"/>
        </w:trPr>
        <w:tc>
          <w:tcPr>
            <w:tcW w:w="92" w:type="pct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987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F</w:t>
            </w:r>
            <w:r>
              <w:rPr>
                <w:rFonts w:hint="default" w:ascii="Arial Narrow" w:hAnsi="Arial Narrow" w:cs="Arial Narrow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490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ind w:firstLine="100" w:firstLineChars="50"/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&lt;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001</w:t>
            </w:r>
          </w:p>
        </w:tc>
        <w:tc>
          <w:tcPr>
            <w:tcW w:w="490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&lt;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001</w:t>
            </w:r>
          </w:p>
        </w:tc>
        <w:tc>
          <w:tcPr>
            <w:tcW w:w="490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&lt;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001</w:t>
            </w:r>
          </w:p>
        </w:tc>
        <w:tc>
          <w:tcPr>
            <w:tcW w:w="491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&lt;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001</w:t>
            </w:r>
          </w:p>
        </w:tc>
        <w:tc>
          <w:tcPr>
            <w:tcW w:w="490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&lt;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001</w:t>
            </w:r>
          </w:p>
        </w:tc>
        <w:tc>
          <w:tcPr>
            <w:tcW w:w="490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&lt;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001</w:t>
            </w:r>
          </w:p>
        </w:tc>
        <w:tc>
          <w:tcPr>
            <w:tcW w:w="490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&lt;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001</w:t>
            </w:r>
          </w:p>
        </w:tc>
        <w:tc>
          <w:tcPr>
            <w:tcW w:w="490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&lt;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001</w:t>
            </w:r>
          </w:p>
        </w:tc>
      </w:tr>
    </w:tbl>
    <w:p>
      <w:pPr>
        <w:rPr>
          <w:rFonts w:ascii="Times New Roman Regular" w:hAnsi="Times New Roman Regular" w:cs="Times New Roman Regular"/>
          <w:b/>
          <w:bCs/>
          <w:sz w:val="20"/>
          <w:szCs w:val="20"/>
        </w:rPr>
      </w:pPr>
    </w:p>
    <w:p>
      <w:pPr>
        <w:rPr>
          <w:rFonts w:hint="default" w:ascii="Times New Roman Regular" w:hAnsi="Times New Roman Regular" w:cs="Times New Roman Regular"/>
          <w:sz w:val="20"/>
          <w:szCs w:val="20"/>
          <w:lang w:val="en-US"/>
        </w:rPr>
      </w:pPr>
      <w:r>
        <w:rPr>
          <w:rFonts w:hint="default" w:ascii="Times New Roman Regular" w:hAnsi="Times New Roman Regular" w:cs="Times New Roman Regular"/>
          <w:sz w:val="20"/>
          <w:szCs w:val="20"/>
          <w:vertAlign w:val="superscript"/>
          <w:lang w:val="en-US"/>
        </w:rPr>
        <w:t>1</w:t>
      </w:r>
      <w:r>
        <w:rPr>
          <w:rFonts w:ascii="Times New Roman Regular" w:hAnsi="Times New Roman Regular" w:cs="Times New Roman Regular"/>
          <w:sz w:val="20"/>
          <w:szCs w:val="20"/>
        </w:rPr>
        <w:t xml:space="preserve"> For categorical variables, the odds ratios (ORs) represent the change in odds expected in each category compared with the reference group.</w:t>
      </w: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  <w:r>
        <w:rPr>
          <w:rFonts w:hint="default" w:ascii="Times New Roman Regular" w:hAnsi="Times New Roman Regular" w:cs="Times New Roman Regular"/>
          <w:sz w:val="20"/>
          <w:szCs w:val="20"/>
          <w:vertAlign w:val="superscript"/>
          <w:lang w:val="en-US"/>
        </w:rPr>
        <w:t>2</w:t>
      </w:r>
      <w:r>
        <w:rPr>
          <w:rFonts w:ascii="Times New Roman Regular" w:hAnsi="Times New Roman Regular" w:cs="Times New Roman Regular"/>
          <w:sz w:val="20"/>
          <w:szCs w:val="20"/>
        </w:rPr>
        <w:t xml:space="preserve"> For weight status definitions, see the Table 1 footnotes; Only youths who aged 10-17 years were reported the BMI categories in NSCH. </w:t>
      </w:r>
    </w:p>
    <w:p>
      <w:pPr>
        <w:rPr>
          <w:rFonts w:ascii="Times New Roman Regular" w:hAnsi="Times New Roman Regular" w:cs="Times New Roman Regular"/>
          <w:sz w:val="20"/>
          <w:szCs w:val="20"/>
        </w:rPr>
      </w:pPr>
      <w:r>
        <w:rPr>
          <w:rFonts w:hint="default" w:ascii="Times New Roman Regular" w:hAnsi="Times New Roman Regular" w:cs="Times New Roman Regular"/>
          <w:sz w:val="20"/>
          <w:szCs w:val="20"/>
          <w:vertAlign w:val="superscript"/>
          <w:lang w:val="en-US"/>
        </w:rPr>
        <w:t>3</w:t>
      </w:r>
      <w:r>
        <w:rPr>
          <w:rFonts w:ascii="Times New Roman Regular" w:hAnsi="Times New Roman Regular" w:cs="Times New Roman Regular"/>
          <w:sz w:val="20"/>
          <w:szCs w:val="20"/>
        </w:rPr>
        <w:t xml:space="preserve"> Calculated using BMI as a continuous variable; </w:t>
      </w:r>
      <w:r>
        <w:rPr>
          <w:rFonts w:hint="default" w:ascii="Times New Roman Regular" w:hAnsi="Times New Roman Regular" w:cs="Times New Roman Regular"/>
          <w:sz w:val="20"/>
          <w:szCs w:val="20"/>
          <w:vertAlign w:val="superscript"/>
          <w:lang w:val="en-US"/>
        </w:rPr>
        <w:t>4</w:t>
      </w:r>
      <w:r>
        <w:rPr>
          <w:rFonts w:ascii="Times New Roman Regular" w:hAnsi="Times New Roman Regular" w:cs="Times New Roman Regular"/>
          <w:sz w:val="20"/>
          <w:szCs w:val="20"/>
        </w:rPr>
        <w:t xml:space="preserve"> P for trend over years was calculated using the 2016 to 2021years as a continuous variable.</w:t>
      </w:r>
      <w:r>
        <w:rPr>
          <w:rFonts w:hint="default" w:ascii="Times New Roman Regular" w:hAnsi="Times New Roman Regular" w:cs="Times New Roman Regular"/>
          <w:sz w:val="20"/>
          <w:szCs w:val="20"/>
          <w:vertAlign w:val="superscript"/>
          <w:lang w:val="en-US"/>
        </w:rPr>
        <w:t>5</w:t>
      </w:r>
      <w:r>
        <w:rPr>
          <w:rFonts w:ascii="Times New Roman Regular" w:hAnsi="Times New Roman Regular" w:cs="Times New Roman Regular"/>
          <w:sz w:val="20"/>
          <w:szCs w:val="20"/>
        </w:rPr>
        <w:t xml:space="preserve"> Means overall model F statistic</w:t>
      </w:r>
      <w:r>
        <w:rPr>
          <w:rFonts w:ascii="Times New Roman Regular" w:hAnsi="Times New Roman Regular" w:cs="Times New Roman Regular"/>
          <w:color w:val="000000"/>
          <w:sz w:val="20"/>
          <w:szCs w:val="20"/>
        </w:rPr>
        <w:t xml:space="preserve">; </w:t>
      </w:r>
      <w:r>
        <w:rPr>
          <w:rFonts w:ascii="Times New Roman Regular" w:hAnsi="Times New Roman Regular" w:cs="Times New Roman Regular"/>
          <w:sz w:val="20"/>
          <w:szCs w:val="20"/>
        </w:rPr>
        <w:t>**</w:t>
      </w:r>
      <w:r>
        <w:rPr>
          <w:rFonts w:ascii="Times New Roman Regular" w:hAnsi="Times New Roman Regular" w:cs="Times New Roman Regular"/>
          <w:i/>
          <w:iCs/>
          <w:sz w:val="20"/>
          <w:szCs w:val="20"/>
        </w:rPr>
        <w:t>p</w:t>
      </w:r>
      <w:r>
        <w:rPr>
          <w:rFonts w:ascii="Times New Roman Regular" w:hAnsi="Times New Roman Regular" w:cs="Times New Roman Regular"/>
          <w:sz w:val="20"/>
          <w:szCs w:val="20"/>
        </w:rPr>
        <w:t xml:space="preserve"> &lt;</w:t>
      </w:r>
      <w:r>
        <w:rPr>
          <w:rFonts w:hint="eastAsia" w:ascii="Times New Roman Regular" w:hAnsi="Times New Roman Regular" w:cs="Times New Roman Regular"/>
          <w:sz w:val="20"/>
          <w:szCs w:val="20"/>
          <w:lang w:val="en-US" w:eastAsia="zh-CN"/>
        </w:rPr>
        <w:t>0</w:t>
      </w:r>
      <w:r>
        <w:rPr>
          <w:rFonts w:ascii="Times New Roman Regular" w:hAnsi="Times New Roman Regular" w:cs="Times New Roman Regular"/>
          <w:sz w:val="20"/>
          <w:szCs w:val="20"/>
          <w:lang w:val="en-US"/>
        </w:rPr>
        <w:t>.</w:t>
      </w:r>
      <w:r>
        <w:rPr>
          <w:rFonts w:ascii="Times New Roman Regular" w:hAnsi="Times New Roman Regular" w:cs="Times New Roman Regular"/>
          <w:sz w:val="20"/>
          <w:szCs w:val="20"/>
        </w:rPr>
        <w:t>005, **</w:t>
      </w:r>
      <w:r>
        <w:rPr>
          <w:rFonts w:ascii="Times New Roman Regular" w:hAnsi="Times New Roman Regular" w:cs="Times New Roman Regular"/>
          <w:i/>
          <w:iCs/>
          <w:sz w:val="20"/>
          <w:szCs w:val="20"/>
        </w:rPr>
        <w:t>*p</w:t>
      </w:r>
      <w:r>
        <w:rPr>
          <w:rFonts w:ascii="Times New Roman Regular" w:hAnsi="Times New Roman Regular" w:cs="Times New Roman Regular"/>
          <w:sz w:val="20"/>
          <w:szCs w:val="20"/>
        </w:rPr>
        <w:t xml:space="preserve"> &lt;</w:t>
      </w:r>
      <w:r>
        <w:rPr>
          <w:rFonts w:hint="eastAsia" w:ascii="Times New Roman Regular" w:hAnsi="Times New Roman Regular" w:cs="Times New Roman Regular"/>
          <w:sz w:val="20"/>
          <w:szCs w:val="20"/>
          <w:lang w:val="en-US" w:eastAsia="zh-CN"/>
        </w:rPr>
        <w:t>0</w:t>
      </w:r>
      <w:r>
        <w:rPr>
          <w:rFonts w:ascii="Times New Roman Regular" w:hAnsi="Times New Roman Regular" w:cs="Times New Roman Regular"/>
          <w:sz w:val="20"/>
          <w:szCs w:val="20"/>
          <w:lang w:val="en-US"/>
        </w:rPr>
        <w:t>.</w:t>
      </w:r>
      <w:r>
        <w:rPr>
          <w:rFonts w:ascii="Times New Roman Regular" w:hAnsi="Times New Roman Regular" w:cs="Times New Roman Regular"/>
          <w:sz w:val="20"/>
          <w:szCs w:val="20"/>
        </w:rPr>
        <w:t>001.</w:t>
      </w:r>
    </w:p>
    <w:p>
      <w:pPr>
        <w:rPr>
          <w:rFonts w:ascii="Arial Regular" w:hAnsi="Arial Regular" w:cs="Arial Regular"/>
          <w:sz w:val="20"/>
          <w:szCs w:val="20"/>
        </w:rPr>
      </w:pPr>
    </w:p>
    <w:p>
      <w:pPr>
        <w:rPr>
          <w:rFonts w:hint="eastAsia" w:ascii="Arial Regular" w:hAnsi="Arial Regular" w:cs="Arial Regular"/>
          <w:sz w:val="20"/>
          <w:szCs w:val="20"/>
        </w:rPr>
      </w:pPr>
    </w:p>
    <w:p>
      <w:pPr>
        <w:pStyle w:val="5"/>
        <w:rPr>
          <w:rFonts w:hint="default" w:asciiTheme="minorHAnsi" w:hAnsiTheme="minorHAnsi" w:cstheme="minorBidi"/>
          <w:sz w:val="24"/>
          <w:szCs w:val="24"/>
        </w:rPr>
      </w:pPr>
      <w:bookmarkStart w:id="107" w:name="_Toc1413703730"/>
      <w:bookmarkStart w:id="108" w:name="_Toc232501087"/>
      <w:r>
        <w:rPr>
          <w:rFonts w:asciiTheme="minorHAnsi" w:hAnsiTheme="minorHAnsi" w:cstheme="minorBidi"/>
          <w:b/>
        </w:rPr>
        <w:t>Table</w:t>
      </w:r>
      <w:r>
        <w:rPr>
          <w:rFonts w:hint="default" w:asciiTheme="minorHAnsi" w:hAnsiTheme="minorHAnsi" w:cstheme="minorBidi"/>
          <w:b/>
          <w:lang w:val="en-US"/>
        </w:rPr>
        <w:t xml:space="preserve"> 6. Sample size for crude weighted counts in 24-HMB guidelines among youth with MBD conditions, NSCH 2016-2021</w:t>
      </w:r>
      <w:bookmarkEnd w:id="107"/>
      <w:bookmarkEnd w:id="108"/>
    </w:p>
    <w:bookmarkEnd w:id="95"/>
    <w:bookmarkEnd w:id="96"/>
    <w:bookmarkEnd w:id="97"/>
    <w:bookmarkEnd w:id="98"/>
    <w:bookmarkEnd w:id="99"/>
    <w:bookmarkEnd w:id="100"/>
    <w:bookmarkEnd w:id="101"/>
    <w:tbl>
      <w:tblPr>
        <w:tblStyle w:val="19"/>
        <w:tblpPr w:leftFromText="180" w:rightFromText="180" w:vertAnchor="text" w:horzAnchor="page" w:tblpX="1484" w:tblpY="277"/>
        <w:tblOverlap w:val="never"/>
        <w:tblW w:w="4972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8"/>
        <w:gridCol w:w="1756"/>
        <w:gridCol w:w="1666"/>
        <w:gridCol w:w="1413"/>
        <w:gridCol w:w="1413"/>
        <w:gridCol w:w="1413"/>
        <w:gridCol w:w="1413"/>
        <w:gridCol w:w="1449"/>
        <w:gridCol w:w="15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339" w:type="pct"/>
            <w:gridSpan w:val="2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3109" w:type="pct"/>
            <w:gridSpan w:val="6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No. Participants in 24-HMB guidelines</w:t>
            </w:r>
          </w:p>
        </w:tc>
        <w:tc>
          <w:tcPr>
            <w:tcW w:w="551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atLeast"/>
        </w:trPr>
        <w:tc>
          <w:tcPr>
            <w:tcW w:w="1339" w:type="pct"/>
            <w:gridSpan w:val="2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24-HMB guidelines (Categorical)</w:t>
            </w:r>
          </w:p>
        </w:tc>
        <w:tc>
          <w:tcPr>
            <w:tcW w:w="591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2016</w:t>
            </w:r>
          </w:p>
        </w:tc>
        <w:tc>
          <w:tcPr>
            <w:tcW w:w="501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2017</w:t>
            </w:r>
          </w:p>
        </w:tc>
        <w:tc>
          <w:tcPr>
            <w:tcW w:w="501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2018</w:t>
            </w:r>
          </w:p>
        </w:tc>
        <w:tc>
          <w:tcPr>
            <w:tcW w:w="501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2019</w:t>
            </w:r>
          </w:p>
        </w:tc>
        <w:tc>
          <w:tcPr>
            <w:tcW w:w="501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2020</w:t>
            </w:r>
          </w:p>
        </w:tc>
        <w:tc>
          <w:tcPr>
            <w:tcW w:w="513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2021</w:t>
            </w:r>
          </w:p>
        </w:tc>
        <w:tc>
          <w:tcPr>
            <w:tcW w:w="551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Total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716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only</w:t>
            </w:r>
          </w:p>
        </w:tc>
        <w:tc>
          <w:tcPr>
            <w:tcW w:w="623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</w:t>
            </w:r>
          </w:p>
        </w:tc>
        <w:tc>
          <w:tcPr>
            <w:tcW w:w="591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209</w:t>
            </w:r>
          </w:p>
        </w:tc>
        <w:tc>
          <w:tcPr>
            <w:tcW w:w="501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16</w:t>
            </w:r>
          </w:p>
        </w:tc>
        <w:tc>
          <w:tcPr>
            <w:tcW w:w="501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221</w:t>
            </w:r>
          </w:p>
        </w:tc>
        <w:tc>
          <w:tcPr>
            <w:tcW w:w="501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209</w:t>
            </w:r>
          </w:p>
        </w:tc>
        <w:tc>
          <w:tcPr>
            <w:tcW w:w="501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343</w:t>
            </w:r>
          </w:p>
        </w:tc>
        <w:tc>
          <w:tcPr>
            <w:tcW w:w="513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369</w:t>
            </w:r>
          </w:p>
        </w:tc>
        <w:tc>
          <w:tcPr>
            <w:tcW w:w="551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71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6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Weighted N</w:t>
            </w:r>
          </w:p>
        </w:tc>
        <w:tc>
          <w:tcPr>
            <w:tcW w:w="59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387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879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339,432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544,299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463,022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633,688</w:t>
            </w:r>
          </w:p>
        </w:tc>
        <w:tc>
          <w:tcPr>
            <w:tcW w:w="51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527,092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2,895,412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atLeast"/>
        </w:trPr>
        <w:tc>
          <w:tcPr>
            <w:tcW w:w="71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SL only</w:t>
            </w:r>
          </w:p>
        </w:tc>
        <w:tc>
          <w:tcPr>
            <w:tcW w:w="6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</w:t>
            </w:r>
          </w:p>
        </w:tc>
        <w:tc>
          <w:tcPr>
            <w:tcW w:w="591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1,859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715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1,96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1,995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3,778</w:t>
            </w:r>
          </w:p>
        </w:tc>
        <w:tc>
          <w:tcPr>
            <w:tcW w:w="51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3,317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</w:t>
            </w:r>
            <w:r>
              <w:rPr>
                <w:rFonts w:ascii="Arial Regular" w:hAnsi="Arial Regular" w:cs="Arial Regular"/>
                <w:sz w:val="20"/>
                <w:szCs w:val="20"/>
              </w:rPr>
              <w:t>,6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71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6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Weighted N</w:t>
            </w:r>
          </w:p>
        </w:tc>
        <w:tc>
          <w:tcPr>
            <w:tcW w:w="59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031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061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</w:t>
            </w:r>
            <w:r>
              <w:rPr>
                <w:rFonts w:ascii="Arial Regular" w:hAnsi="Arial Regular" w:cs="Arial Regular"/>
                <w:sz w:val="20"/>
                <w:szCs w:val="20"/>
              </w:rPr>
              <w:t>,7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68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963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3,59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879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3,666,255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4,821,792</w:t>
            </w:r>
          </w:p>
        </w:tc>
        <w:tc>
          <w:tcPr>
            <w:tcW w:w="51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4,582,533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</w:t>
            </w:r>
            <w:r>
              <w:rPr>
                <w:rFonts w:ascii="Arial Regular" w:hAnsi="Arial Regular" w:cs="Arial Regular"/>
                <w:sz w:val="20"/>
                <w:szCs w:val="20"/>
              </w:rPr>
              <w:t>65,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71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ST only</w:t>
            </w:r>
          </w:p>
        </w:tc>
        <w:tc>
          <w:tcPr>
            <w:tcW w:w="6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</w:t>
            </w:r>
          </w:p>
        </w:tc>
        <w:tc>
          <w:tcPr>
            <w:tcW w:w="59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1,846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902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899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925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914</w:t>
            </w:r>
          </w:p>
        </w:tc>
        <w:tc>
          <w:tcPr>
            <w:tcW w:w="51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1,027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6,513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71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6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Weighted N</w:t>
            </w:r>
          </w:p>
        </w:tc>
        <w:tc>
          <w:tcPr>
            <w:tcW w:w="591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2,524,296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2,984,965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18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216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1,854,350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1,518,244</w:t>
            </w:r>
          </w:p>
        </w:tc>
        <w:tc>
          <w:tcPr>
            <w:tcW w:w="51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1,771,843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2,671,914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71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ST</w:t>
            </w:r>
          </w:p>
        </w:tc>
        <w:tc>
          <w:tcPr>
            <w:tcW w:w="6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</w:t>
            </w:r>
          </w:p>
        </w:tc>
        <w:tc>
          <w:tcPr>
            <w:tcW w:w="591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502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211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28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298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301</w:t>
            </w:r>
          </w:p>
        </w:tc>
        <w:tc>
          <w:tcPr>
            <w:tcW w:w="51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320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71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6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Weighted N</w:t>
            </w:r>
          </w:p>
        </w:tc>
        <w:tc>
          <w:tcPr>
            <w:tcW w:w="591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870,700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825,304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6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47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610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616,399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526,203</w:t>
            </w:r>
          </w:p>
        </w:tc>
        <w:tc>
          <w:tcPr>
            <w:tcW w:w="51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448,290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934,506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71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SL</w:t>
            </w:r>
          </w:p>
        </w:tc>
        <w:tc>
          <w:tcPr>
            <w:tcW w:w="6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</w:t>
            </w:r>
          </w:p>
        </w:tc>
        <w:tc>
          <w:tcPr>
            <w:tcW w:w="59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281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12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306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330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555</w:t>
            </w:r>
          </w:p>
        </w:tc>
        <w:tc>
          <w:tcPr>
            <w:tcW w:w="51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534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71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6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Weighted N</w:t>
            </w:r>
          </w:p>
        </w:tc>
        <w:tc>
          <w:tcPr>
            <w:tcW w:w="59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368,56</w:t>
            </w:r>
            <w:r>
              <w:rPr>
                <w:rFonts w:ascii="Arial Regular" w:hAnsi="Arial Regular" w:cs="Arial Regular"/>
                <w:sz w:val="20"/>
                <w:szCs w:val="20"/>
              </w:rPr>
              <w:t>3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444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</w:t>
            </w:r>
            <w:r>
              <w:rPr>
                <w:rFonts w:ascii="Arial Regular" w:hAnsi="Arial Regular" w:cs="Arial Regular"/>
                <w:sz w:val="20"/>
                <w:szCs w:val="20"/>
              </w:rPr>
              <w:t>7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654,054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730,815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750,405</w:t>
            </w:r>
          </w:p>
        </w:tc>
        <w:tc>
          <w:tcPr>
            <w:tcW w:w="51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793,596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741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71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SL + ST</w:t>
            </w:r>
          </w:p>
        </w:tc>
        <w:tc>
          <w:tcPr>
            <w:tcW w:w="6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</w:t>
            </w:r>
          </w:p>
        </w:tc>
        <w:tc>
          <w:tcPr>
            <w:tcW w:w="591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3,604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742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1,66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1,656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1,871</w:t>
            </w:r>
          </w:p>
        </w:tc>
        <w:tc>
          <w:tcPr>
            <w:tcW w:w="51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2,027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71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6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Weighted N</w:t>
            </w:r>
          </w:p>
        </w:tc>
        <w:tc>
          <w:tcPr>
            <w:tcW w:w="59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345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60</w:t>
            </w:r>
            <w:r>
              <w:rPr>
                <w:rFonts w:ascii="Arial Regular" w:hAnsi="Arial Regular" w:cs="Arial Regular"/>
                <w:sz w:val="20"/>
                <w:szCs w:val="20"/>
              </w:rPr>
              <w:t>0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309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393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3,1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48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953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3,263,373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2,503,492</w:t>
            </w:r>
          </w:p>
        </w:tc>
        <w:tc>
          <w:tcPr>
            <w:tcW w:w="51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2,812,516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20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383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71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ST + SL</w:t>
            </w:r>
          </w:p>
        </w:tc>
        <w:tc>
          <w:tcPr>
            <w:tcW w:w="6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</w:t>
            </w:r>
          </w:p>
        </w:tc>
        <w:tc>
          <w:tcPr>
            <w:tcW w:w="59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1165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453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633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607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705</w:t>
            </w:r>
          </w:p>
        </w:tc>
        <w:tc>
          <w:tcPr>
            <w:tcW w:w="51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851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</w:t>
            </w:r>
            <w:r>
              <w:rPr>
                <w:rFonts w:ascii="Arial Regular" w:hAnsi="Arial Regular" w:cs="Arial Regular"/>
                <w:sz w:val="20"/>
                <w:szCs w:val="20"/>
              </w:rPr>
              <w:t>,4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71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6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Weighted N</w:t>
            </w:r>
          </w:p>
        </w:tc>
        <w:tc>
          <w:tcPr>
            <w:tcW w:w="59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39</w:t>
            </w:r>
            <w:r>
              <w:rPr>
                <w:rFonts w:ascii="Arial Regular" w:hAnsi="Arial Regular" w:cs="Arial Regular"/>
                <w:sz w:val="20"/>
                <w:szCs w:val="20"/>
              </w:rPr>
              <w:t>3,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09</w:t>
            </w:r>
            <w:r>
              <w:rPr>
                <w:rFonts w:ascii="Arial Regular" w:hAnsi="Arial Regular" w:cs="Arial Regular"/>
                <w:sz w:val="20"/>
                <w:szCs w:val="20"/>
              </w:rPr>
              <w:t>8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440</w:t>
            </w:r>
            <w:r>
              <w:rPr>
                <w:rFonts w:ascii="Arial Regular" w:hAnsi="Arial Regular" w:cs="Arial Regular"/>
                <w:sz w:val="20"/>
                <w:szCs w:val="20"/>
              </w:rPr>
              <w:t>,1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04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1,327,141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1,194,204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1,002,428</w:t>
            </w:r>
          </w:p>
        </w:tc>
        <w:tc>
          <w:tcPr>
            <w:tcW w:w="51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1,104,644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461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71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None</w:t>
            </w:r>
          </w:p>
        </w:tc>
        <w:tc>
          <w:tcPr>
            <w:tcW w:w="6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</w:t>
            </w:r>
          </w:p>
        </w:tc>
        <w:tc>
          <w:tcPr>
            <w:tcW w:w="59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1,50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7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83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1,4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16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1,450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2,404</w:t>
            </w:r>
          </w:p>
        </w:tc>
        <w:tc>
          <w:tcPr>
            <w:tcW w:w="51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2,450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10,003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716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623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Weighted N</w:t>
            </w:r>
          </w:p>
        </w:tc>
        <w:tc>
          <w:tcPr>
            <w:tcW w:w="591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/>
              </w:rPr>
              <w:t>1</w:t>
            </w:r>
            <w:r>
              <w:rPr>
                <w:rFonts w:hint="default"/>
                <w:lang w:val="en-US"/>
              </w:rPr>
              <w:t>,</w:t>
            </w:r>
            <w:r>
              <w:rPr>
                <w:rFonts w:hint="eastAsia"/>
              </w:rPr>
              <w:t>815</w:t>
            </w:r>
            <w:r>
              <w:rPr>
                <w:rFonts w:hint="default"/>
                <w:lang w:val="en-US"/>
              </w:rPr>
              <w:t>,</w:t>
            </w:r>
            <w:r>
              <w:rPr>
                <w:rFonts w:hint="eastAsia"/>
              </w:rPr>
              <w:t>542</w:t>
            </w:r>
          </w:p>
        </w:tc>
        <w:tc>
          <w:tcPr>
            <w:tcW w:w="501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</w:rPr>
              <w:t>2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,</w:t>
            </w:r>
            <w:r>
              <w:rPr>
                <w:rFonts w:hint="eastAsia" w:ascii="Arial Regular" w:hAnsi="Arial Regular" w:cs="Arial Regular"/>
                <w:sz w:val="20"/>
                <w:szCs w:val="20"/>
              </w:rPr>
              <w:t>177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,</w:t>
            </w:r>
            <w:r>
              <w:rPr>
                <w:rFonts w:hint="eastAsia" w:ascii="Arial Regular" w:hAnsi="Arial Regular" w:cs="Arial Regular"/>
                <w:sz w:val="20"/>
                <w:szCs w:val="20"/>
              </w:rPr>
              <w:t>379</w:t>
            </w:r>
          </w:p>
        </w:tc>
        <w:tc>
          <w:tcPr>
            <w:tcW w:w="501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3,1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25.0</w:t>
            </w:r>
            <w:r>
              <w:rPr>
                <w:rFonts w:ascii="Arial Regular" w:hAnsi="Arial Regular" w:cs="Arial Regular"/>
                <w:sz w:val="20"/>
                <w:szCs w:val="20"/>
              </w:rPr>
              <w:t>8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</w:t>
            </w:r>
          </w:p>
        </w:tc>
        <w:tc>
          <w:tcPr>
            <w:tcW w:w="501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3,246,734</w:t>
            </w:r>
          </w:p>
        </w:tc>
        <w:tc>
          <w:tcPr>
            <w:tcW w:w="501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3,668,166</w:t>
            </w:r>
          </w:p>
        </w:tc>
        <w:tc>
          <w:tcPr>
            <w:tcW w:w="513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3,688,684</w:t>
            </w:r>
          </w:p>
        </w:tc>
        <w:tc>
          <w:tcPr>
            <w:tcW w:w="551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17,7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21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</w:t>
            </w:r>
            <w:r>
              <w:rPr>
                <w:rFonts w:ascii="Arial Regular" w:hAnsi="Arial Regular" w:cs="Arial Regular"/>
                <w:sz w:val="20"/>
                <w:szCs w:val="20"/>
              </w:rPr>
              <w:t>8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</w:t>
            </w:r>
          </w:p>
        </w:tc>
      </w:tr>
    </w:tbl>
    <w:p>
      <w:pPr>
        <w:rPr>
          <w:rFonts w:hint="default" w:ascii="Times New Roman Regular" w:hAnsi="Times New Roman Regular" w:cs="Times New Roman Regular"/>
          <w:sz w:val="20"/>
          <w:szCs w:val="20"/>
        </w:rPr>
      </w:pPr>
      <w:r>
        <w:rPr>
          <w:rFonts w:ascii="Times New Roman Regular" w:hAnsi="Times New Roman Regular" w:cs="Times New Roman Regular"/>
          <w:sz w:val="20"/>
          <w:szCs w:val="20"/>
        </w:rPr>
        <w:t>Note: PA = physical activity; SL = sleep; ST = screen time; None = meeting none of the guidelines.</w:t>
      </w:r>
    </w:p>
    <w:p>
      <w:pPr>
        <w:rPr>
          <w:rFonts w:ascii="Arial Narrow" w:hAnsi="Arial Narrow" w:cs="Times New Roman Regular"/>
          <w:sz w:val="24"/>
        </w:rPr>
      </w:pPr>
    </w:p>
    <w:p>
      <w:pPr>
        <w:rPr>
          <w:rFonts w:ascii="Arial Narrow" w:hAnsi="Arial Narrow" w:cs="Times New Roman Regular"/>
          <w:sz w:val="24"/>
        </w:rPr>
      </w:pPr>
    </w:p>
    <w:p>
      <w:pPr>
        <w:rPr>
          <w:rFonts w:ascii="Arial Narrow" w:hAnsi="Arial Narrow" w:cs="Times New Roman Regular"/>
          <w:sz w:val="24"/>
        </w:rPr>
      </w:pPr>
    </w:p>
    <w:p>
      <w:pPr>
        <w:rPr>
          <w:rFonts w:ascii="Arial Narrow" w:hAnsi="Arial Narrow" w:cs="Times New Roman Regular"/>
          <w:sz w:val="24"/>
        </w:rPr>
      </w:pPr>
    </w:p>
    <w:p>
      <w:pPr>
        <w:rPr>
          <w:rFonts w:ascii="Arial Narrow" w:hAnsi="Arial Narrow" w:cs="Times New Roman Regular"/>
          <w:sz w:val="24"/>
        </w:rPr>
      </w:pPr>
    </w:p>
    <w:p>
      <w:pPr>
        <w:pStyle w:val="5"/>
        <w:rPr>
          <w:rFonts w:hint="default" w:asciiTheme="minorHAnsi" w:hAnsiTheme="minorHAnsi" w:cstheme="minorBidi"/>
          <w:sz w:val="24"/>
        </w:rPr>
      </w:pPr>
      <w:bookmarkStart w:id="109" w:name="_Toc359519702"/>
      <w:bookmarkStart w:id="110" w:name="_Toc1373015316"/>
      <w:r>
        <w:rPr>
          <w:rFonts w:asciiTheme="minorHAnsi" w:hAnsiTheme="minorHAnsi" w:cstheme="minorBidi"/>
          <w:b/>
        </w:rPr>
        <w:t>Table</w:t>
      </w:r>
      <w:r>
        <w:rPr>
          <w:rFonts w:hint="default" w:asciiTheme="minorHAnsi" w:hAnsiTheme="minorHAnsi" w:cstheme="minorBidi"/>
          <w:b/>
          <w:lang w:val="en-US"/>
        </w:rPr>
        <w:t xml:space="preserve"> 7. Sample size for crude weighted participants among youth with MBD conditions, NSCH 2016-2021</w:t>
      </w:r>
      <w:bookmarkEnd w:id="109"/>
      <w:bookmarkEnd w:id="110"/>
    </w:p>
    <w:tbl>
      <w:tblPr>
        <w:tblStyle w:val="19"/>
        <w:tblpPr w:leftFromText="180" w:rightFromText="180" w:vertAnchor="text" w:horzAnchor="page" w:tblpX="1496" w:tblpY="620"/>
        <w:tblOverlap w:val="never"/>
        <w:tblW w:w="4972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8"/>
        <w:gridCol w:w="1756"/>
        <w:gridCol w:w="1666"/>
        <w:gridCol w:w="1413"/>
        <w:gridCol w:w="1413"/>
        <w:gridCol w:w="1413"/>
        <w:gridCol w:w="1413"/>
        <w:gridCol w:w="1449"/>
        <w:gridCol w:w="15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339" w:type="pct"/>
            <w:gridSpan w:val="2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3109" w:type="pct"/>
            <w:gridSpan w:val="6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No. Participants in Psychiatric disorders</w:t>
            </w:r>
          </w:p>
        </w:tc>
        <w:tc>
          <w:tcPr>
            <w:tcW w:w="551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339" w:type="pct"/>
            <w:gridSpan w:val="2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2016</w:t>
            </w:r>
          </w:p>
        </w:tc>
        <w:tc>
          <w:tcPr>
            <w:tcW w:w="501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2017</w:t>
            </w:r>
          </w:p>
        </w:tc>
        <w:tc>
          <w:tcPr>
            <w:tcW w:w="501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2018</w:t>
            </w:r>
          </w:p>
        </w:tc>
        <w:tc>
          <w:tcPr>
            <w:tcW w:w="501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2019</w:t>
            </w:r>
          </w:p>
        </w:tc>
        <w:tc>
          <w:tcPr>
            <w:tcW w:w="501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2020</w:t>
            </w:r>
          </w:p>
        </w:tc>
        <w:tc>
          <w:tcPr>
            <w:tcW w:w="513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2021</w:t>
            </w:r>
          </w:p>
        </w:tc>
        <w:tc>
          <w:tcPr>
            <w:tcW w:w="551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Total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6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Tourette Syndrome</w:t>
            </w:r>
          </w:p>
        </w:tc>
        <w:tc>
          <w:tcPr>
            <w:tcW w:w="623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</w:t>
            </w:r>
          </w:p>
        </w:tc>
        <w:tc>
          <w:tcPr>
            <w:tcW w:w="591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11</w:t>
            </w:r>
            <w:r>
              <w:rPr>
                <w:rFonts w:ascii="Arial Regular" w:hAnsi="Arial Regular" w:cs="Arial Regular"/>
                <w:sz w:val="20"/>
                <w:szCs w:val="20"/>
              </w:rPr>
              <w:t>5</w:t>
            </w:r>
          </w:p>
        </w:tc>
        <w:tc>
          <w:tcPr>
            <w:tcW w:w="501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5</w:t>
            </w:r>
            <w:r>
              <w:rPr>
                <w:rFonts w:ascii="Arial Regular" w:hAnsi="Arial Regular" w:cs="Arial Regular"/>
                <w:sz w:val="20"/>
                <w:szCs w:val="20"/>
              </w:rPr>
              <w:t>8</w:t>
            </w:r>
          </w:p>
        </w:tc>
        <w:tc>
          <w:tcPr>
            <w:tcW w:w="501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67</w:t>
            </w:r>
          </w:p>
        </w:tc>
        <w:tc>
          <w:tcPr>
            <w:tcW w:w="501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76</w:t>
            </w:r>
          </w:p>
        </w:tc>
        <w:tc>
          <w:tcPr>
            <w:tcW w:w="501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97</w:t>
            </w:r>
          </w:p>
        </w:tc>
        <w:tc>
          <w:tcPr>
            <w:tcW w:w="513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126</w:t>
            </w:r>
          </w:p>
        </w:tc>
        <w:tc>
          <w:tcPr>
            <w:tcW w:w="551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53</w:t>
            </w:r>
            <w:r>
              <w:rPr>
                <w:rFonts w:ascii="Arial Regular" w:hAnsi="Arial Regular" w:cs="Arial Regular"/>
                <w:sz w:val="20"/>
                <w:szCs w:val="2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6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Weighted N</w:t>
            </w:r>
          </w:p>
        </w:tc>
        <w:tc>
          <w:tcPr>
            <w:tcW w:w="59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37</w:t>
            </w:r>
            <w:r>
              <w:rPr>
                <w:rFonts w:ascii="Arial Regular" w:hAnsi="Arial Regular" w:cs="Arial Regular"/>
                <w:sz w:val="20"/>
                <w:szCs w:val="20"/>
              </w:rPr>
              <w:t>,4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84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128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560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119,840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220,660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130,290</w:t>
            </w:r>
          </w:p>
        </w:tc>
        <w:tc>
          <w:tcPr>
            <w:tcW w:w="51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157.,804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8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94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639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speech disorder</w:t>
            </w:r>
          </w:p>
        </w:tc>
        <w:tc>
          <w:tcPr>
            <w:tcW w:w="6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</w:t>
            </w:r>
          </w:p>
        </w:tc>
        <w:tc>
          <w:tcPr>
            <w:tcW w:w="59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441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140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699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1,748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2,329</w:t>
            </w:r>
          </w:p>
        </w:tc>
        <w:tc>
          <w:tcPr>
            <w:tcW w:w="51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2,591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11,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6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Weighted N</w:t>
            </w:r>
          </w:p>
        </w:tc>
        <w:tc>
          <w:tcPr>
            <w:tcW w:w="59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342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833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55</w:t>
            </w:r>
            <w:r>
              <w:rPr>
                <w:rFonts w:ascii="Arial Regular" w:hAnsi="Arial Regular" w:cs="Arial Regular"/>
                <w:sz w:val="20"/>
                <w:szCs w:val="20"/>
              </w:rPr>
              <w:t>4,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410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3,7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21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011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3,742,725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3,746,383</w:t>
            </w:r>
          </w:p>
        </w:tc>
        <w:tc>
          <w:tcPr>
            <w:tcW w:w="51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4,183,744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291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learning disability</w:t>
            </w:r>
          </w:p>
        </w:tc>
        <w:tc>
          <w:tcPr>
            <w:tcW w:w="6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</w:t>
            </w:r>
          </w:p>
        </w:tc>
        <w:tc>
          <w:tcPr>
            <w:tcW w:w="59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648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672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790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1,794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2,665</w:t>
            </w:r>
          </w:p>
        </w:tc>
        <w:tc>
          <w:tcPr>
            <w:tcW w:w="51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2,763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12,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6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Weighted N</w:t>
            </w:r>
          </w:p>
        </w:tc>
        <w:tc>
          <w:tcPr>
            <w:tcW w:w="59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</w:t>
            </w:r>
            <w:r>
              <w:rPr>
                <w:rFonts w:ascii="Arial Regular" w:hAnsi="Arial Regular" w:cs="Arial Regular"/>
                <w:sz w:val="20"/>
                <w:szCs w:val="20"/>
              </w:rPr>
              <w:t>,5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04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884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4,072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507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898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089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3,830,273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4,118,148</w:t>
            </w:r>
          </w:p>
        </w:tc>
        <w:tc>
          <w:tcPr>
            <w:tcW w:w="51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4,389,505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813,407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intellectual disability</w:t>
            </w:r>
          </w:p>
        </w:tc>
        <w:tc>
          <w:tcPr>
            <w:tcW w:w="6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</w:t>
            </w:r>
          </w:p>
        </w:tc>
        <w:tc>
          <w:tcPr>
            <w:tcW w:w="59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82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06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23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245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366</w:t>
            </w:r>
          </w:p>
        </w:tc>
        <w:tc>
          <w:tcPr>
            <w:tcW w:w="51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395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25" w:hRule="atLeast"/>
        </w:trPr>
        <w:tc>
          <w:tcPr>
            <w:tcW w:w="71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6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Weighted N</w:t>
            </w:r>
          </w:p>
        </w:tc>
        <w:tc>
          <w:tcPr>
            <w:tcW w:w="591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517,154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724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222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58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044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530,154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605,732</w:t>
            </w:r>
          </w:p>
        </w:tc>
        <w:tc>
          <w:tcPr>
            <w:tcW w:w="51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636,180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593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epilepsy</w:t>
            </w:r>
          </w:p>
        </w:tc>
        <w:tc>
          <w:tcPr>
            <w:tcW w:w="6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</w:t>
            </w:r>
          </w:p>
        </w:tc>
        <w:tc>
          <w:tcPr>
            <w:tcW w:w="59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405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73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23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250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333</w:t>
            </w:r>
          </w:p>
        </w:tc>
        <w:tc>
          <w:tcPr>
            <w:tcW w:w="51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332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6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Weighted N</w:t>
            </w:r>
          </w:p>
        </w:tc>
        <w:tc>
          <w:tcPr>
            <w:tcW w:w="59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449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347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446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997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514,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103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483,507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519,919</w:t>
            </w:r>
          </w:p>
        </w:tc>
        <w:tc>
          <w:tcPr>
            <w:tcW w:w="51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523,547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93</w:t>
            </w:r>
            <w:r>
              <w:rPr>
                <w:rFonts w:ascii="Arial Regular" w:hAnsi="Arial Regular" w:cs="Arial Regular"/>
                <w:sz w:val="20"/>
                <w:szCs w:val="20"/>
              </w:rPr>
              <w:t>7,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developmental delay</w:t>
            </w:r>
          </w:p>
        </w:tc>
        <w:tc>
          <w:tcPr>
            <w:tcW w:w="6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</w:t>
            </w:r>
          </w:p>
        </w:tc>
        <w:tc>
          <w:tcPr>
            <w:tcW w:w="591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2,123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1,037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1,4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63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1,479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2,151</w:t>
            </w:r>
          </w:p>
        </w:tc>
        <w:tc>
          <w:tcPr>
            <w:tcW w:w="51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2,225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10,478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6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Weighted N</w:t>
            </w:r>
          </w:p>
        </w:tc>
        <w:tc>
          <w:tcPr>
            <w:tcW w:w="59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660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877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118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132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3,1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17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541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3,298,059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3,475,074</w:t>
            </w:r>
          </w:p>
        </w:tc>
        <w:tc>
          <w:tcPr>
            <w:tcW w:w="51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3,341,863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</w:t>
            </w:r>
            <w:r>
              <w:rPr>
                <w:rFonts w:ascii="Arial Regular" w:hAnsi="Arial Regular" w:cs="Arial Regular"/>
                <w:sz w:val="20"/>
                <w:szCs w:val="20"/>
              </w:rPr>
              <w:t>,01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</w:t>
            </w:r>
            <w:r>
              <w:rPr>
                <w:rFonts w:ascii="Arial Regular" w:hAnsi="Arial Regular" w:cs="Arial Regular"/>
                <w:sz w:val="20"/>
                <w:szCs w:val="20"/>
              </w:rPr>
              <w:t>,5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depression</w:t>
            </w:r>
          </w:p>
        </w:tc>
        <w:tc>
          <w:tcPr>
            <w:tcW w:w="6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</w:t>
            </w:r>
          </w:p>
        </w:tc>
        <w:tc>
          <w:tcPr>
            <w:tcW w:w="59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946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894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1,43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1,454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2,114</w:t>
            </w:r>
          </w:p>
        </w:tc>
        <w:tc>
          <w:tcPr>
            <w:tcW w:w="51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2,366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10,206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6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Weighted N</w:t>
            </w:r>
          </w:p>
        </w:tc>
        <w:tc>
          <w:tcPr>
            <w:tcW w:w="591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2,158,296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2,029,070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2,7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</w:t>
            </w:r>
            <w:r>
              <w:rPr>
                <w:rFonts w:ascii="Arial Regular" w:hAnsi="Arial Regular" w:cs="Arial Regular"/>
                <w:sz w:val="20"/>
                <w:szCs w:val="20"/>
              </w:rPr>
              <w:t>0,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270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2,725,826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2,595,189</w:t>
            </w:r>
          </w:p>
        </w:tc>
        <w:tc>
          <w:tcPr>
            <w:tcW w:w="51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2,999,593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24</w:t>
            </w:r>
            <w:r>
              <w:rPr>
                <w:rFonts w:ascii="Arial Regular" w:hAnsi="Arial Regular" w:cs="Arial Regular"/>
                <w:sz w:val="20"/>
                <w:szCs w:val="20"/>
              </w:rPr>
              <w:t>8,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deafness</w:t>
            </w:r>
          </w:p>
        </w:tc>
        <w:tc>
          <w:tcPr>
            <w:tcW w:w="6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</w:t>
            </w:r>
          </w:p>
        </w:tc>
        <w:tc>
          <w:tcPr>
            <w:tcW w:w="59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401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15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26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260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362</w:t>
            </w:r>
          </w:p>
        </w:tc>
        <w:tc>
          <w:tcPr>
            <w:tcW w:w="51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351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1,7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6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Weighted N</w:t>
            </w:r>
          </w:p>
        </w:tc>
        <w:tc>
          <w:tcPr>
            <w:tcW w:w="59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6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43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197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434</w:t>
            </w:r>
            <w:r>
              <w:rPr>
                <w:rFonts w:ascii="Arial Regular" w:hAnsi="Arial Regular" w:cs="Arial Regular"/>
                <w:sz w:val="20"/>
                <w:szCs w:val="20"/>
              </w:rPr>
              <w:t>,4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</w:t>
            </w:r>
            <w:r>
              <w:rPr>
                <w:rFonts w:ascii="Arial Regular" w:hAnsi="Arial Regular" w:cs="Arial Regular"/>
                <w:sz w:val="20"/>
                <w:szCs w:val="20"/>
              </w:rPr>
              <w:t>2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626,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508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601,360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527,335</w:t>
            </w:r>
          </w:p>
        </w:tc>
        <w:tc>
          <w:tcPr>
            <w:tcW w:w="51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513,973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</w:t>
            </w:r>
            <w:r>
              <w:rPr>
                <w:rFonts w:ascii="Arial Regular" w:hAnsi="Arial Regular" w:cs="Arial Regular"/>
                <w:sz w:val="20"/>
                <w:szCs w:val="20"/>
              </w:rPr>
              <w:t>4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down syndrome</w:t>
            </w:r>
          </w:p>
        </w:tc>
        <w:tc>
          <w:tcPr>
            <w:tcW w:w="6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</w:t>
            </w:r>
          </w:p>
        </w:tc>
        <w:tc>
          <w:tcPr>
            <w:tcW w:w="59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6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31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39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36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64</w:t>
            </w:r>
          </w:p>
        </w:tc>
        <w:tc>
          <w:tcPr>
            <w:tcW w:w="51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59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6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Weighted N</w:t>
            </w:r>
          </w:p>
        </w:tc>
        <w:tc>
          <w:tcPr>
            <w:tcW w:w="59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68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34</w:t>
            </w:r>
            <w:r>
              <w:rPr>
                <w:rFonts w:ascii="Arial Regular" w:hAnsi="Arial Regular" w:cs="Arial Regular"/>
                <w:sz w:val="20"/>
                <w:szCs w:val="20"/>
              </w:rPr>
              <w:t>9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103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405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66,841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42,696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108,405</w:t>
            </w:r>
          </w:p>
        </w:tc>
        <w:tc>
          <w:tcPr>
            <w:tcW w:w="51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119,780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509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cerebral Palsy</w:t>
            </w:r>
          </w:p>
        </w:tc>
        <w:tc>
          <w:tcPr>
            <w:tcW w:w="6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</w:t>
            </w:r>
          </w:p>
        </w:tc>
        <w:tc>
          <w:tcPr>
            <w:tcW w:w="59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113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5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7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69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88</w:t>
            </w:r>
          </w:p>
        </w:tc>
        <w:tc>
          <w:tcPr>
            <w:tcW w:w="51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87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4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6" w:type="pct"/>
            <w:tcBorders>
              <w:bottom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623" w:type="pct"/>
            <w:tcBorders>
              <w:bottom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Weighted N</w:t>
            </w:r>
          </w:p>
        </w:tc>
        <w:tc>
          <w:tcPr>
            <w:tcW w:w="591" w:type="pct"/>
            <w:tcBorders>
              <w:bottom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59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197</w:t>
            </w:r>
          </w:p>
        </w:tc>
        <w:tc>
          <w:tcPr>
            <w:tcW w:w="501" w:type="pct"/>
            <w:tcBorders>
              <w:bottom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13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406</w:t>
            </w:r>
          </w:p>
        </w:tc>
        <w:tc>
          <w:tcPr>
            <w:tcW w:w="501" w:type="pct"/>
            <w:tcBorders>
              <w:bottom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64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704</w:t>
            </w:r>
          </w:p>
        </w:tc>
        <w:tc>
          <w:tcPr>
            <w:tcW w:w="501" w:type="pct"/>
            <w:tcBorders>
              <w:bottom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130,122</w:t>
            </w:r>
          </w:p>
        </w:tc>
        <w:tc>
          <w:tcPr>
            <w:tcW w:w="501" w:type="pct"/>
            <w:tcBorders>
              <w:bottom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157,985</w:t>
            </w:r>
          </w:p>
        </w:tc>
        <w:tc>
          <w:tcPr>
            <w:tcW w:w="513" w:type="pct"/>
            <w:tcBorders>
              <w:bottom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124,575</w:t>
            </w:r>
          </w:p>
        </w:tc>
        <w:tc>
          <w:tcPr>
            <w:tcW w:w="551" w:type="pct"/>
            <w:tcBorders>
              <w:bottom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8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75</w:t>
            </w:r>
            <w:r>
              <w:rPr>
                <w:rFonts w:ascii="Arial Regular" w:hAnsi="Arial Regular" w:cs="Arial Regular"/>
                <w:sz w:val="20"/>
                <w:szCs w:val="20"/>
              </w:rPr>
              <w:t>,9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</w:t>
            </w:r>
            <w:r>
              <w:rPr>
                <w:rFonts w:ascii="Arial Regular" w:hAnsi="Arial Regular" w:cs="Arial Regular"/>
                <w:sz w:val="20"/>
                <w:szCs w:val="2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5" w:type="pct"/>
            <w:tcBorders>
              <w:top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blindness</w:t>
            </w:r>
          </w:p>
        </w:tc>
        <w:tc>
          <w:tcPr>
            <w:tcW w:w="622" w:type="pct"/>
            <w:tcBorders>
              <w:top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</w:t>
            </w:r>
          </w:p>
        </w:tc>
        <w:tc>
          <w:tcPr>
            <w:tcW w:w="590" w:type="pct"/>
            <w:tcBorders>
              <w:top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440</w:t>
            </w:r>
          </w:p>
        </w:tc>
        <w:tc>
          <w:tcPr>
            <w:tcW w:w="501" w:type="pct"/>
            <w:tcBorders>
              <w:top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214</w:t>
            </w:r>
          </w:p>
        </w:tc>
        <w:tc>
          <w:tcPr>
            <w:tcW w:w="501" w:type="pct"/>
            <w:tcBorders>
              <w:top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44</w:t>
            </w:r>
          </w:p>
        </w:tc>
        <w:tc>
          <w:tcPr>
            <w:tcW w:w="501" w:type="pct"/>
            <w:tcBorders>
              <w:top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331</w:t>
            </w:r>
          </w:p>
        </w:tc>
        <w:tc>
          <w:tcPr>
            <w:tcW w:w="501" w:type="pct"/>
            <w:tcBorders>
              <w:top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442</w:t>
            </w:r>
          </w:p>
        </w:tc>
        <w:tc>
          <w:tcPr>
            <w:tcW w:w="514" w:type="pct"/>
            <w:tcBorders>
              <w:top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445</w:t>
            </w:r>
          </w:p>
        </w:tc>
        <w:tc>
          <w:tcPr>
            <w:tcW w:w="551" w:type="pct"/>
            <w:tcBorders>
              <w:top w:val="nil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,216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5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622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Weighted N</w:t>
            </w:r>
          </w:p>
        </w:tc>
        <w:tc>
          <w:tcPr>
            <w:tcW w:w="59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883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483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</w:t>
            </w:r>
            <w:r>
              <w:rPr>
                <w:rFonts w:ascii="Arial Regular" w:hAnsi="Arial Regular" w:cs="Arial Regular"/>
                <w:sz w:val="20"/>
                <w:szCs w:val="20"/>
              </w:rPr>
              <w:t>2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</w:rPr>
              <w:t>,5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52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07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830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1,083,915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899,963</w:t>
            </w:r>
          </w:p>
        </w:tc>
        <w:tc>
          <w:tcPr>
            <w:tcW w:w="514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791,207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5,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586</w:t>
            </w:r>
            <w:r>
              <w:rPr>
                <w:rFonts w:ascii="Arial Regular" w:hAnsi="Arial Regular" w:cs="Arial Regular"/>
                <w:sz w:val="20"/>
                <w:szCs w:val="20"/>
              </w:rPr>
              <w:t>,9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5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behavior problem</w:t>
            </w:r>
          </w:p>
        </w:tc>
        <w:tc>
          <w:tcPr>
            <w:tcW w:w="622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</w:t>
            </w:r>
          </w:p>
        </w:tc>
        <w:tc>
          <w:tcPr>
            <w:tcW w:w="59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3,224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525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2,00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2,014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2,995</w:t>
            </w:r>
          </w:p>
        </w:tc>
        <w:tc>
          <w:tcPr>
            <w:tcW w:w="514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3,165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</w:t>
            </w:r>
            <w:r>
              <w:rPr>
                <w:rFonts w:ascii="Arial Regular" w:hAnsi="Arial Regular" w:cs="Arial Regular"/>
                <w:sz w:val="20"/>
                <w:szCs w:val="20"/>
              </w:rPr>
              <w:t>,9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5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622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Weighted N</w:t>
            </w:r>
          </w:p>
        </w:tc>
        <w:tc>
          <w:tcPr>
            <w:tcW w:w="590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</w:t>
            </w:r>
            <w:r>
              <w:rPr>
                <w:rFonts w:ascii="Arial Regular" w:hAnsi="Arial Regular" w:cs="Arial Regular"/>
                <w:sz w:val="20"/>
                <w:szCs w:val="20"/>
              </w:rPr>
              <w:t>,4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39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</w:t>
            </w:r>
            <w:r>
              <w:rPr>
                <w:rFonts w:ascii="Arial Regular" w:hAnsi="Arial Regular" w:cs="Arial Regular"/>
                <w:sz w:val="20"/>
                <w:szCs w:val="20"/>
              </w:rPr>
              <w:t>4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</w:t>
            </w:r>
            <w:r>
              <w:rPr>
                <w:rFonts w:ascii="Arial Regular" w:hAnsi="Arial Regular" w:cs="Arial Regular"/>
                <w:sz w:val="20"/>
                <w:szCs w:val="20"/>
              </w:rPr>
              <w:t>,5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02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652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4,3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61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279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4,356,078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4,783,838</w:t>
            </w:r>
          </w:p>
        </w:tc>
        <w:tc>
          <w:tcPr>
            <w:tcW w:w="514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4,522,284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965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5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brain injury</w:t>
            </w:r>
          </w:p>
        </w:tc>
        <w:tc>
          <w:tcPr>
            <w:tcW w:w="622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</w:t>
            </w:r>
          </w:p>
        </w:tc>
        <w:tc>
          <w:tcPr>
            <w:tcW w:w="59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876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84</w:t>
            </w:r>
            <w:r>
              <w:rPr>
                <w:rFonts w:ascii="Arial Regular" w:hAnsi="Arial Regular" w:cs="Arial Regular"/>
                <w:sz w:val="20"/>
                <w:szCs w:val="20"/>
              </w:rPr>
              <w:t>5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1,29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1,180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2,292</w:t>
            </w:r>
          </w:p>
        </w:tc>
        <w:tc>
          <w:tcPr>
            <w:tcW w:w="514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1,897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9,382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5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622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Weighted N</w:t>
            </w:r>
          </w:p>
        </w:tc>
        <w:tc>
          <w:tcPr>
            <w:tcW w:w="59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</w:t>
            </w:r>
            <w:r>
              <w:rPr>
                <w:rFonts w:ascii="Arial Regular" w:hAnsi="Arial Regular" w:cs="Arial Regular"/>
                <w:sz w:val="20"/>
                <w:szCs w:val="20"/>
              </w:rPr>
              <w:t>3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909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746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</w:t>
            </w:r>
            <w:r>
              <w:rPr>
                <w:rFonts w:ascii="Arial Regular" w:hAnsi="Arial Regular" w:cs="Arial Regular"/>
                <w:sz w:val="20"/>
                <w:szCs w:val="20"/>
              </w:rPr>
              <w:t>9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77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461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1,792,904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2,513,970</w:t>
            </w:r>
          </w:p>
        </w:tc>
        <w:tc>
          <w:tcPr>
            <w:tcW w:w="514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2,226,887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193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5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anxiety</w:t>
            </w:r>
          </w:p>
        </w:tc>
        <w:tc>
          <w:tcPr>
            <w:tcW w:w="622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</w:t>
            </w:r>
          </w:p>
        </w:tc>
        <w:tc>
          <w:tcPr>
            <w:tcW w:w="59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</w:t>
            </w:r>
            <w:r>
              <w:rPr>
                <w:rFonts w:ascii="Arial Regular" w:hAnsi="Arial Regular" w:cs="Arial Regular"/>
                <w:sz w:val="20"/>
                <w:szCs w:val="20"/>
              </w:rPr>
              <w:t>,9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06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814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2,8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89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3,082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4,459</w:t>
            </w:r>
          </w:p>
        </w:tc>
        <w:tc>
          <w:tcPr>
            <w:tcW w:w="514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4,718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20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5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622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Weighted N</w:t>
            </w:r>
          </w:p>
        </w:tc>
        <w:tc>
          <w:tcPr>
            <w:tcW w:w="59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345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705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</w:t>
            </w:r>
            <w:r>
              <w:rPr>
                <w:rFonts w:ascii="Arial Regular" w:hAnsi="Arial Regular" w:cs="Arial Regular"/>
                <w:sz w:val="20"/>
                <w:szCs w:val="20"/>
              </w:rPr>
              <w:t>,5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22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651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5,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295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13</w:t>
            </w:r>
            <w:r>
              <w:rPr>
                <w:rFonts w:ascii="Arial Regular" w:hAnsi="Arial Regular" w:cs="Arial Regular"/>
                <w:sz w:val="20"/>
                <w:szCs w:val="20"/>
              </w:rPr>
              <w:t>4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6,023,913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5,659,076</w:t>
            </w:r>
          </w:p>
        </w:tc>
        <w:tc>
          <w:tcPr>
            <w:tcW w:w="514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5,996,767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31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843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5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ASD</w:t>
            </w:r>
          </w:p>
        </w:tc>
        <w:tc>
          <w:tcPr>
            <w:tcW w:w="622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</w:t>
            </w:r>
          </w:p>
        </w:tc>
        <w:tc>
          <w:tcPr>
            <w:tcW w:w="59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994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494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67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691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1,017</w:t>
            </w:r>
          </w:p>
        </w:tc>
        <w:tc>
          <w:tcPr>
            <w:tcW w:w="514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1,075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4,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5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622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Weighted N</w:t>
            </w:r>
          </w:p>
        </w:tc>
        <w:tc>
          <w:tcPr>
            <w:tcW w:w="59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1,228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131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1,6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88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46</w:t>
            </w:r>
            <w:r>
              <w:rPr>
                <w:rFonts w:ascii="Arial Regular" w:hAnsi="Arial Regular" w:cs="Arial Regular"/>
                <w:sz w:val="20"/>
                <w:szCs w:val="20"/>
              </w:rPr>
              <w:t>1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1,41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066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1,50,182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1,392,444</w:t>
            </w:r>
          </w:p>
        </w:tc>
        <w:tc>
          <w:tcPr>
            <w:tcW w:w="514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1,641,702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9,010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5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ADHD</w:t>
            </w:r>
          </w:p>
        </w:tc>
        <w:tc>
          <w:tcPr>
            <w:tcW w:w="622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</w:t>
            </w:r>
          </w:p>
        </w:tc>
        <w:tc>
          <w:tcPr>
            <w:tcW w:w="59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4,</w:t>
            </w:r>
            <w:r>
              <w:rPr>
                <w:rFonts w:ascii="Arial Regular" w:hAnsi="Arial Regular" w:cs="Arial Regular"/>
                <w:sz w:val="20"/>
                <w:szCs w:val="20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</w:t>
            </w:r>
            <w:r>
              <w:rPr>
                <w:rFonts w:ascii="Arial Regular" w:hAnsi="Arial Regular" w:cs="Arial Regular"/>
                <w:sz w:val="20"/>
                <w:szCs w:val="20"/>
              </w:rPr>
              <w:t>0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851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696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2,734</w:t>
            </w:r>
          </w:p>
        </w:tc>
        <w:tc>
          <w:tcPr>
            <w:tcW w:w="5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3,833</w:t>
            </w:r>
          </w:p>
        </w:tc>
        <w:tc>
          <w:tcPr>
            <w:tcW w:w="514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4,107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9,301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5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622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Weighted N</w:t>
            </w:r>
          </w:p>
        </w:tc>
        <w:tc>
          <w:tcPr>
            <w:tcW w:w="590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</w:t>
            </w:r>
            <w:r>
              <w:rPr>
                <w:rFonts w:ascii="Arial Regular" w:hAnsi="Arial Regular" w:cs="Arial Regular"/>
                <w:sz w:val="20"/>
                <w:szCs w:val="20"/>
              </w:rPr>
              <w:t>,9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</w:rPr>
              <w:t>7,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162</w:t>
            </w:r>
          </w:p>
        </w:tc>
        <w:tc>
          <w:tcPr>
            <w:tcW w:w="501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</w:t>
            </w:r>
            <w:r>
              <w:rPr>
                <w:rFonts w:ascii="Arial Regular" w:hAnsi="Arial Regular" w:cs="Arial Regular"/>
                <w:sz w:val="20"/>
                <w:szCs w:val="20"/>
              </w:rPr>
              <w:t>,2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11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224</w:t>
            </w:r>
          </w:p>
        </w:tc>
        <w:tc>
          <w:tcPr>
            <w:tcW w:w="501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5,4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07,040</w:t>
            </w:r>
          </w:p>
        </w:tc>
        <w:tc>
          <w:tcPr>
            <w:tcW w:w="501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5,101,034</w:t>
            </w:r>
          </w:p>
        </w:tc>
        <w:tc>
          <w:tcPr>
            <w:tcW w:w="501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5,338,692</w:t>
            </w:r>
          </w:p>
        </w:tc>
        <w:tc>
          <w:tcPr>
            <w:tcW w:w="514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5,809,554</w:t>
            </w:r>
          </w:p>
        </w:tc>
        <w:tc>
          <w:tcPr>
            <w:tcW w:w="551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31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774</w:t>
            </w:r>
            <w:r>
              <w:rPr>
                <w:rFonts w:ascii="Arial Regular" w:hAnsi="Arial Regular" w:cs="Arial Regular"/>
                <w:sz w:val="20"/>
                <w:szCs w:val="20"/>
              </w:rPr>
              <w:t>,7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06</w:t>
            </w:r>
          </w:p>
        </w:tc>
      </w:tr>
    </w:tbl>
    <w:p>
      <w:pPr>
        <w:rPr>
          <w:rFonts w:ascii="Times New Roman Regular" w:hAnsi="Times New Roman Regular" w:cs="Times New Roman Regular"/>
          <w:sz w:val="24"/>
        </w:rPr>
      </w:pP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  <w:r>
        <w:rPr>
          <w:rFonts w:ascii="Times New Roman Regular" w:hAnsi="Times New Roman Regular" w:cs="Times New Roman Regular"/>
          <w:sz w:val="20"/>
          <w:szCs w:val="20"/>
        </w:rPr>
        <w:t>Note: Abbreviation: ASD= autism / autism spectrum disorder; ADHD = attention deficit hyperactivity disorder.</w:t>
      </w:r>
    </w:p>
    <w:p>
      <w:pPr>
        <w:rPr>
          <w:rFonts w:ascii="Times New Roman Regular" w:hAnsi="Times New Roman Regular" w:eastAsia="黑体" w:cs="Times New Roman Regular"/>
          <w:sz w:val="24"/>
        </w:rPr>
      </w:pPr>
    </w:p>
    <w:p>
      <w:pPr>
        <w:rPr>
          <w:rFonts w:ascii="Arial Narrow" w:hAnsi="Arial Narrow" w:eastAsia="黑体"/>
          <w:sz w:val="24"/>
        </w:rPr>
      </w:pPr>
    </w:p>
    <w:p>
      <w:pPr>
        <w:rPr>
          <w:rFonts w:ascii="Arial Narrow" w:hAnsi="Arial Narrow" w:eastAsia="黑体"/>
          <w:sz w:val="24"/>
        </w:rPr>
      </w:pPr>
    </w:p>
    <w:p>
      <w:pPr>
        <w:rPr>
          <w:rFonts w:ascii="Arial Narrow" w:hAnsi="Arial Narrow" w:eastAsia="黑体"/>
          <w:sz w:val="24"/>
        </w:rPr>
      </w:pPr>
    </w:p>
    <w:p>
      <w:pPr>
        <w:rPr>
          <w:rFonts w:ascii="Arial Narrow" w:hAnsi="Arial Narrow" w:eastAsia="黑体"/>
          <w:sz w:val="24"/>
        </w:rPr>
      </w:pPr>
    </w:p>
    <w:p>
      <w:pPr>
        <w:jc w:val="left"/>
        <w:rPr>
          <w:rFonts w:ascii="Arial Narrow" w:hAnsi="Arial Narrow" w:cs="Arial Narrow"/>
          <w:sz w:val="24"/>
        </w:rPr>
      </w:pPr>
    </w:p>
    <w:p>
      <w:pPr>
        <w:jc w:val="left"/>
        <w:rPr>
          <w:rFonts w:ascii="Arial Narrow" w:hAnsi="Arial Narrow" w:cs="Arial Narrow"/>
          <w:sz w:val="24"/>
        </w:rPr>
      </w:pPr>
    </w:p>
    <w:p>
      <w:pPr>
        <w:jc w:val="left"/>
        <w:rPr>
          <w:rFonts w:ascii="Arial Narrow" w:hAnsi="Arial Narrow" w:cs="Arial Narrow"/>
          <w:sz w:val="24"/>
        </w:rPr>
      </w:pPr>
    </w:p>
    <w:p>
      <w:pPr>
        <w:jc w:val="left"/>
        <w:rPr>
          <w:rFonts w:hint="eastAsia" w:ascii="Arial Narrow" w:hAnsi="Arial Narrow" w:cs="Arial Narrow"/>
          <w:sz w:val="24"/>
        </w:rPr>
      </w:pPr>
    </w:p>
    <w:p>
      <w:pPr>
        <w:jc w:val="left"/>
        <w:rPr>
          <w:rFonts w:hint="eastAsia" w:ascii="Arial Narrow" w:hAnsi="Arial Narrow" w:cs="Arial Narrow"/>
          <w:sz w:val="24"/>
        </w:rPr>
      </w:pPr>
    </w:p>
    <w:p>
      <w:pPr>
        <w:pStyle w:val="5"/>
        <w:rPr>
          <w:rFonts w:asciiTheme="minorHAnsi" w:hAnsiTheme="minorHAnsi" w:cstheme="minorBidi"/>
          <w:b/>
        </w:rPr>
      </w:pPr>
      <w:bookmarkStart w:id="111" w:name="_Toc1576132503"/>
      <w:bookmarkStart w:id="112" w:name="_Toc1487676975"/>
      <w:bookmarkStart w:id="113" w:name="_Toc1720835042"/>
      <w:bookmarkStart w:id="114" w:name="_Toc1556628997"/>
      <w:bookmarkStart w:id="115" w:name="_Toc152771548"/>
      <w:bookmarkStart w:id="116" w:name="_Toc510464504"/>
      <w:bookmarkStart w:id="117" w:name="_Toc599080268"/>
      <w:bookmarkStart w:id="118" w:name="_Toc5058978"/>
      <w:bookmarkStart w:id="119" w:name="_Toc260666579"/>
      <w:bookmarkStart w:id="120" w:name="_Toc200205379"/>
      <w:bookmarkStart w:id="121" w:name="_Toc1407259246"/>
      <w:bookmarkStart w:id="122" w:name="_Toc650804686"/>
      <w:bookmarkStart w:id="123" w:name="_Toc848021054"/>
      <w:bookmarkStart w:id="124" w:name="_Toc1345928964"/>
      <w:r>
        <w:rPr>
          <w:rFonts w:asciiTheme="minorHAnsi" w:hAnsiTheme="minorHAnsi" w:cstheme="minorBidi"/>
          <w:b/>
        </w:rPr>
        <w:t>Table</w:t>
      </w:r>
      <w:r>
        <w:rPr>
          <w:rFonts w:hint="default" w:asciiTheme="minorHAnsi" w:hAnsiTheme="minorHAnsi" w:cstheme="minorBidi"/>
          <w:b/>
          <w:lang w:val="en-US"/>
        </w:rPr>
        <w:t xml:space="preserve"> </w:t>
      </w:r>
      <w:r>
        <w:rPr>
          <w:rFonts w:hint="default" w:cstheme="minorBidi"/>
          <w:b/>
          <w:lang w:val="en-US"/>
        </w:rPr>
        <w:t>8</w:t>
      </w:r>
      <w:r>
        <w:rPr>
          <w:rFonts w:hint="default" w:asciiTheme="minorHAnsi" w:hAnsiTheme="minorHAnsi" w:cstheme="minorBidi"/>
          <w:b/>
          <w:lang w:val="en-US"/>
        </w:rPr>
        <w:t>. Prevalence of meeting 24-HMB guidelines for U.S. youth with MBD conditions (in the years 2016-2021)</w:t>
      </w:r>
      <w:r>
        <w:rPr>
          <w:rFonts w:hint="default" w:asciiTheme="minorHAnsi" w:hAnsiTheme="minorHAnsi" w:cstheme="minorBidi"/>
          <w:b/>
          <w:vertAlign w:val="baseline"/>
          <w:lang w:val="en-US"/>
        </w:rPr>
        <w:t xml:space="preserve"> </w:t>
      </w:r>
      <w:bookmarkEnd w:id="111"/>
      <w:bookmarkEnd w:id="112"/>
      <w:bookmarkEnd w:id="113"/>
      <w:bookmarkEnd w:id="114"/>
      <w:r>
        <w:rPr>
          <w:rFonts w:hint="default" w:cstheme="minorBidi"/>
          <w:b/>
          <w:vertAlign w:val="superscript"/>
          <w:lang w:val="en-US"/>
        </w:rPr>
        <w:t>1</w:t>
      </w:r>
    </w:p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p>
      <w:pPr>
        <w:jc w:val="left"/>
        <w:rPr>
          <w:rFonts w:ascii="Arial Narrow" w:hAnsi="Arial Narrow" w:cs="Arial Narrow"/>
          <w:sz w:val="24"/>
        </w:rPr>
      </w:pPr>
    </w:p>
    <w:tbl>
      <w:tblPr>
        <w:tblStyle w:val="19"/>
        <w:tblW w:w="0" w:type="auto"/>
        <w:tblInd w:w="42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6"/>
        <w:gridCol w:w="174"/>
        <w:gridCol w:w="2445"/>
        <w:gridCol w:w="2744"/>
      </w:tblGrid>
      <w:tr>
        <w:tc>
          <w:tcPr>
            <w:tcW w:w="2896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jc w:val="left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2619" w:type="dxa"/>
            <w:gridSpan w:val="2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No. of Participants</w:t>
            </w:r>
          </w:p>
        </w:tc>
        <w:tc>
          <w:tcPr>
            <w:tcW w:w="2744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(Weighted 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896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jc w:val="lef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b/>
                <w:bCs/>
                <w:sz w:val="20"/>
                <w:szCs w:val="20"/>
              </w:rPr>
              <w:t>Individual guidelines</w:t>
            </w:r>
          </w:p>
        </w:tc>
        <w:tc>
          <w:tcPr>
            <w:tcW w:w="2619" w:type="dxa"/>
            <w:gridSpan w:val="2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jc w:val="left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2744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jc w:val="left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89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guideline only</w:t>
            </w:r>
          </w:p>
        </w:tc>
        <w:tc>
          <w:tcPr>
            <w:tcW w:w="2619" w:type="dxa"/>
            <w:gridSpan w:val="2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467</w:t>
            </w:r>
          </w:p>
        </w:tc>
        <w:tc>
          <w:tcPr>
            <w:tcW w:w="274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89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SL guideline only</w:t>
            </w:r>
          </w:p>
        </w:tc>
        <w:tc>
          <w:tcPr>
            <w:tcW w:w="2619" w:type="dxa"/>
            <w:gridSpan w:val="2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628</w:t>
            </w:r>
          </w:p>
        </w:tc>
        <w:tc>
          <w:tcPr>
            <w:tcW w:w="274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070" w:type="dxa"/>
            <w:gridSpan w:val="2"/>
            <w:tcBorders>
              <w:tl2br w:val="nil"/>
              <w:tr2bl w:val="nil"/>
            </w:tcBorders>
          </w:tcPr>
          <w:p>
            <w:pPr>
              <w:jc w:val="lef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ST guideline only</w:t>
            </w:r>
          </w:p>
        </w:tc>
        <w:tc>
          <w:tcPr>
            <w:tcW w:w="244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</w:t>
            </w:r>
            <w:r>
              <w:rPr>
                <w:rFonts w:ascii="Arial Regular" w:hAnsi="Arial Regular" w:cs="Arial Regular"/>
                <w:sz w:val="20"/>
                <w:szCs w:val="20"/>
              </w:rPr>
              <w:t>13</w:t>
            </w:r>
          </w:p>
        </w:tc>
        <w:tc>
          <w:tcPr>
            <w:tcW w:w="274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070" w:type="dxa"/>
            <w:gridSpan w:val="2"/>
            <w:tcBorders>
              <w:tl2br w:val="nil"/>
              <w:tr2bl w:val="nil"/>
            </w:tcBorders>
          </w:tcPr>
          <w:p>
            <w:pPr>
              <w:jc w:val="lef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b/>
                <w:bCs/>
                <w:sz w:val="20"/>
                <w:szCs w:val="20"/>
              </w:rPr>
              <w:t>Specific integrated guidelines</w:t>
            </w:r>
          </w:p>
        </w:tc>
        <w:tc>
          <w:tcPr>
            <w:tcW w:w="244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274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89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ST guideline</w:t>
            </w:r>
          </w:p>
        </w:tc>
        <w:tc>
          <w:tcPr>
            <w:tcW w:w="2619" w:type="dxa"/>
            <w:gridSpan w:val="2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</w:t>
            </w:r>
            <w:r>
              <w:rPr>
                <w:rFonts w:ascii="Arial Regular" w:hAnsi="Arial Regular" w:cs="Arial Regular"/>
                <w:sz w:val="20"/>
                <w:szCs w:val="20"/>
              </w:rPr>
              <w:t>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</w:t>
            </w:r>
          </w:p>
        </w:tc>
        <w:tc>
          <w:tcPr>
            <w:tcW w:w="274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89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SL guideline</w:t>
            </w:r>
          </w:p>
        </w:tc>
        <w:tc>
          <w:tcPr>
            <w:tcW w:w="2619" w:type="dxa"/>
            <w:gridSpan w:val="2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2,1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27</w:t>
            </w:r>
          </w:p>
        </w:tc>
        <w:tc>
          <w:tcPr>
            <w:tcW w:w="274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4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89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SL + ST guideline</w:t>
            </w:r>
          </w:p>
        </w:tc>
        <w:tc>
          <w:tcPr>
            <w:tcW w:w="2619" w:type="dxa"/>
            <w:gridSpan w:val="2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568</w:t>
            </w:r>
          </w:p>
        </w:tc>
        <w:tc>
          <w:tcPr>
            <w:tcW w:w="274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89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b/>
                <w:bCs/>
                <w:sz w:val="20"/>
                <w:szCs w:val="20"/>
              </w:rPr>
              <w:t>Continuous guidelines</w:t>
            </w:r>
          </w:p>
        </w:tc>
        <w:tc>
          <w:tcPr>
            <w:tcW w:w="2619" w:type="dxa"/>
            <w:gridSpan w:val="2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274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89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Meeting no guideline</w:t>
            </w:r>
          </w:p>
        </w:tc>
        <w:tc>
          <w:tcPr>
            <w:tcW w:w="2619" w:type="dxa"/>
            <w:gridSpan w:val="2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10</w:t>
            </w:r>
            <w:r>
              <w:rPr>
                <w:rFonts w:ascii="Arial Regular" w:hAnsi="Arial Regular" w:cs="Arial Regular"/>
                <w:sz w:val="20"/>
                <w:szCs w:val="20"/>
              </w:rPr>
              <w:t>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003</w:t>
            </w:r>
          </w:p>
        </w:tc>
        <w:tc>
          <w:tcPr>
            <w:tcW w:w="274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19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89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Meeting any one guideline</w:t>
            </w:r>
          </w:p>
        </w:tc>
        <w:tc>
          <w:tcPr>
            <w:tcW w:w="2619" w:type="dxa"/>
            <w:gridSpan w:val="2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21,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60</w:t>
            </w:r>
            <w:r>
              <w:rPr>
                <w:rFonts w:ascii="Arial Regular" w:hAnsi="Arial Regular" w:cs="Arial Regular"/>
                <w:sz w:val="20"/>
                <w:szCs w:val="20"/>
              </w:rPr>
              <w:t>8</w:t>
            </w:r>
          </w:p>
        </w:tc>
        <w:tc>
          <w:tcPr>
            <w:tcW w:w="274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4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896" w:type="dxa"/>
            <w:tcBorders>
              <w:bottom w:val="nil"/>
              <w:tl2br w:val="nil"/>
              <w:tr2bl w:val="nil"/>
            </w:tcBorders>
          </w:tcPr>
          <w:p>
            <w:pPr>
              <w:jc w:val="lef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Meeting any 2 guidelines</w:t>
            </w:r>
          </w:p>
        </w:tc>
        <w:tc>
          <w:tcPr>
            <w:tcW w:w="2619" w:type="dxa"/>
            <w:gridSpan w:val="2"/>
            <w:tcBorders>
              <w:bottom w:val="nil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</w:t>
            </w:r>
            <w:r>
              <w:rPr>
                <w:rFonts w:ascii="Arial Regular" w:hAnsi="Arial Regular" w:cs="Arial Regular"/>
                <w:sz w:val="20"/>
                <w:szCs w:val="20"/>
              </w:rPr>
              <w:t>,6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</w:rPr>
              <w:t>9</w:t>
            </w:r>
          </w:p>
        </w:tc>
        <w:tc>
          <w:tcPr>
            <w:tcW w:w="2744" w:type="dxa"/>
            <w:tcBorders>
              <w:bottom w:val="nil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31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896" w:type="dxa"/>
            <w:tcBorders>
              <w:top w:val="nil"/>
              <w:bottom w:val="single" w:color="000000" w:sz="4" w:space="0"/>
              <w:tl2br w:val="nil"/>
              <w:tr2bl w:val="nil"/>
            </w:tcBorders>
          </w:tcPr>
          <w:p>
            <w:pPr>
              <w:jc w:val="lef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Meeting all 3 guidelines</w:t>
            </w:r>
          </w:p>
        </w:tc>
        <w:tc>
          <w:tcPr>
            <w:tcW w:w="2619" w:type="dxa"/>
            <w:gridSpan w:val="2"/>
            <w:tcBorders>
              <w:top w:val="nil"/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</w:t>
            </w:r>
            <w:r>
              <w:rPr>
                <w:rFonts w:ascii="Arial Regular" w:hAnsi="Arial Regular" w:cs="Arial Regular"/>
                <w:sz w:val="20"/>
                <w:szCs w:val="20"/>
              </w:rPr>
              <w:t>,4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14</w:t>
            </w:r>
          </w:p>
        </w:tc>
        <w:tc>
          <w:tcPr>
            <w:tcW w:w="2744" w:type="dxa"/>
            <w:tcBorders>
              <w:top w:val="nil"/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8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</w:t>
            </w:r>
          </w:p>
        </w:tc>
      </w:tr>
    </w:tbl>
    <w:p>
      <w:pPr>
        <w:jc w:val="left"/>
        <w:rPr>
          <w:rFonts w:ascii="Times New Roman Regular" w:hAnsi="Times New Roman Regular" w:cs="Times New Roman Regular"/>
          <w:sz w:val="20"/>
          <w:szCs w:val="20"/>
        </w:rPr>
      </w:pPr>
      <w:r>
        <w:rPr>
          <w:rFonts w:hint="default" w:ascii="Times New Roman Regular" w:hAnsi="Times New Roman Regular" w:cs="Times New Roman Regular"/>
          <w:sz w:val="20"/>
          <w:szCs w:val="20"/>
          <w:vertAlign w:val="superscript"/>
          <w:lang w:val="en-US"/>
        </w:rPr>
        <w:t>1</w:t>
      </w:r>
      <w:r>
        <w:rPr>
          <w:rFonts w:ascii="Times New Roman Regular" w:hAnsi="Times New Roman Regular" w:cs="Times New Roman Regular"/>
          <w:sz w:val="20"/>
          <w:szCs w:val="20"/>
        </w:rPr>
        <w:t xml:space="preserve"> Data are presented as unweighted counts and weighted percentages. Abbreviations: PA= physical activity; ST = screen time; and SL = sleep.</w:t>
      </w:r>
      <w:bookmarkEnd w:id="92"/>
      <w:bookmarkEnd w:id="93"/>
      <w:bookmarkEnd w:id="94"/>
    </w:p>
    <w:p>
      <w:pPr>
        <w:jc w:val="left"/>
        <w:rPr>
          <w:rFonts w:ascii="Times New Roman Regular" w:hAnsi="Times New Roman Regular" w:cs="Times New Roman Regular"/>
          <w:sz w:val="20"/>
          <w:szCs w:val="20"/>
        </w:rPr>
      </w:pPr>
    </w:p>
    <w:p>
      <w:pPr>
        <w:jc w:val="left"/>
        <w:rPr>
          <w:rFonts w:ascii="Arial Regular" w:hAnsi="Arial Regular" w:cs="Arial Regular"/>
          <w:sz w:val="20"/>
          <w:szCs w:val="20"/>
        </w:rPr>
      </w:pPr>
    </w:p>
    <w:p>
      <w:pPr>
        <w:jc w:val="left"/>
        <w:rPr>
          <w:rFonts w:hint="eastAsia" w:ascii="Arial Narrow" w:hAnsi="Arial Narrow" w:eastAsia="黑体"/>
          <w:sz w:val="24"/>
        </w:rPr>
      </w:pPr>
    </w:p>
    <w:p>
      <w:pPr>
        <w:jc w:val="left"/>
        <w:rPr>
          <w:rFonts w:hint="eastAsia"/>
        </w:rPr>
      </w:pPr>
      <w:bookmarkStart w:id="125" w:name="_Toc1506819664"/>
      <w:bookmarkStart w:id="126" w:name="_Toc1942342564"/>
      <w:bookmarkStart w:id="127" w:name="_Toc787629432"/>
      <w:bookmarkStart w:id="128" w:name="_Toc1580207955"/>
      <w:bookmarkStart w:id="129" w:name="_Toc882126329"/>
      <w:bookmarkStart w:id="130" w:name="_Toc30167480"/>
      <w:bookmarkStart w:id="131" w:name="_Toc1981755578"/>
      <w:bookmarkStart w:id="132" w:name="_Toc968659930"/>
      <w:bookmarkStart w:id="133" w:name="_Toc152771549"/>
      <w:bookmarkStart w:id="134" w:name="_Toc791254146"/>
    </w:p>
    <w:p>
      <w:pPr>
        <w:jc w:val="left"/>
        <w:rPr>
          <w:rFonts w:hint="eastAsia"/>
        </w:rPr>
      </w:pPr>
    </w:p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p>
      <w:pPr>
        <w:pStyle w:val="6"/>
        <w:outlineLvl w:val="9"/>
        <w:rPr>
          <w:rFonts w:hint="default" w:ascii="Arial Regular" w:hAnsi="Arial Regular" w:cs="Arial Regular"/>
          <w:sz w:val="20"/>
          <w:szCs w:val="20"/>
          <w:lang w:val="en-US"/>
        </w:rPr>
      </w:pPr>
    </w:p>
    <w:p>
      <w:pPr>
        <w:rPr>
          <w:rFonts w:hint="default" w:ascii="Arial Regular" w:hAnsi="Arial Regular" w:cs="Arial Regular"/>
          <w:sz w:val="20"/>
          <w:szCs w:val="20"/>
          <w:lang w:val="en-US"/>
        </w:rPr>
      </w:pPr>
    </w:p>
    <w:p>
      <w:pPr>
        <w:pStyle w:val="5"/>
        <w:rPr>
          <w:rFonts w:hint="default" w:asciiTheme="minorHAnsi" w:hAnsiTheme="minorHAnsi" w:cstheme="minorBidi"/>
          <w:sz w:val="24"/>
          <w:szCs w:val="24"/>
          <w:lang w:val="en-US"/>
        </w:rPr>
      </w:pPr>
      <w:bookmarkStart w:id="135" w:name="_Toc848192176"/>
      <w:bookmarkStart w:id="136" w:name="_Toc1617764825"/>
      <w:r>
        <w:rPr>
          <w:rFonts w:asciiTheme="minorHAnsi" w:hAnsiTheme="minorHAnsi" w:cstheme="minorBidi"/>
          <w:b/>
        </w:rPr>
        <w:t>Table</w:t>
      </w:r>
      <w:r>
        <w:rPr>
          <w:rFonts w:hint="default" w:asciiTheme="minorHAnsi" w:hAnsiTheme="minorHAnsi" w:cstheme="minorBidi"/>
          <w:b/>
          <w:lang w:val="en-US"/>
        </w:rPr>
        <w:t xml:space="preserve"> 9. Crude-weighted linear regression models of 24-HMB guidelines (continuous), adjusted for sociodemographic factors, NSCH 2016-2021</w:t>
      </w:r>
      <w:bookmarkEnd w:id="135"/>
      <w:bookmarkEnd w:id="136"/>
    </w:p>
    <w:tbl>
      <w:tblPr>
        <w:tblStyle w:val="18"/>
        <w:tblpPr w:leftFromText="180" w:rightFromText="180" w:vertAnchor="text" w:horzAnchor="page" w:tblpX="3736" w:tblpY="260"/>
        <w:tblOverlap w:val="never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3844"/>
        <w:gridCol w:w="3731"/>
      </w:tblGrid>
      <w:tr>
        <w:trPr>
          <w:trHeight w:val="312" w:hRule="atLeast"/>
        </w:trPr>
        <w:tc>
          <w:tcPr>
            <w:tcW w:w="8404" w:type="dxa"/>
            <w:gridSpan w:val="3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ind w:firstLine="545"/>
              <w:jc w:val="left"/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</w:pPr>
            <w:bookmarkStart w:id="137" w:name="_Toc1752174740"/>
            <w:r>
              <w:rPr>
                <w:rFonts w:ascii="Arial Narrow" w:hAnsi="Arial Narrow" w:cs="Arial Narrow"/>
                <w:sz w:val="20"/>
                <w:szCs w:val="20"/>
              </w:rPr>
              <w:t>Regression Coefficient (95% CI)</w:t>
            </w:r>
            <w:r>
              <w:rPr>
                <w:rFonts w:hint="default" w:ascii="Arial Narrow" w:hAnsi="Arial Narrow" w:cs="Arial Narrow"/>
                <w:sz w:val="20"/>
                <w:szCs w:val="20"/>
                <w:vertAlign w:val="superscript"/>
                <w:lang w:val="en-US"/>
              </w:rPr>
              <w:t>1</w:t>
            </w:r>
          </w:p>
        </w:tc>
      </w:tr>
      <w:tr>
        <w:trPr>
          <w:trHeight w:val="312" w:hRule="atLeast"/>
        </w:trPr>
        <w:tc>
          <w:tcPr>
            <w:tcW w:w="8404" w:type="dxa"/>
            <w:gridSpan w:val="3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ind w:firstLine="545"/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24-HMB guidelines (Continuous)</w:t>
            </w:r>
          </w:p>
        </w:tc>
      </w:tr>
      <w:tr>
        <w:trPr>
          <w:trHeight w:val="312" w:hRule="atLeast"/>
        </w:trPr>
        <w:tc>
          <w:tcPr>
            <w:tcW w:w="829" w:type="dxa"/>
            <w:vMerge w:val="restar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Model 1</w:t>
            </w:r>
          </w:p>
        </w:tc>
        <w:tc>
          <w:tcPr>
            <w:tcW w:w="3844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Year (Categorical)</w:t>
            </w:r>
          </w:p>
        </w:tc>
        <w:tc>
          <w:tcPr>
            <w:tcW w:w="3731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ind w:firstLine="100" w:firstLineChars="50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ind w:firstLine="200" w:firstLineChars="100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2016</w:t>
            </w:r>
          </w:p>
        </w:tc>
        <w:tc>
          <w:tcPr>
            <w:tcW w:w="3731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 [Reference]</w:t>
            </w: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l2br w:val="nil"/>
              <w:tr2bl w:val="nil"/>
            </w:tcBorders>
          </w:tcPr>
          <w:p>
            <w:pPr>
              <w:ind w:firstLine="200" w:firstLineChars="100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2017</w:t>
            </w:r>
          </w:p>
        </w:tc>
        <w:tc>
          <w:tcPr>
            <w:tcW w:w="37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3.8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 xml:space="preserve">9.7 </w:t>
            </w:r>
            <w:r>
              <w:rPr>
                <w:rFonts w:ascii="Arial Narrow" w:hAnsi="Arial Narrow" w:cs="Arial Narrow"/>
                <w:sz w:val="20"/>
                <w:szCs w:val="20"/>
              </w:rPr>
              <w:t>to 2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.2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l2br w:val="nil"/>
              <w:tr2bl w:val="nil"/>
            </w:tcBorders>
          </w:tcPr>
          <w:p>
            <w:pPr>
              <w:ind w:firstLine="200" w:firstLineChars="100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2018</w:t>
            </w:r>
          </w:p>
        </w:tc>
        <w:tc>
          <w:tcPr>
            <w:tcW w:w="37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21.3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26.5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to 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16.1</w:t>
            </w:r>
            <w:r>
              <w:rPr>
                <w:rFonts w:ascii="Arial Narrow" w:hAnsi="Arial Narrow" w:cs="Arial Narrow"/>
                <w:sz w:val="20"/>
                <w:szCs w:val="20"/>
              </w:rPr>
              <w:t>)**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*</w:t>
            </w: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l2br w:val="nil"/>
              <w:tr2bl w:val="nil"/>
            </w:tcBorders>
          </w:tcPr>
          <w:p>
            <w:pPr>
              <w:ind w:firstLine="200" w:firstLineChars="100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2019</w:t>
            </w:r>
          </w:p>
        </w:tc>
        <w:tc>
          <w:tcPr>
            <w:tcW w:w="37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22.8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28.4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to 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17.1</w:t>
            </w:r>
            <w:r>
              <w:rPr>
                <w:rFonts w:ascii="Arial Narrow" w:hAnsi="Arial Narrow" w:cs="Arial Narrow"/>
                <w:sz w:val="20"/>
                <w:szCs w:val="20"/>
              </w:rPr>
              <w:t>)***</w:t>
            </w: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l2br w:val="nil"/>
              <w:tr2bl w:val="nil"/>
            </w:tcBorders>
          </w:tcPr>
          <w:p>
            <w:pPr>
              <w:ind w:firstLine="200" w:firstLineChars="100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2020</w:t>
            </w:r>
          </w:p>
        </w:tc>
        <w:tc>
          <w:tcPr>
            <w:tcW w:w="37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34.0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39.0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to 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29.0</w:t>
            </w:r>
            <w:r>
              <w:rPr>
                <w:rFonts w:ascii="Arial Narrow" w:hAnsi="Arial Narrow" w:cs="Arial Narrow"/>
                <w:sz w:val="20"/>
                <w:szCs w:val="20"/>
              </w:rPr>
              <w:t>)***</w:t>
            </w: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l2br w:val="nil"/>
              <w:tr2bl w:val="nil"/>
            </w:tcBorders>
          </w:tcPr>
          <w:p>
            <w:pPr>
              <w:ind w:firstLine="200" w:firstLineChars="100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2021</w:t>
            </w:r>
          </w:p>
        </w:tc>
        <w:tc>
          <w:tcPr>
            <w:tcW w:w="37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31.4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36.1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to 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26.6</w:t>
            </w:r>
            <w:r>
              <w:rPr>
                <w:rFonts w:ascii="Arial Narrow" w:hAnsi="Arial Narrow" w:cs="Arial Narrow"/>
                <w:sz w:val="20"/>
                <w:szCs w:val="20"/>
              </w:rPr>
              <w:t>)***</w:t>
            </w: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i/>
                <w:iCs/>
                <w:sz w:val="20"/>
                <w:szCs w:val="20"/>
              </w:rPr>
              <w:t>P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for trend</w:t>
            </w:r>
          </w:p>
        </w:tc>
        <w:tc>
          <w:tcPr>
            <w:tcW w:w="3731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7.1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7.9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to 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6.2</w:t>
            </w:r>
            <w:r>
              <w:rPr>
                <w:rFonts w:ascii="Arial Narrow" w:hAnsi="Arial Narrow" w:cs="Arial Narrow"/>
                <w:sz w:val="20"/>
                <w:szCs w:val="20"/>
              </w:rPr>
              <w:t>)***</w:t>
            </w:r>
          </w:p>
        </w:tc>
      </w:tr>
      <w:tr>
        <w:trPr>
          <w:trHeight w:val="312" w:hRule="atLeast"/>
        </w:trPr>
        <w:tc>
          <w:tcPr>
            <w:tcW w:w="829" w:type="dxa"/>
            <w:vMerge w:val="restar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Model 2</w:t>
            </w:r>
          </w:p>
        </w:tc>
        <w:tc>
          <w:tcPr>
            <w:tcW w:w="3844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Age (years )</w:t>
            </w:r>
          </w:p>
        </w:tc>
        <w:tc>
          <w:tcPr>
            <w:tcW w:w="3731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 xml:space="preserve"> 6-13</w:t>
            </w:r>
          </w:p>
        </w:tc>
        <w:tc>
          <w:tcPr>
            <w:tcW w:w="3731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 [Reference]</w:t>
            </w: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l2br w:val="nil"/>
              <w:tr2bl w:val="nil"/>
            </w:tcBorders>
          </w:tcPr>
          <w:p>
            <w:pPr>
              <w:ind w:firstLine="100" w:firstLineChars="50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14-17</w:t>
            </w:r>
          </w:p>
        </w:tc>
        <w:tc>
          <w:tcPr>
            <w:tcW w:w="37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-36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.5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(-39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.7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to -33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.3</w:t>
            </w:r>
            <w:r>
              <w:rPr>
                <w:rFonts w:ascii="Arial Narrow" w:hAnsi="Arial Narrow" w:cs="Arial Narrow"/>
                <w:sz w:val="20"/>
                <w:szCs w:val="20"/>
              </w:rPr>
              <w:t>)***</w:t>
            </w: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l2br w:val="nil"/>
              <w:tr2bl w:val="nil"/>
            </w:tcBorders>
          </w:tcPr>
          <w:p>
            <w:pPr>
              <w:rPr>
                <w:rFonts w:hint="eastAsia" w:ascii="Arial Narrow" w:hAnsi="Arial Narrow" w:cs="Arial Narrow"/>
                <w:sz w:val="20"/>
                <w:szCs w:val="20"/>
              </w:rPr>
            </w:pPr>
            <w:r>
              <w:rPr>
                <w:rFonts w:hint="eastAsia" w:ascii="Arial Narrow" w:hAnsi="Arial Narrow" w:cs="Arial Narrow"/>
                <w:sz w:val="20"/>
                <w:szCs w:val="20"/>
                <w:lang w:eastAsia="zh-CN"/>
              </w:rPr>
              <w:t>Sex</w:t>
            </w:r>
          </w:p>
        </w:tc>
        <w:tc>
          <w:tcPr>
            <w:tcW w:w="37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 xml:space="preserve"> Boys</w:t>
            </w:r>
          </w:p>
        </w:tc>
        <w:tc>
          <w:tcPr>
            <w:tcW w:w="37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 [Reference]</w:t>
            </w: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 xml:space="preserve"> Girls</w:t>
            </w:r>
          </w:p>
        </w:tc>
        <w:tc>
          <w:tcPr>
            <w:tcW w:w="37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-6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.3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(-9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.5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to 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3.1</w:t>
            </w:r>
            <w:r>
              <w:rPr>
                <w:rFonts w:ascii="Arial Narrow" w:hAnsi="Arial Narrow" w:cs="Arial Narrow"/>
                <w:sz w:val="20"/>
                <w:szCs w:val="20"/>
              </w:rPr>
              <w:t>)**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*</w:t>
            </w: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Ethnicity</w:t>
            </w:r>
          </w:p>
        </w:tc>
        <w:tc>
          <w:tcPr>
            <w:tcW w:w="37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 xml:space="preserve">  Non-Hispanic white</w:t>
            </w:r>
          </w:p>
        </w:tc>
        <w:tc>
          <w:tcPr>
            <w:tcW w:w="37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 [Reference]</w:t>
            </w: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 xml:space="preserve">  Hispanic</w:t>
            </w:r>
          </w:p>
        </w:tc>
        <w:tc>
          <w:tcPr>
            <w:tcW w:w="37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-1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5.4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(-2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0.1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to -1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0.6</w:t>
            </w:r>
            <w:r>
              <w:rPr>
                <w:rFonts w:ascii="Arial Narrow" w:hAnsi="Arial Narrow" w:cs="Arial Narrow"/>
                <w:sz w:val="20"/>
                <w:szCs w:val="20"/>
              </w:rPr>
              <w:t>)***</w:t>
            </w: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 xml:space="preserve">  Non-Hispanic Black</w:t>
            </w:r>
          </w:p>
        </w:tc>
        <w:tc>
          <w:tcPr>
            <w:tcW w:w="37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-3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4.0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(-39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.8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to -28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.3</w:t>
            </w:r>
            <w:r>
              <w:rPr>
                <w:rFonts w:ascii="Arial Narrow" w:hAnsi="Arial Narrow" w:cs="Arial Narrow"/>
                <w:sz w:val="20"/>
                <w:szCs w:val="20"/>
              </w:rPr>
              <w:t>)***</w:t>
            </w: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 xml:space="preserve">  Non-Hispanic Asian</w:t>
            </w:r>
          </w:p>
        </w:tc>
        <w:tc>
          <w:tcPr>
            <w:tcW w:w="37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-2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 xml:space="preserve">0.1 </w:t>
            </w:r>
            <w:r>
              <w:rPr>
                <w:rFonts w:ascii="Arial Narrow" w:hAnsi="Arial Narrow" w:cs="Arial Narrow"/>
                <w:sz w:val="20"/>
                <w:szCs w:val="20"/>
              </w:rPr>
              <w:t>(-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29.8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to -1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0.4</w:t>
            </w:r>
            <w:r>
              <w:rPr>
                <w:rFonts w:ascii="Arial Narrow" w:hAnsi="Arial Narrow" w:cs="Arial Narrow"/>
                <w:sz w:val="20"/>
                <w:szCs w:val="20"/>
              </w:rPr>
              <w:t>)***</w:t>
            </w: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 xml:space="preserve">  Other/Multi-racial</w:t>
            </w:r>
          </w:p>
        </w:tc>
        <w:tc>
          <w:tcPr>
            <w:tcW w:w="37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 xml:space="preserve">8.1 </w:t>
            </w:r>
            <w:r>
              <w:rPr>
                <w:rFonts w:ascii="Arial Narrow" w:hAnsi="Arial Narrow" w:cs="Arial Narrow"/>
                <w:sz w:val="20"/>
                <w:szCs w:val="20"/>
              </w:rPr>
              <w:t>(-1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3.7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to 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2.5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l2br w:val="nil"/>
              <w:tr2bl w:val="nil"/>
            </w:tcBorders>
          </w:tcPr>
          <w:p>
            <w:pPr>
              <w:kinsoku w:val="0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 xml:space="preserve">Household poverty level (FPL) </w:t>
            </w:r>
          </w:p>
        </w:tc>
        <w:tc>
          <w:tcPr>
            <w:tcW w:w="37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l2br w:val="nil"/>
              <w:tr2bl w:val="nil"/>
            </w:tcBorders>
          </w:tcPr>
          <w:p>
            <w:pPr>
              <w:kinsoku w:val="0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l2br w:val="nil"/>
              <w:tr2bl w:val="nil"/>
            </w:tcBorders>
          </w:tcPr>
          <w:p>
            <w:pPr>
              <w:kinsoku w:val="0"/>
              <w:ind w:firstLine="200" w:firstLineChars="100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 xml:space="preserve">Less than 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99% </w:t>
            </w:r>
          </w:p>
        </w:tc>
        <w:tc>
          <w:tcPr>
            <w:tcW w:w="37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 [Reference]</w:t>
            </w: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l2br w:val="nil"/>
              <w:tr2bl w:val="nil"/>
            </w:tcBorders>
          </w:tcPr>
          <w:p>
            <w:pPr>
              <w:kinsoku w:val="0"/>
              <w:ind w:firstLine="200" w:firstLineChars="100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 xml:space="preserve">  100%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 xml:space="preserve"> and more</w:t>
            </w:r>
          </w:p>
        </w:tc>
        <w:tc>
          <w:tcPr>
            <w:tcW w:w="37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1.0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6.2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to 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4.3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l2br w:val="nil"/>
              <w:tr2bl w:val="nil"/>
            </w:tcBorders>
          </w:tcPr>
          <w:p>
            <w:pPr>
              <w:kinsoku w:val="0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Highest level of education of primary caregivers</w:t>
            </w:r>
          </w:p>
        </w:tc>
        <w:tc>
          <w:tcPr>
            <w:tcW w:w="37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l2br w:val="nil"/>
              <w:tr2bl w:val="nil"/>
            </w:tcBorders>
          </w:tcPr>
          <w:p>
            <w:pPr>
              <w:kinsoku w:val="0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l2br w:val="nil"/>
              <w:tr2bl w:val="nil"/>
            </w:tcBorders>
          </w:tcPr>
          <w:p>
            <w:pPr>
              <w:kinsoku w:val="0"/>
              <w:ind w:left="200" w:hanging="200" w:hangingChars="100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 xml:space="preserve">  Less than high school </w:t>
            </w:r>
          </w:p>
        </w:tc>
        <w:tc>
          <w:tcPr>
            <w:tcW w:w="37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 [Reference]</w:t>
            </w: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l2br w:val="nil"/>
              <w:tr2bl w:val="nil"/>
            </w:tcBorders>
          </w:tcPr>
          <w:p>
            <w:pPr>
              <w:kinsoku w:val="0"/>
              <w:ind w:left="200" w:hanging="200" w:hangingChars="100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l2br w:val="nil"/>
              <w:tr2bl w:val="nil"/>
            </w:tcBorders>
          </w:tcPr>
          <w:p>
            <w:pPr>
              <w:kinsoku w:val="0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 xml:space="preserve">  High school or GED</w:t>
            </w:r>
          </w:p>
        </w:tc>
        <w:tc>
          <w:tcPr>
            <w:tcW w:w="37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3.8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5.7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to 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13.3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l2br w:val="nil"/>
              <w:tr2bl w:val="nil"/>
            </w:tcBorders>
          </w:tcPr>
          <w:p>
            <w:pPr>
              <w:kinsoku w:val="0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l2br w:val="nil"/>
              <w:tr2bl w:val="nil"/>
            </w:tcBorders>
          </w:tcPr>
          <w:p>
            <w:pPr>
              <w:kinsoku w:val="0"/>
              <w:ind w:firstLine="200" w:firstLineChars="100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Some colleges credit or associated degree</w:t>
            </w:r>
          </w:p>
        </w:tc>
        <w:tc>
          <w:tcPr>
            <w:tcW w:w="37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6.6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2.6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to 1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5.7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l2br w:val="nil"/>
              <w:tr2bl w:val="nil"/>
            </w:tcBorders>
          </w:tcPr>
          <w:p>
            <w:pPr>
              <w:kinsoku w:val="0"/>
              <w:ind w:firstLine="200" w:firstLineChars="100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 xml:space="preserve">  College degree or higher</w:t>
            </w:r>
          </w:p>
        </w:tc>
        <w:tc>
          <w:tcPr>
            <w:tcW w:w="37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19.4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(10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.4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to 28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.4</w:t>
            </w:r>
            <w:r>
              <w:rPr>
                <w:rFonts w:ascii="Arial Narrow" w:hAnsi="Arial Narrow" w:cs="Arial Narrow"/>
                <w:sz w:val="20"/>
                <w:szCs w:val="20"/>
              </w:rPr>
              <w:t>)***</w:t>
            </w: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l2br w:val="nil"/>
              <w:tr2bl w:val="nil"/>
            </w:tcBorders>
          </w:tcPr>
          <w:p>
            <w:pPr>
              <w:kinsoku w:val="0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Born≥ 3 weeks before due date</w:t>
            </w:r>
          </w:p>
        </w:tc>
        <w:tc>
          <w:tcPr>
            <w:tcW w:w="37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l2br w:val="nil"/>
              <w:tr2bl w:val="nil"/>
            </w:tcBorders>
          </w:tcPr>
          <w:p>
            <w:pPr>
              <w:kinsoku w:val="0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l2br w:val="nil"/>
              <w:tr2bl w:val="nil"/>
            </w:tcBorders>
          </w:tcPr>
          <w:p>
            <w:pPr>
              <w:kinsoku w:val="0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 xml:space="preserve">  No </w:t>
            </w:r>
          </w:p>
        </w:tc>
        <w:tc>
          <w:tcPr>
            <w:tcW w:w="37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 [Reference]</w:t>
            </w: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l2br w:val="nil"/>
              <w:tr2bl w:val="nil"/>
            </w:tcBorders>
          </w:tcPr>
          <w:p>
            <w:pPr>
              <w:kinsoku w:val="0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 xml:space="preserve">  Yes</w:t>
            </w:r>
          </w:p>
        </w:tc>
        <w:tc>
          <w:tcPr>
            <w:tcW w:w="37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2.4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(-2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.1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to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 xml:space="preserve"> 6.8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l2br w:val="nil"/>
              <w:tr2bl w:val="nil"/>
            </w:tcBorders>
          </w:tcPr>
          <w:p>
            <w:pPr>
              <w:kinsoku w:val="0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Year (Categorical)</w:t>
            </w:r>
          </w:p>
        </w:tc>
        <w:tc>
          <w:tcPr>
            <w:tcW w:w="37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l2br w:val="nil"/>
              <w:tr2bl w:val="nil"/>
            </w:tcBorders>
          </w:tcPr>
          <w:p>
            <w:pPr>
              <w:kinsoku w:val="0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l2br w:val="nil"/>
              <w:tr2bl w:val="nil"/>
            </w:tcBorders>
          </w:tcPr>
          <w:p>
            <w:pPr>
              <w:ind w:firstLine="200" w:firstLineChars="100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2016</w:t>
            </w:r>
          </w:p>
        </w:tc>
        <w:tc>
          <w:tcPr>
            <w:tcW w:w="37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0 [Reference]</w:t>
            </w: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l2br w:val="nil"/>
              <w:tr2bl w:val="nil"/>
            </w:tcBorders>
          </w:tcPr>
          <w:p>
            <w:pPr>
              <w:kinsoku w:val="0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l2br w:val="nil"/>
              <w:tr2bl w:val="nil"/>
            </w:tcBorders>
          </w:tcPr>
          <w:p>
            <w:pPr>
              <w:ind w:firstLine="200" w:firstLineChars="100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2017</w:t>
            </w:r>
          </w:p>
        </w:tc>
        <w:tc>
          <w:tcPr>
            <w:tcW w:w="37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3.4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9.3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to 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2.5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l2br w:val="nil"/>
              <w:tr2bl w:val="nil"/>
            </w:tcBorders>
          </w:tcPr>
          <w:p>
            <w:pPr>
              <w:kinsoku w:val="0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l2br w:val="nil"/>
              <w:tr2bl w:val="nil"/>
            </w:tcBorders>
          </w:tcPr>
          <w:p>
            <w:pPr>
              <w:ind w:firstLine="200" w:firstLineChars="100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2018</w:t>
            </w:r>
          </w:p>
        </w:tc>
        <w:tc>
          <w:tcPr>
            <w:tcW w:w="37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22.0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26.9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to 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17.0</w:t>
            </w:r>
            <w:r>
              <w:rPr>
                <w:rFonts w:ascii="Arial Narrow" w:hAnsi="Arial Narrow" w:cs="Arial Narrow"/>
                <w:sz w:val="20"/>
                <w:szCs w:val="20"/>
              </w:rPr>
              <w:t>)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***</w:t>
            </w: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l2br w:val="nil"/>
              <w:tr2bl w:val="nil"/>
            </w:tcBorders>
          </w:tcPr>
          <w:p>
            <w:pPr>
              <w:kinsoku w:val="0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l2br w:val="nil"/>
              <w:tr2bl w:val="nil"/>
            </w:tcBorders>
          </w:tcPr>
          <w:p>
            <w:pPr>
              <w:ind w:firstLine="200" w:firstLineChars="100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2019</w:t>
            </w:r>
          </w:p>
        </w:tc>
        <w:tc>
          <w:tcPr>
            <w:tcW w:w="37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23.1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28.5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to 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-17.7</w:t>
            </w:r>
            <w:r>
              <w:rPr>
                <w:rFonts w:ascii="Arial Narrow" w:hAnsi="Arial Narrow" w:cs="Arial Narrow"/>
                <w:sz w:val="20"/>
                <w:szCs w:val="20"/>
              </w:rPr>
              <w:t>)**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*</w:t>
            </w: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l2br w:val="nil"/>
              <w:tr2bl w:val="nil"/>
            </w:tcBorders>
          </w:tcPr>
          <w:p>
            <w:pPr>
              <w:kinsoku w:val="0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l2br w:val="nil"/>
              <w:tr2bl w:val="nil"/>
            </w:tcBorders>
          </w:tcPr>
          <w:p>
            <w:pPr>
              <w:ind w:firstLine="200" w:firstLineChars="100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2020</w:t>
            </w:r>
          </w:p>
        </w:tc>
        <w:tc>
          <w:tcPr>
            <w:tcW w:w="37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34.1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38.9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to 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29.3</w:t>
            </w:r>
            <w:r>
              <w:rPr>
                <w:rFonts w:ascii="Arial Narrow" w:hAnsi="Arial Narrow" w:cs="Arial Narrow"/>
                <w:sz w:val="20"/>
                <w:szCs w:val="20"/>
              </w:rPr>
              <w:t>)***</w:t>
            </w:r>
          </w:p>
        </w:tc>
      </w:tr>
      <w:tr>
        <w:trPr>
          <w:trHeight w:val="312" w:hRule="atLeast"/>
        </w:trPr>
        <w:tc>
          <w:tcPr>
            <w:tcW w:w="829" w:type="dxa"/>
            <w:vMerge w:val="continue"/>
            <w:tcBorders>
              <w:tl2br w:val="nil"/>
              <w:tr2bl w:val="nil"/>
            </w:tcBorders>
          </w:tcPr>
          <w:p>
            <w:pPr>
              <w:kinsoku w:val="0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tl2br w:val="nil"/>
              <w:tr2bl w:val="nil"/>
            </w:tcBorders>
          </w:tcPr>
          <w:p>
            <w:pPr>
              <w:ind w:firstLine="200" w:firstLineChars="100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2021</w:t>
            </w:r>
          </w:p>
        </w:tc>
        <w:tc>
          <w:tcPr>
            <w:tcW w:w="37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-31.0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(-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35.6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to -</w:t>
            </w:r>
            <w: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  <w:t>26.4</w:t>
            </w:r>
            <w:r>
              <w:rPr>
                <w:rFonts w:ascii="Arial Narrow" w:hAnsi="Arial Narrow" w:cs="Arial Narrow"/>
                <w:sz w:val="20"/>
                <w:szCs w:val="20"/>
              </w:rPr>
              <w:t>)***</w:t>
            </w:r>
          </w:p>
        </w:tc>
      </w:tr>
      <w:tr>
        <w:trPr>
          <w:trHeight w:val="322" w:hRule="atLeast"/>
        </w:trPr>
        <w:tc>
          <w:tcPr>
            <w:tcW w:w="829" w:type="dxa"/>
            <w:vMerge w:val="continue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kinsoku w:val="0"/>
              <w:rPr>
                <w:rFonts w:hint="default" w:ascii="Arial Narrow" w:hAnsi="Arial Narrow" w:cs="Arial Narrow"/>
                <w:sz w:val="20"/>
                <w:szCs w:val="20"/>
              </w:rPr>
            </w:pPr>
          </w:p>
        </w:tc>
        <w:tc>
          <w:tcPr>
            <w:tcW w:w="3844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rPr>
                <w:rFonts w:hint="default" w:ascii="Arial Narrow" w:hAnsi="Arial Narrow" w:cs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 w:cs="Arial Narrow"/>
                <w:i/>
                <w:iCs/>
                <w:sz w:val="20"/>
                <w:szCs w:val="20"/>
              </w:rPr>
              <w:t>P</w:t>
            </w:r>
            <w:r>
              <w:rPr>
                <w:rFonts w:ascii="Arial Narrow" w:hAnsi="Arial Narrow" w:cs="Arial Narrow"/>
                <w:sz w:val="20"/>
                <w:szCs w:val="20"/>
              </w:rPr>
              <w:t xml:space="preserve"> for trend </w:t>
            </w:r>
            <w:r>
              <w:rPr>
                <w:rFonts w:hint="default" w:ascii="Arial Narrow" w:hAnsi="Arial Narrow" w:cs="Arial Narrow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3731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&lt;</w:t>
            </w:r>
            <w:r>
              <w:rPr>
                <w:rFonts w:hint="eastAsia" w:ascii="Arial Narrow" w:hAnsi="Arial Narrow" w:cs="Arial Narrow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Narrow" w:hAnsi="Arial Narrow" w:cs="Arial Narrow"/>
                <w:sz w:val="20"/>
                <w:szCs w:val="20"/>
                <w:lang w:val="en-US"/>
              </w:rPr>
              <w:t>.</w:t>
            </w:r>
            <w:r>
              <w:rPr>
                <w:rFonts w:ascii="Arial Narrow" w:hAnsi="Arial Narrow" w:cs="Arial Narrow"/>
                <w:sz w:val="20"/>
                <w:szCs w:val="20"/>
              </w:rPr>
              <w:t>001</w:t>
            </w:r>
          </w:p>
        </w:tc>
      </w:tr>
    </w:tbl>
    <w:p>
      <w:pPr>
        <w:rPr>
          <w:rFonts w:hint="eastAsia" w:ascii="Arial Regular" w:hAnsi="Arial Regular" w:cs="Arial Regular"/>
          <w:sz w:val="20"/>
          <w:szCs w:val="20"/>
        </w:rPr>
      </w:pPr>
    </w:p>
    <w:p>
      <w:pPr>
        <w:rPr>
          <w:rFonts w:hint="eastAsia" w:ascii="Arial Regular" w:hAnsi="Arial Regular" w:cs="Arial Regular"/>
          <w:sz w:val="20"/>
          <w:szCs w:val="20"/>
        </w:rPr>
      </w:pPr>
    </w:p>
    <w:p>
      <w:pPr>
        <w:rPr>
          <w:rFonts w:ascii="Arial Regular" w:hAnsi="Arial Regular" w:cs="Arial Regular"/>
          <w:sz w:val="20"/>
          <w:szCs w:val="20"/>
        </w:rPr>
      </w:pPr>
    </w:p>
    <w:p>
      <w:pPr>
        <w:rPr>
          <w:rFonts w:ascii="Arial Regular" w:hAnsi="Arial Regular" w:cs="Arial Regular"/>
          <w:sz w:val="20"/>
          <w:szCs w:val="20"/>
        </w:rPr>
      </w:pPr>
    </w:p>
    <w:p>
      <w:pPr>
        <w:rPr>
          <w:rFonts w:ascii="Arial Regular" w:hAnsi="Arial Regular" w:cs="Arial Regular"/>
          <w:sz w:val="20"/>
          <w:szCs w:val="20"/>
        </w:rPr>
      </w:pPr>
    </w:p>
    <w:p>
      <w:pPr>
        <w:rPr>
          <w:rFonts w:ascii="Arial Regular" w:hAnsi="Arial Regular" w:cs="Arial Regular"/>
          <w:sz w:val="20"/>
          <w:szCs w:val="20"/>
        </w:rPr>
      </w:pPr>
    </w:p>
    <w:p>
      <w:pPr>
        <w:rPr>
          <w:rFonts w:ascii="Arial Regular" w:hAnsi="Arial Regular" w:cs="Arial Regular"/>
          <w:sz w:val="20"/>
          <w:szCs w:val="20"/>
        </w:rPr>
      </w:pPr>
    </w:p>
    <w:p>
      <w:pPr>
        <w:rPr>
          <w:rFonts w:ascii="Arial Regular" w:hAnsi="Arial Regular" w:cs="Arial Regular"/>
          <w:sz w:val="20"/>
          <w:szCs w:val="20"/>
        </w:rPr>
      </w:pPr>
    </w:p>
    <w:p>
      <w:pPr>
        <w:rPr>
          <w:rFonts w:ascii="Arial Regular" w:hAnsi="Arial Regular" w:cs="Arial Regular"/>
          <w:sz w:val="20"/>
          <w:szCs w:val="20"/>
        </w:rPr>
      </w:pPr>
    </w:p>
    <w:p>
      <w:pPr>
        <w:rPr>
          <w:rFonts w:ascii="Arial Regular" w:hAnsi="Arial Regular" w:cs="Arial Regular"/>
          <w:sz w:val="20"/>
          <w:szCs w:val="20"/>
        </w:rPr>
      </w:pPr>
    </w:p>
    <w:p>
      <w:pPr>
        <w:rPr>
          <w:rFonts w:ascii="Arial Regular" w:hAnsi="Arial Regular" w:cs="Arial Regular"/>
          <w:sz w:val="20"/>
          <w:szCs w:val="20"/>
        </w:rPr>
      </w:pPr>
    </w:p>
    <w:p>
      <w:pPr>
        <w:rPr>
          <w:rFonts w:ascii="Arial Regular" w:hAnsi="Arial Regular" w:cs="Arial Regular"/>
          <w:sz w:val="20"/>
          <w:szCs w:val="20"/>
        </w:rPr>
      </w:pPr>
    </w:p>
    <w:p>
      <w:pPr>
        <w:rPr>
          <w:rFonts w:ascii="Arial Regular" w:hAnsi="Arial Regular" w:cs="Arial Regular"/>
          <w:sz w:val="20"/>
          <w:szCs w:val="20"/>
        </w:rPr>
      </w:pPr>
    </w:p>
    <w:p>
      <w:pPr>
        <w:rPr>
          <w:rFonts w:ascii="Arial Regular" w:hAnsi="Arial Regular" w:cs="Arial Regular"/>
          <w:sz w:val="20"/>
          <w:szCs w:val="20"/>
        </w:rPr>
      </w:pPr>
    </w:p>
    <w:p>
      <w:pPr>
        <w:rPr>
          <w:rFonts w:ascii="Arial Regular" w:hAnsi="Arial Regular" w:cs="Arial Regular"/>
          <w:sz w:val="20"/>
          <w:szCs w:val="20"/>
        </w:rPr>
      </w:pPr>
    </w:p>
    <w:p>
      <w:pPr>
        <w:rPr>
          <w:rFonts w:ascii="Arial Regular" w:hAnsi="Arial Regular" w:cs="Arial Regular"/>
          <w:sz w:val="20"/>
          <w:szCs w:val="20"/>
        </w:rPr>
      </w:pPr>
    </w:p>
    <w:p>
      <w:pPr>
        <w:rPr>
          <w:rFonts w:ascii="Arial Regular" w:hAnsi="Arial Regular" w:cs="Arial Regular"/>
          <w:sz w:val="20"/>
          <w:szCs w:val="20"/>
        </w:rPr>
      </w:pPr>
    </w:p>
    <w:p>
      <w:pPr>
        <w:rPr>
          <w:rFonts w:ascii="Arial Regular" w:hAnsi="Arial Regular" w:cs="Arial Regular"/>
          <w:sz w:val="20"/>
          <w:szCs w:val="20"/>
        </w:rPr>
      </w:pPr>
    </w:p>
    <w:p>
      <w:pPr>
        <w:rPr>
          <w:rFonts w:ascii="Arial Regular" w:hAnsi="Arial Regular" w:cs="Arial Regular"/>
          <w:sz w:val="20"/>
          <w:szCs w:val="20"/>
        </w:rPr>
      </w:pPr>
    </w:p>
    <w:p>
      <w:pPr>
        <w:rPr>
          <w:rFonts w:ascii="Arial Regular" w:hAnsi="Arial Regular" w:cs="Arial Regular"/>
          <w:sz w:val="20"/>
          <w:szCs w:val="20"/>
        </w:rPr>
      </w:pPr>
    </w:p>
    <w:p>
      <w:pPr>
        <w:rPr>
          <w:rFonts w:ascii="Times New Roman Regular" w:hAnsi="Times New Roman Regular" w:cs="Times New Roman Regular"/>
          <w:sz w:val="20"/>
          <w:szCs w:val="20"/>
        </w:rPr>
      </w:pPr>
    </w:p>
    <w:p>
      <w:pPr>
        <w:rPr>
          <w:rFonts w:ascii="Times New Roman Regular" w:hAnsi="Times New Roman Regular" w:cs="Times New Roman Regular"/>
          <w:sz w:val="20"/>
          <w:szCs w:val="20"/>
        </w:rPr>
      </w:pPr>
      <w:r>
        <w:rPr>
          <w:rFonts w:ascii="Times New Roman Regular" w:hAnsi="Times New Roman Regular" w:cs="Times New Roman Regular"/>
          <w:sz w:val="20"/>
          <w:szCs w:val="20"/>
        </w:rPr>
        <w:t xml:space="preserve">Note: </w:t>
      </w:r>
      <w:r>
        <w:rPr>
          <w:rFonts w:hint="default" w:ascii="Times New Roman Regular" w:hAnsi="Times New Roman Regular" w:cs="Times New Roman Regular"/>
          <w:sz w:val="20"/>
          <w:szCs w:val="20"/>
          <w:vertAlign w:val="superscript"/>
          <w:lang w:val="en-US"/>
        </w:rPr>
        <w:t>1</w:t>
      </w:r>
      <w:r>
        <w:rPr>
          <w:rFonts w:ascii="Times New Roman Regular" w:hAnsi="Times New Roman Regular" w:cs="Times New Roman Regular"/>
          <w:sz w:val="20"/>
          <w:szCs w:val="20"/>
        </w:rPr>
        <w:t xml:space="preserve"> For categorical variables, the Coefficient (β) represent the change in odds expected in each category compared with the reference group.</w:t>
      </w:r>
      <w:r>
        <w:rPr>
          <w:rFonts w:hint="default" w:ascii="Times New Roman Regular" w:hAnsi="Times New Roman Regular" w:cs="Times New Roman Regular"/>
          <w:sz w:val="20"/>
          <w:szCs w:val="20"/>
          <w:vertAlign w:val="superscript"/>
          <w:lang w:val="en-US"/>
        </w:rPr>
        <w:t>2</w:t>
      </w:r>
      <w:r>
        <w:rPr>
          <w:rFonts w:ascii="Times New Roman Regular" w:hAnsi="Times New Roman Regular" w:cs="Times New Roman Regular"/>
          <w:sz w:val="20"/>
          <w:szCs w:val="20"/>
        </w:rPr>
        <w:t xml:space="preserve"> P for trend over years was calculated using the 2016 to 2021years as a continuous variable.**</w:t>
      </w:r>
      <w:r>
        <w:rPr>
          <w:rFonts w:ascii="Times New Roman Regular" w:hAnsi="Times New Roman Regular" w:cs="Times New Roman Regular"/>
          <w:i/>
          <w:iCs/>
          <w:sz w:val="20"/>
          <w:szCs w:val="20"/>
        </w:rPr>
        <w:t>p</w:t>
      </w:r>
      <w:r>
        <w:rPr>
          <w:rFonts w:ascii="Times New Roman Regular" w:hAnsi="Times New Roman Regular" w:cs="Times New Roman Regular"/>
          <w:sz w:val="20"/>
          <w:szCs w:val="20"/>
        </w:rPr>
        <w:t xml:space="preserve"> &lt;</w:t>
      </w:r>
      <w:r>
        <w:rPr>
          <w:rFonts w:hint="eastAsia" w:ascii="Times New Roman Regular" w:hAnsi="Times New Roman Regular" w:cs="Times New Roman Regular"/>
          <w:sz w:val="20"/>
          <w:szCs w:val="20"/>
          <w:lang w:val="en-US" w:eastAsia="zh-CN"/>
        </w:rPr>
        <w:t>0</w:t>
      </w:r>
      <w:r>
        <w:rPr>
          <w:rFonts w:ascii="Times New Roman Regular" w:hAnsi="Times New Roman Regular" w:cs="Times New Roman Regular"/>
          <w:sz w:val="20"/>
          <w:szCs w:val="20"/>
          <w:lang w:val="en-US"/>
        </w:rPr>
        <w:t>.</w:t>
      </w:r>
      <w:r>
        <w:rPr>
          <w:rFonts w:ascii="Times New Roman Regular" w:hAnsi="Times New Roman Regular" w:cs="Times New Roman Regular"/>
          <w:sz w:val="20"/>
          <w:szCs w:val="20"/>
        </w:rPr>
        <w:t>005, **</w:t>
      </w:r>
      <w:r>
        <w:rPr>
          <w:rFonts w:ascii="Times New Roman Regular" w:hAnsi="Times New Roman Regular" w:cs="Times New Roman Regular"/>
          <w:i/>
          <w:iCs/>
          <w:sz w:val="20"/>
          <w:szCs w:val="20"/>
        </w:rPr>
        <w:t>*p</w:t>
      </w:r>
      <w:r>
        <w:rPr>
          <w:rFonts w:ascii="Times New Roman Regular" w:hAnsi="Times New Roman Regular" w:cs="Times New Roman Regular"/>
          <w:sz w:val="20"/>
          <w:szCs w:val="20"/>
        </w:rPr>
        <w:t xml:space="preserve"> &lt;</w:t>
      </w:r>
      <w:r>
        <w:rPr>
          <w:rFonts w:hint="eastAsia" w:ascii="Times New Roman Regular" w:hAnsi="Times New Roman Regular" w:cs="Times New Roman Regular"/>
          <w:sz w:val="20"/>
          <w:szCs w:val="20"/>
          <w:lang w:val="en-US" w:eastAsia="zh-CN"/>
        </w:rPr>
        <w:t>0</w:t>
      </w:r>
      <w:r>
        <w:rPr>
          <w:rFonts w:ascii="Times New Roman Regular" w:hAnsi="Times New Roman Regular" w:cs="Times New Roman Regular"/>
          <w:sz w:val="20"/>
          <w:szCs w:val="20"/>
          <w:lang w:val="en-US"/>
        </w:rPr>
        <w:t>.</w:t>
      </w:r>
      <w:r>
        <w:rPr>
          <w:rFonts w:ascii="Times New Roman Regular" w:hAnsi="Times New Roman Regular" w:cs="Times New Roman Regular"/>
          <w:sz w:val="20"/>
          <w:szCs w:val="20"/>
        </w:rPr>
        <w:t>001.</w:t>
      </w:r>
    </w:p>
    <w:p>
      <w:pPr>
        <w:rPr>
          <w:rFonts w:ascii="Arial Bold" w:hAnsi="Arial Bold" w:cs="Arial Bold"/>
          <w:b/>
        </w:rPr>
      </w:pPr>
      <w:bookmarkStart w:id="138" w:name="_Toc152771550"/>
      <w:bookmarkStart w:id="139" w:name="_Toc2042118123"/>
      <w:bookmarkStart w:id="140" w:name="_Toc1052555101"/>
      <w:bookmarkStart w:id="141" w:name="_Toc193915603"/>
      <w:bookmarkStart w:id="142" w:name="_Toc218695668"/>
      <w:bookmarkStart w:id="143" w:name="_Toc1817596262"/>
      <w:bookmarkStart w:id="144" w:name="_Toc598663516"/>
      <w:bookmarkStart w:id="145" w:name="_Toc624837236"/>
      <w:bookmarkStart w:id="146" w:name="_Toc1990927424"/>
    </w:p>
    <w:p>
      <w:pPr>
        <w:rPr>
          <w:rFonts w:ascii="Arial Bold" w:hAnsi="Arial Bold" w:cs="Arial Bold"/>
          <w:b/>
        </w:rPr>
      </w:pPr>
    </w:p>
    <w:p>
      <w:pPr>
        <w:rPr>
          <w:rFonts w:ascii="Arial Bold" w:hAnsi="Arial Bold" w:cs="Arial Bold"/>
          <w:b/>
        </w:rPr>
      </w:pPr>
    </w:p>
    <w:p>
      <w:pPr>
        <w:pStyle w:val="5"/>
        <w:rPr>
          <w:rFonts w:hint="default" w:asciiTheme="minorHAnsi" w:hAnsiTheme="minorHAnsi" w:cstheme="minorBidi"/>
          <w:b/>
          <w:lang w:val="en-US"/>
        </w:rPr>
      </w:pPr>
      <w:bookmarkStart w:id="147" w:name="_Toc569453246"/>
      <w:bookmarkStart w:id="148" w:name="_Toc482959108"/>
      <w:r>
        <w:rPr>
          <w:rFonts w:asciiTheme="minorHAnsi" w:hAnsiTheme="minorHAnsi" w:cstheme="minorBidi"/>
          <w:b/>
        </w:rPr>
        <w:t>Table</w:t>
      </w:r>
      <w:r>
        <w:rPr>
          <w:rFonts w:hint="default" w:asciiTheme="minorHAnsi" w:hAnsiTheme="minorHAnsi" w:cstheme="minorBidi"/>
          <w:b/>
          <w:lang w:val="en-US"/>
        </w:rPr>
        <w:t xml:space="preserve"> 10. Weighted% (95%CI) crude weighted trends in 24-HMB guidelines youth with anxiety, NSCH 2016-2021</w:t>
      </w:r>
      <w:bookmarkEnd w:id="147"/>
      <w:bookmarkEnd w:id="148"/>
    </w:p>
    <w:bookmarkEnd w:id="134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p>
      <w:pPr>
        <w:spacing w:line="180" w:lineRule="exact"/>
        <w:rPr>
          <w:rFonts w:hint="eastAsia" w:ascii="Arial Regular" w:hAnsi="Arial Regular" w:cs="Arial Regular"/>
          <w:sz w:val="20"/>
          <w:szCs w:val="20"/>
        </w:rPr>
      </w:pPr>
    </w:p>
    <w:tbl>
      <w:tblPr>
        <w:tblStyle w:val="19"/>
        <w:tblpPr w:leftFromText="180" w:rightFromText="180" w:vertAnchor="text" w:horzAnchor="page" w:tblpX="1474" w:tblpY="81"/>
        <w:tblOverlap w:val="never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398"/>
        <w:gridCol w:w="1505"/>
        <w:gridCol w:w="1505"/>
        <w:gridCol w:w="1505"/>
        <w:gridCol w:w="876"/>
        <w:gridCol w:w="1273"/>
        <w:gridCol w:w="1440"/>
        <w:gridCol w:w="1440"/>
        <w:gridCol w:w="1216"/>
      </w:tblGrid>
      <w:tr>
        <w:trPr>
          <w:trHeight w:val="312" w:hRule="atLeast"/>
        </w:trPr>
        <w:tc>
          <w:tcPr>
            <w:tcW w:w="711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spacing w:line="168" w:lineRule="auto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2395" w:type="pct"/>
            <w:gridSpan w:val="5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spacing w:line="168" w:lineRule="auto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Trends in 24-HMB guidelines of anxiety, weighted % (95% CI)  (N=20,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868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1894" w:type="pct"/>
            <w:gridSpan w:val="4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spacing w:line="168" w:lineRule="auto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1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spacing w:line="168" w:lineRule="auto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24-HMB guidelines (Categorical)</w:t>
            </w:r>
          </w:p>
        </w:tc>
        <w:tc>
          <w:tcPr>
            <w:tcW w:w="493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spacing w:line="168" w:lineRule="auto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2016</w:t>
            </w:r>
          </w:p>
        </w:tc>
        <w:tc>
          <w:tcPr>
            <w:tcW w:w="531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spacing w:line="168" w:lineRule="auto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2017</w:t>
            </w:r>
          </w:p>
        </w:tc>
        <w:tc>
          <w:tcPr>
            <w:tcW w:w="531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spacing w:line="168" w:lineRule="auto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2018</w:t>
            </w:r>
          </w:p>
        </w:tc>
        <w:tc>
          <w:tcPr>
            <w:tcW w:w="531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spacing w:line="168" w:lineRule="auto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2019</w:t>
            </w:r>
          </w:p>
        </w:tc>
        <w:tc>
          <w:tcPr>
            <w:tcW w:w="758" w:type="pct"/>
            <w:gridSpan w:val="2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spacing w:line="168" w:lineRule="auto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2020</w:t>
            </w:r>
          </w:p>
        </w:tc>
        <w:tc>
          <w:tcPr>
            <w:tcW w:w="508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spacing w:line="168" w:lineRule="auto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2021</w:t>
            </w:r>
          </w:p>
        </w:tc>
        <w:tc>
          <w:tcPr>
            <w:tcW w:w="508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spacing w:line="168" w:lineRule="auto"/>
              <w:ind w:firstLine="100" w:firstLineChars="50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β</w:t>
            </w:r>
          </w:p>
        </w:tc>
        <w:tc>
          <w:tcPr>
            <w:tcW w:w="429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spacing w:line="168" w:lineRule="auto"/>
              <w:ind w:firstLine="100" w:firstLineChars="50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i/>
                <w:iCs/>
                <w:sz w:val="20"/>
                <w:szCs w:val="20"/>
              </w:rPr>
              <w:t>P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for trend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1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only</w:t>
            </w:r>
          </w:p>
        </w:tc>
        <w:tc>
          <w:tcPr>
            <w:tcW w:w="493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</w:t>
            </w:r>
            <w:r>
              <w:rPr>
                <w:rFonts w:ascii="Arial Regular" w:hAnsi="Arial Regular" w:cs="Arial Regular"/>
                <w:sz w:val="20"/>
                <w:szCs w:val="20"/>
              </w:rPr>
              <w:t>9</w:t>
            </w:r>
          </w:p>
        </w:tc>
        <w:tc>
          <w:tcPr>
            <w:tcW w:w="531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1.8</w:t>
            </w:r>
          </w:p>
        </w:tc>
        <w:tc>
          <w:tcPr>
            <w:tcW w:w="1505" w:type="dxa"/>
            <w:tcBorders>
              <w:top w:val="single" w:color="000000" w:sz="4" w:space="0"/>
              <w:tl2br w:val="nil"/>
              <w:tr2bl w:val="nil"/>
            </w:tcBorders>
            <w:vAlign w:val="top"/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3.7</w:t>
            </w:r>
          </w:p>
        </w:tc>
        <w:tc>
          <w:tcPr>
            <w:tcW w:w="531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7</w:t>
            </w:r>
          </w:p>
        </w:tc>
        <w:tc>
          <w:tcPr>
            <w:tcW w:w="758" w:type="pct"/>
            <w:gridSpan w:val="2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</w:t>
            </w:r>
          </w:p>
        </w:tc>
        <w:tc>
          <w:tcPr>
            <w:tcW w:w="508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1</w:t>
            </w:r>
          </w:p>
        </w:tc>
        <w:tc>
          <w:tcPr>
            <w:tcW w:w="508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1.4</w:t>
            </w:r>
          </w:p>
        </w:tc>
        <w:tc>
          <w:tcPr>
            <w:tcW w:w="429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spacing w:line="180" w:lineRule="exac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1.9-4.6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53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(1.0-3.2)</w:t>
            </w:r>
          </w:p>
        </w:tc>
        <w:tc>
          <w:tcPr>
            <w:tcW w:w="1505" w:type="dxa"/>
            <w:tcBorders>
              <w:tl2br w:val="nil"/>
              <w:tr2bl w:val="nil"/>
            </w:tcBorders>
            <w:vAlign w:val="top"/>
          </w:tcPr>
          <w:p>
            <w:pPr>
              <w:spacing w:line="180" w:lineRule="exact"/>
              <w:rPr>
                <w:rFonts w:hint="default" w:ascii="Arial Regular" w:hAnsi="Arial Regular" w:cs="Arial Regular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(2.6-5.3)</w:t>
            </w:r>
          </w:p>
        </w:tc>
        <w:tc>
          <w:tcPr>
            <w:tcW w:w="53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(1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9-4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758" w:type="pct"/>
            <w:gridSpan w:val="2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(2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.6</w:t>
            </w: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5.0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508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(2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3-4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.2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508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-1.2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.4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29" w:type="pct"/>
            <w:tcBorders>
              <w:tl2br w:val="nil"/>
              <w:tr2bl w:val="nil"/>
            </w:tcBorders>
          </w:tcPr>
          <w:p>
            <w:pPr>
              <w:spacing w:line="180" w:lineRule="exac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SL only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17.9</w:t>
            </w:r>
          </w:p>
        </w:tc>
        <w:tc>
          <w:tcPr>
            <w:tcW w:w="53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15.0</w:t>
            </w:r>
          </w:p>
        </w:tc>
        <w:tc>
          <w:tcPr>
            <w:tcW w:w="1505" w:type="dxa"/>
            <w:tcBorders>
              <w:tl2br w:val="nil"/>
              <w:tr2bl w:val="nil"/>
            </w:tcBorders>
            <w:vAlign w:val="top"/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25.1</w:t>
            </w:r>
          </w:p>
        </w:tc>
        <w:tc>
          <w:tcPr>
            <w:tcW w:w="53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26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</w:t>
            </w:r>
          </w:p>
        </w:tc>
        <w:tc>
          <w:tcPr>
            <w:tcW w:w="758" w:type="pct"/>
            <w:gridSpan w:val="2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3.4</w:t>
            </w:r>
          </w:p>
        </w:tc>
        <w:tc>
          <w:tcPr>
            <w:tcW w:w="508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32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.5</w:t>
            </w:r>
          </w:p>
        </w:tc>
        <w:tc>
          <w:tcPr>
            <w:tcW w:w="508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3.7</w:t>
            </w:r>
          </w:p>
        </w:tc>
        <w:tc>
          <w:tcPr>
            <w:tcW w:w="429" w:type="pct"/>
            <w:tcBorders>
              <w:tl2br w:val="nil"/>
              <w:tr2bl w:val="nil"/>
            </w:tcBorders>
          </w:tcPr>
          <w:p>
            <w:pPr>
              <w:spacing w:line="180" w:lineRule="exac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15.6-20.5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53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(12.2-18.3)</w:t>
            </w:r>
          </w:p>
        </w:tc>
        <w:tc>
          <w:tcPr>
            <w:tcW w:w="1505" w:type="dxa"/>
            <w:tcBorders>
              <w:tl2br w:val="nil"/>
              <w:tr2bl w:val="nil"/>
            </w:tcBorders>
            <w:vAlign w:val="top"/>
          </w:tcPr>
          <w:p>
            <w:pPr>
              <w:spacing w:line="180" w:lineRule="exact"/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(22.4-28.0)</w:t>
            </w:r>
          </w:p>
        </w:tc>
        <w:tc>
          <w:tcPr>
            <w:tcW w:w="53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(23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.6</w:t>
            </w:r>
            <w:r>
              <w:rPr>
                <w:rFonts w:ascii="Arial Regular" w:hAnsi="Arial Regular" w:cs="Arial Regular"/>
                <w:sz w:val="20"/>
                <w:szCs w:val="20"/>
              </w:rPr>
              <w:t>-30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.4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758" w:type="pct"/>
            <w:gridSpan w:val="2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(30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.6</w:t>
            </w:r>
            <w:r>
              <w:rPr>
                <w:rFonts w:ascii="Arial Regular" w:hAnsi="Arial Regular" w:cs="Arial Regular"/>
                <w:sz w:val="20"/>
                <w:szCs w:val="20"/>
              </w:rPr>
              <w:t>-3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6.3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508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(29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.5</w:t>
            </w:r>
            <w:r>
              <w:rPr>
                <w:rFonts w:ascii="Arial Regular" w:hAnsi="Arial Regular" w:cs="Arial Regular"/>
                <w:sz w:val="20"/>
                <w:szCs w:val="20"/>
              </w:rPr>
              <w:t>-35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6)</w:t>
            </w:r>
          </w:p>
        </w:tc>
        <w:tc>
          <w:tcPr>
            <w:tcW w:w="508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3.0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4.4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29" w:type="pct"/>
            <w:tcBorders>
              <w:tl2br w:val="nil"/>
              <w:tr2bl w:val="nil"/>
            </w:tcBorders>
          </w:tcPr>
          <w:p>
            <w:pPr>
              <w:spacing w:line="180" w:lineRule="exac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ST only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7.3</w:t>
            </w:r>
          </w:p>
        </w:tc>
        <w:tc>
          <w:tcPr>
            <w:tcW w:w="53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20.9</w:t>
            </w:r>
          </w:p>
        </w:tc>
        <w:tc>
          <w:tcPr>
            <w:tcW w:w="1505" w:type="dxa"/>
            <w:tcBorders>
              <w:tl2br w:val="nil"/>
              <w:tr2bl w:val="nil"/>
            </w:tcBorders>
            <w:vAlign w:val="top"/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12.3</w:t>
            </w:r>
          </w:p>
        </w:tc>
        <w:tc>
          <w:tcPr>
            <w:tcW w:w="53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13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.5</w:t>
            </w:r>
          </w:p>
        </w:tc>
        <w:tc>
          <w:tcPr>
            <w:tcW w:w="758" w:type="pct"/>
            <w:gridSpan w:val="2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9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.1</w:t>
            </w:r>
          </w:p>
        </w:tc>
        <w:tc>
          <w:tcPr>
            <w:tcW w:w="508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.2</w:t>
            </w:r>
          </w:p>
        </w:tc>
        <w:tc>
          <w:tcPr>
            <w:tcW w:w="508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2.8</w:t>
            </w:r>
          </w:p>
        </w:tc>
        <w:tc>
          <w:tcPr>
            <w:tcW w:w="429" w:type="pct"/>
            <w:tcBorders>
              <w:tl2br w:val="nil"/>
              <w:tr2bl w:val="nil"/>
            </w:tcBorders>
          </w:tcPr>
          <w:p>
            <w:pPr>
              <w:spacing w:line="180" w:lineRule="exac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14.4-20.7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53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(17.0-25.3)</w:t>
            </w:r>
          </w:p>
        </w:tc>
        <w:tc>
          <w:tcPr>
            <w:tcW w:w="1505" w:type="dxa"/>
            <w:tcBorders>
              <w:tl2br w:val="nil"/>
              <w:tr2bl w:val="nil"/>
            </w:tcBorders>
            <w:vAlign w:val="top"/>
          </w:tcPr>
          <w:p>
            <w:pPr>
              <w:spacing w:line="180" w:lineRule="exact"/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(10.2-28.0)</w:t>
            </w:r>
          </w:p>
        </w:tc>
        <w:tc>
          <w:tcPr>
            <w:tcW w:w="53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(11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.1</w:t>
            </w:r>
            <w:r>
              <w:rPr>
                <w:rFonts w:ascii="Arial Regular" w:hAnsi="Arial Regular" w:cs="Arial Regular"/>
                <w:sz w:val="20"/>
                <w:szCs w:val="20"/>
              </w:rPr>
              <w:t>-16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.2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758" w:type="pct"/>
            <w:gridSpan w:val="2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(7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.6</w:t>
            </w:r>
            <w:r>
              <w:rPr>
                <w:rFonts w:ascii="Arial Regular" w:hAnsi="Arial Regular" w:cs="Arial Regular"/>
                <w:sz w:val="20"/>
                <w:szCs w:val="20"/>
              </w:rPr>
              <w:t>-11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.0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508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(8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.7</w:t>
            </w:r>
            <w:r>
              <w:rPr>
                <w:rFonts w:ascii="Arial Regular" w:hAnsi="Arial Regular" w:cs="Arial Regular"/>
                <w:sz w:val="20"/>
                <w:szCs w:val="20"/>
              </w:rPr>
              <w:t>-14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2)</w:t>
            </w:r>
          </w:p>
        </w:tc>
        <w:tc>
          <w:tcPr>
            <w:tcW w:w="508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3.5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-1.1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29" w:type="pct"/>
            <w:tcBorders>
              <w:tl2br w:val="nil"/>
              <w:tr2bl w:val="nil"/>
            </w:tcBorders>
          </w:tcPr>
          <w:p>
            <w:pPr>
              <w:spacing w:line="180" w:lineRule="exac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atLeast"/>
        </w:trPr>
        <w:tc>
          <w:tcPr>
            <w:tcW w:w="71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ST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5.8</w:t>
            </w:r>
          </w:p>
        </w:tc>
        <w:tc>
          <w:tcPr>
            <w:tcW w:w="53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3.4</w:t>
            </w:r>
          </w:p>
        </w:tc>
        <w:tc>
          <w:tcPr>
            <w:tcW w:w="1505" w:type="dxa"/>
            <w:tcBorders>
              <w:tl2br w:val="nil"/>
              <w:tr2bl w:val="nil"/>
            </w:tcBorders>
            <w:vAlign w:val="top"/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4.3</w:t>
            </w:r>
          </w:p>
        </w:tc>
        <w:tc>
          <w:tcPr>
            <w:tcW w:w="53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.2</w:t>
            </w:r>
          </w:p>
        </w:tc>
        <w:tc>
          <w:tcPr>
            <w:tcW w:w="758" w:type="pct"/>
            <w:gridSpan w:val="2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.3</w:t>
            </w:r>
          </w:p>
        </w:tc>
        <w:tc>
          <w:tcPr>
            <w:tcW w:w="508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.0</w:t>
            </w:r>
          </w:p>
        </w:tc>
        <w:tc>
          <w:tcPr>
            <w:tcW w:w="508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.7</w:t>
            </w:r>
          </w:p>
        </w:tc>
        <w:tc>
          <w:tcPr>
            <w:tcW w:w="429" w:type="pct"/>
            <w:tcBorders>
              <w:tl2br w:val="nil"/>
              <w:tr2bl w:val="nil"/>
            </w:tcBorders>
          </w:tcPr>
          <w:p>
            <w:pPr>
              <w:spacing w:line="180" w:lineRule="exac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4.1-8.3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53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(2.3-5.1)</w:t>
            </w:r>
          </w:p>
        </w:tc>
        <w:tc>
          <w:tcPr>
            <w:tcW w:w="1505" w:type="dxa"/>
            <w:tcBorders>
              <w:tl2br w:val="nil"/>
              <w:tr2bl w:val="nil"/>
            </w:tcBorders>
            <w:vAlign w:val="top"/>
          </w:tcPr>
          <w:p>
            <w:pPr>
              <w:spacing w:line="180" w:lineRule="exact"/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(3.1-5.9)</w:t>
            </w:r>
          </w:p>
        </w:tc>
        <w:tc>
          <w:tcPr>
            <w:tcW w:w="53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(2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1-4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.8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758" w:type="pct"/>
            <w:gridSpan w:val="2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6-3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4)</w:t>
            </w:r>
          </w:p>
        </w:tc>
        <w:tc>
          <w:tcPr>
            <w:tcW w:w="508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.4</w:t>
            </w:r>
            <w:r>
              <w:rPr>
                <w:rFonts w:ascii="Arial Regular" w:hAnsi="Arial Regular" w:cs="Arial Regular"/>
                <w:sz w:val="20"/>
                <w:szCs w:val="20"/>
              </w:rPr>
              <w:t>-2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.8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508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1.0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-0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.3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29" w:type="pct"/>
            <w:tcBorders>
              <w:tl2br w:val="nil"/>
              <w:tr2bl w:val="nil"/>
            </w:tcBorders>
          </w:tcPr>
          <w:p>
            <w:pPr>
              <w:spacing w:line="180" w:lineRule="exac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SL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1.5</w:t>
            </w:r>
          </w:p>
        </w:tc>
        <w:tc>
          <w:tcPr>
            <w:tcW w:w="53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2.3</w:t>
            </w:r>
          </w:p>
        </w:tc>
        <w:tc>
          <w:tcPr>
            <w:tcW w:w="1505" w:type="dxa"/>
            <w:tcBorders>
              <w:tl2br w:val="nil"/>
              <w:tr2bl w:val="nil"/>
            </w:tcBorders>
            <w:vAlign w:val="top"/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3.1</w:t>
            </w:r>
          </w:p>
        </w:tc>
        <w:tc>
          <w:tcPr>
            <w:tcW w:w="53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4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6</w:t>
            </w:r>
          </w:p>
        </w:tc>
        <w:tc>
          <w:tcPr>
            <w:tcW w:w="758" w:type="pct"/>
            <w:gridSpan w:val="2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.5</w:t>
            </w:r>
          </w:p>
        </w:tc>
        <w:tc>
          <w:tcPr>
            <w:tcW w:w="508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.7</w:t>
            </w:r>
          </w:p>
        </w:tc>
        <w:tc>
          <w:tcPr>
            <w:tcW w:w="508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4</w:t>
            </w:r>
          </w:p>
        </w:tc>
        <w:tc>
          <w:tcPr>
            <w:tcW w:w="429" w:type="pct"/>
            <w:tcBorders>
              <w:tl2br w:val="nil"/>
              <w:tr2bl w:val="nil"/>
            </w:tcBorders>
          </w:tcPr>
          <w:p>
            <w:pPr>
              <w:spacing w:line="180" w:lineRule="exac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1.1-2.2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53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(1.3-4.1)</w:t>
            </w:r>
          </w:p>
        </w:tc>
        <w:tc>
          <w:tcPr>
            <w:tcW w:w="1505" w:type="dxa"/>
            <w:tcBorders>
              <w:tl2br w:val="nil"/>
              <w:tr2bl w:val="nil"/>
            </w:tcBorders>
            <w:vAlign w:val="top"/>
          </w:tcPr>
          <w:p>
            <w:pPr>
              <w:spacing w:line="180" w:lineRule="exact"/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(2.3-4.1)</w:t>
            </w:r>
          </w:p>
        </w:tc>
        <w:tc>
          <w:tcPr>
            <w:tcW w:w="53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(3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.1</w:t>
            </w:r>
            <w:r>
              <w:rPr>
                <w:rFonts w:ascii="Arial Regular" w:hAnsi="Arial Regular" w:cs="Arial Regular"/>
                <w:sz w:val="20"/>
                <w:szCs w:val="20"/>
              </w:rPr>
              <w:t>-6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7)</w:t>
            </w:r>
          </w:p>
        </w:tc>
        <w:tc>
          <w:tcPr>
            <w:tcW w:w="758" w:type="pct"/>
            <w:gridSpan w:val="2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(2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8-4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4)</w:t>
            </w:r>
          </w:p>
        </w:tc>
        <w:tc>
          <w:tcPr>
            <w:tcW w:w="508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3.0</w:t>
            </w:r>
            <w:r>
              <w:rPr>
                <w:rFonts w:ascii="Arial Regular" w:hAnsi="Arial Regular" w:cs="Arial Regular"/>
                <w:sz w:val="20"/>
                <w:szCs w:val="20"/>
              </w:rPr>
              <w:t>-4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.6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508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</w:t>
            </w:r>
            <w:r>
              <w:rPr>
                <w:rFonts w:ascii="Arial Regular" w:hAnsi="Arial Regular" w:cs="Arial Regular"/>
                <w:sz w:val="20"/>
                <w:szCs w:val="20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.2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.6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29" w:type="pct"/>
            <w:tcBorders>
              <w:tl2br w:val="nil"/>
              <w:tr2bl w:val="nil"/>
            </w:tcBorders>
          </w:tcPr>
          <w:p>
            <w:pPr>
              <w:spacing w:line="180" w:lineRule="exac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SL + ST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9.7</w:t>
            </w:r>
          </w:p>
        </w:tc>
        <w:tc>
          <w:tcPr>
            <w:tcW w:w="53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29.9</w:t>
            </w:r>
          </w:p>
        </w:tc>
        <w:tc>
          <w:tcPr>
            <w:tcW w:w="1505" w:type="dxa"/>
            <w:tcBorders>
              <w:tl2br w:val="nil"/>
              <w:tr2bl w:val="nil"/>
            </w:tcBorders>
            <w:vAlign w:val="top"/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19.2</w:t>
            </w:r>
          </w:p>
        </w:tc>
        <w:tc>
          <w:tcPr>
            <w:tcW w:w="53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18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.3</w:t>
            </w:r>
          </w:p>
        </w:tc>
        <w:tc>
          <w:tcPr>
            <w:tcW w:w="758" w:type="pct"/>
            <w:gridSpan w:val="2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15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.7</w:t>
            </w:r>
          </w:p>
        </w:tc>
        <w:tc>
          <w:tcPr>
            <w:tcW w:w="508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14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.9</w:t>
            </w:r>
          </w:p>
        </w:tc>
        <w:tc>
          <w:tcPr>
            <w:tcW w:w="508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3.3</w:t>
            </w:r>
          </w:p>
        </w:tc>
        <w:tc>
          <w:tcPr>
            <w:tcW w:w="429" w:type="pct"/>
            <w:tcBorders>
              <w:tl2br w:val="nil"/>
              <w:tr2bl w:val="nil"/>
            </w:tcBorders>
          </w:tcPr>
          <w:p>
            <w:pPr>
              <w:spacing w:line="180" w:lineRule="exac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21" w:hRule="atLeast"/>
        </w:trPr>
        <w:tc>
          <w:tcPr>
            <w:tcW w:w="71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26.4-33.3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53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(25.6-34.6)</w:t>
            </w:r>
          </w:p>
        </w:tc>
        <w:tc>
          <w:tcPr>
            <w:tcW w:w="1505" w:type="dxa"/>
            <w:tcBorders>
              <w:tl2br w:val="nil"/>
              <w:tr2bl w:val="nil"/>
            </w:tcBorders>
            <w:vAlign w:val="top"/>
          </w:tcPr>
          <w:p>
            <w:pPr>
              <w:spacing w:line="180" w:lineRule="exact"/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(16.5-22.2)</w:t>
            </w:r>
          </w:p>
        </w:tc>
        <w:tc>
          <w:tcPr>
            <w:tcW w:w="53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(15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8-2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1.0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758" w:type="pct"/>
            <w:gridSpan w:val="2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(13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.4</w:t>
            </w:r>
            <w:r>
              <w:rPr>
                <w:rFonts w:ascii="Arial Regular" w:hAnsi="Arial Regular" w:cs="Arial Regular"/>
                <w:sz w:val="20"/>
                <w:szCs w:val="20"/>
              </w:rPr>
              <w:t>-18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.4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508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2.9</w:t>
            </w:r>
            <w:r>
              <w:rPr>
                <w:rFonts w:ascii="Arial Regular" w:hAnsi="Arial Regular" w:cs="Arial Regular"/>
                <w:sz w:val="20"/>
                <w:szCs w:val="20"/>
              </w:rPr>
              <w:t>-17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1)</w:t>
            </w:r>
          </w:p>
        </w:tc>
        <w:tc>
          <w:tcPr>
            <w:tcW w:w="508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4.0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2.6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29" w:type="pct"/>
            <w:tcBorders>
              <w:tl2br w:val="nil"/>
              <w:tr2bl w:val="nil"/>
            </w:tcBorders>
          </w:tcPr>
          <w:p>
            <w:pPr>
              <w:spacing w:line="180" w:lineRule="exac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ST + SL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7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.9</w:t>
            </w:r>
          </w:p>
        </w:tc>
        <w:tc>
          <w:tcPr>
            <w:tcW w:w="53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6.6</w:t>
            </w:r>
          </w:p>
        </w:tc>
        <w:tc>
          <w:tcPr>
            <w:tcW w:w="1505" w:type="dxa"/>
            <w:tcBorders>
              <w:tl2br w:val="nil"/>
              <w:tr2bl w:val="nil"/>
            </w:tcBorders>
            <w:vAlign w:val="top"/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5.8</w:t>
            </w:r>
          </w:p>
        </w:tc>
        <w:tc>
          <w:tcPr>
            <w:tcW w:w="53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6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.5</w:t>
            </w:r>
          </w:p>
        </w:tc>
        <w:tc>
          <w:tcPr>
            <w:tcW w:w="758" w:type="pct"/>
            <w:gridSpan w:val="2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5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.2</w:t>
            </w:r>
          </w:p>
        </w:tc>
        <w:tc>
          <w:tcPr>
            <w:tcW w:w="508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4.8</w:t>
            </w:r>
          </w:p>
        </w:tc>
        <w:tc>
          <w:tcPr>
            <w:tcW w:w="508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.5</w:t>
            </w:r>
          </w:p>
        </w:tc>
        <w:tc>
          <w:tcPr>
            <w:tcW w:w="429" w:type="pct"/>
            <w:tcBorders>
              <w:tl2br w:val="nil"/>
              <w:tr2bl w:val="nil"/>
            </w:tcBorders>
          </w:tcPr>
          <w:p>
            <w:pPr>
              <w:spacing w:line="180" w:lineRule="exac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6.0-10.5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53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(5.0-8.7)</w:t>
            </w:r>
          </w:p>
        </w:tc>
        <w:tc>
          <w:tcPr>
            <w:tcW w:w="1505" w:type="dxa"/>
            <w:tcBorders>
              <w:tl2br w:val="nil"/>
              <w:tr2bl w:val="nil"/>
            </w:tcBorders>
            <w:vAlign w:val="top"/>
          </w:tcPr>
          <w:p>
            <w:pPr>
              <w:spacing w:line="180" w:lineRule="exact"/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(4.3-7.8)</w:t>
            </w:r>
          </w:p>
        </w:tc>
        <w:tc>
          <w:tcPr>
            <w:tcW w:w="53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(4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8-8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.9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758" w:type="pct"/>
            <w:gridSpan w:val="2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(3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.9</w:t>
            </w:r>
            <w:r>
              <w:rPr>
                <w:rFonts w:ascii="Arial Regular" w:hAnsi="Arial Regular" w:cs="Arial Regular"/>
                <w:sz w:val="20"/>
                <w:szCs w:val="20"/>
              </w:rPr>
              <w:t>-6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.8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508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(3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.9</w:t>
            </w:r>
            <w:r>
              <w:rPr>
                <w:rFonts w:ascii="Arial Regular" w:hAnsi="Arial Regular" w:cs="Arial Regular"/>
                <w:sz w:val="20"/>
                <w:szCs w:val="20"/>
              </w:rPr>
              <w:t>-5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.9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508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0.9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-0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1)</w:t>
            </w:r>
          </w:p>
        </w:tc>
        <w:tc>
          <w:tcPr>
            <w:tcW w:w="429" w:type="pct"/>
            <w:tcBorders>
              <w:tl2br w:val="nil"/>
              <w:tr2bl w:val="nil"/>
            </w:tcBorders>
          </w:tcPr>
          <w:p>
            <w:pPr>
              <w:spacing w:line="180" w:lineRule="exac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None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6.8</w:t>
            </w:r>
          </w:p>
        </w:tc>
        <w:tc>
          <w:tcPr>
            <w:tcW w:w="53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20.0</w:t>
            </w:r>
          </w:p>
        </w:tc>
        <w:tc>
          <w:tcPr>
            <w:tcW w:w="1505" w:type="dxa"/>
            <w:tcBorders>
              <w:tl2br w:val="nil"/>
              <w:tr2bl w:val="nil"/>
            </w:tcBorders>
            <w:vAlign w:val="top"/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26.5</w:t>
            </w:r>
          </w:p>
        </w:tc>
        <w:tc>
          <w:tcPr>
            <w:tcW w:w="531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24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.3</w:t>
            </w:r>
          </w:p>
        </w:tc>
        <w:tc>
          <w:tcPr>
            <w:tcW w:w="758" w:type="pct"/>
            <w:gridSpan w:val="2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27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.1</w:t>
            </w:r>
          </w:p>
        </w:tc>
        <w:tc>
          <w:tcPr>
            <w:tcW w:w="508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27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.8</w:t>
            </w:r>
          </w:p>
        </w:tc>
        <w:tc>
          <w:tcPr>
            <w:tcW w:w="508" w:type="pct"/>
            <w:tcBorders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2.0</w:t>
            </w:r>
          </w:p>
        </w:tc>
        <w:tc>
          <w:tcPr>
            <w:tcW w:w="429" w:type="pct"/>
            <w:tcBorders>
              <w:tl2br w:val="nil"/>
              <w:tr2bl w:val="nil"/>
            </w:tcBorders>
          </w:tcPr>
          <w:p>
            <w:pPr>
              <w:spacing w:line="180" w:lineRule="exac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711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93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4.3</w:t>
            </w: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19.6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531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(16.2-24.5)</w:t>
            </w:r>
          </w:p>
        </w:tc>
        <w:tc>
          <w:tcPr>
            <w:tcW w:w="1505" w:type="dxa"/>
            <w:tcBorders>
              <w:bottom w:val="single" w:color="000000" w:sz="4" w:space="0"/>
              <w:tl2br w:val="nil"/>
              <w:tr2bl w:val="nil"/>
            </w:tcBorders>
            <w:vAlign w:val="top"/>
          </w:tcPr>
          <w:p>
            <w:pPr>
              <w:spacing w:line="180" w:lineRule="exact"/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(23.0-30.2)</w:t>
            </w:r>
          </w:p>
        </w:tc>
        <w:tc>
          <w:tcPr>
            <w:tcW w:w="531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(2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0.7</w:t>
            </w:r>
            <w:r>
              <w:rPr>
                <w:rFonts w:ascii="Arial Regular" w:hAnsi="Arial Regular" w:cs="Arial Regular"/>
                <w:sz w:val="20"/>
                <w:szCs w:val="20"/>
              </w:rPr>
              <w:t>-28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3)</w:t>
            </w:r>
          </w:p>
        </w:tc>
        <w:tc>
          <w:tcPr>
            <w:tcW w:w="758" w:type="pct"/>
            <w:gridSpan w:val="2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(24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.1</w:t>
            </w:r>
            <w:r>
              <w:rPr>
                <w:rFonts w:ascii="Arial Regular" w:hAnsi="Arial Regular" w:cs="Arial Regular"/>
                <w:sz w:val="20"/>
                <w:szCs w:val="20"/>
              </w:rPr>
              <w:t>-30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.4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508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(2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5.0</w:t>
            </w:r>
            <w:r>
              <w:rPr>
                <w:rFonts w:ascii="Arial Regular" w:hAnsi="Arial Regular" w:cs="Arial Regular"/>
                <w:sz w:val="20"/>
                <w:szCs w:val="20"/>
              </w:rPr>
              <w:t>-3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0.9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508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spacing w:line="180" w:lineRule="exac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1.3</w:t>
            </w:r>
            <w:r>
              <w:rPr>
                <w:rFonts w:ascii="Arial Regular" w:hAnsi="Arial Regular" w:cs="Arial Regular"/>
                <w:sz w:val="20"/>
                <w:szCs w:val="20"/>
              </w:rPr>
              <w:t>-2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.8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29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spacing w:line="180" w:lineRule="exac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</w:tbl>
    <w:p>
      <w:pPr>
        <w:spacing w:line="180" w:lineRule="exact"/>
        <w:rPr>
          <w:rFonts w:hint="eastAsia" w:ascii="Arial Regular" w:hAnsi="Arial Regular" w:cs="Arial Regular"/>
          <w:sz w:val="20"/>
          <w:szCs w:val="20"/>
        </w:rPr>
      </w:pPr>
    </w:p>
    <w:p>
      <w:pPr>
        <w:spacing w:line="180" w:lineRule="exact"/>
        <w:rPr>
          <w:rFonts w:hint="eastAsia" w:ascii="Arial Regular" w:hAnsi="Arial Regular" w:cs="Arial Regular"/>
          <w:sz w:val="20"/>
          <w:szCs w:val="20"/>
        </w:rPr>
      </w:pPr>
    </w:p>
    <w:p>
      <w:pPr>
        <w:spacing w:line="240" w:lineRule="auto"/>
        <w:rPr>
          <w:rFonts w:ascii="Times New Roman Regular" w:hAnsi="Times New Roman Regular" w:cs="Times New Roman Regular"/>
          <w:sz w:val="20"/>
          <w:szCs w:val="20"/>
        </w:rPr>
      </w:pPr>
      <w:r>
        <w:rPr>
          <w:rFonts w:ascii="Times New Roman Regular" w:hAnsi="Times New Roman Regular" w:cs="Times New Roman Regular"/>
          <w:sz w:val="20"/>
          <w:szCs w:val="20"/>
        </w:rPr>
        <w:t>Note: The trend was estimated as categorical and continuous guidelines. Weighte</w:t>
      </w:r>
      <w:r>
        <w:rPr>
          <w:rFonts w:hint="default" w:ascii="Times New Roman Regular" w:hAnsi="Times New Roman Regular" w:cs="Times New Roman Regular"/>
          <w:sz w:val="20"/>
          <w:szCs w:val="20"/>
        </w:rPr>
        <w:t>d</w:t>
      </w:r>
      <w:r>
        <w:rPr>
          <w:rFonts w:ascii="Times New Roman Regular" w:hAnsi="Times New Roman Regular" w:cs="Times New Roman Regular"/>
          <w:sz w:val="20"/>
          <w:szCs w:val="20"/>
        </w:rPr>
        <w:t xml:space="preserve"> estimates and 95% CIs were estimated for each year. All estimates were weighted to be nationally representative. The estimate β, 95%CI and</w:t>
      </w:r>
      <w:r>
        <w:rPr>
          <w:rFonts w:ascii="Times New Roman Regular" w:hAnsi="Times New Roman Regular" w:cs="Times New Roman Regular"/>
          <w:i w:val="0"/>
          <w:iCs w:val="0"/>
          <w:sz w:val="20"/>
          <w:szCs w:val="20"/>
        </w:rPr>
        <w:t xml:space="preserve"> P </w:t>
      </w:r>
      <w:r>
        <w:rPr>
          <w:rFonts w:ascii="Times New Roman Regular" w:hAnsi="Times New Roman Regular" w:cs="Times New Roman Regular"/>
          <w:sz w:val="20"/>
          <w:szCs w:val="20"/>
        </w:rPr>
        <w:t>for trend were calculated using linear regression that included the NSCH 6 year as a continuous variable.</w:t>
      </w:r>
    </w:p>
    <w:p>
      <w:pPr>
        <w:spacing w:line="180" w:lineRule="exact"/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spacing w:line="180" w:lineRule="exact"/>
        <w:rPr>
          <w:rFonts w:hint="eastAsia" w:ascii="Arial Regular" w:hAnsi="Arial Regular" w:cs="Arial Regular"/>
          <w:sz w:val="20"/>
          <w:szCs w:val="20"/>
        </w:rPr>
      </w:pPr>
    </w:p>
    <w:p>
      <w:pPr>
        <w:pStyle w:val="5"/>
        <w:rPr>
          <w:rFonts w:hint="default" w:asciiTheme="minorHAnsi" w:hAnsiTheme="minorHAnsi" w:cstheme="minorBidi"/>
          <w:b/>
          <w:lang w:val="en-US"/>
        </w:rPr>
      </w:pPr>
      <w:bookmarkStart w:id="149" w:name="_Toc1613574490"/>
      <w:bookmarkStart w:id="150" w:name="_Toc1753026143"/>
      <w:r>
        <w:rPr>
          <w:rFonts w:asciiTheme="minorHAnsi" w:hAnsiTheme="minorHAnsi" w:cstheme="minorBidi"/>
          <w:b/>
        </w:rPr>
        <w:t>Table</w:t>
      </w:r>
      <w:r>
        <w:rPr>
          <w:rFonts w:hint="default" w:asciiTheme="minorHAnsi" w:hAnsiTheme="minorHAnsi" w:cstheme="minorBidi"/>
          <w:b/>
          <w:lang w:val="en-US"/>
        </w:rPr>
        <w:t xml:space="preserve"> 11. Weighted% (95%CI) crude weighted trends in 24-HMB guidelines youth with depression, NSCH 2016-2021</w:t>
      </w:r>
      <w:bookmarkEnd w:id="149"/>
      <w:bookmarkEnd w:id="150"/>
    </w:p>
    <w:p>
      <w:pPr>
        <w:spacing w:line="180" w:lineRule="exact"/>
        <w:rPr>
          <w:rFonts w:hint="eastAsia" w:ascii="Arial Regular" w:hAnsi="Arial Regular" w:cs="Arial Regular"/>
          <w:sz w:val="20"/>
          <w:szCs w:val="20"/>
        </w:rPr>
      </w:pPr>
    </w:p>
    <w:p>
      <w:pPr>
        <w:spacing w:line="180" w:lineRule="exact"/>
        <w:rPr>
          <w:rFonts w:hint="eastAsia" w:ascii="Arial Regular" w:hAnsi="Arial Regular" w:cs="Arial Regular"/>
          <w:sz w:val="20"/>
          <w:szCs w:val="20"/>
        </w:rPr>
      </w:pPr>
    </w:p>
    <w:tbl>
      <w:tblPr>
        <w:tblStyle w:val="19"/>
        <w:tblpPr w:leftFromText="180" w:rightFromText="180" w:vertAnchor="text" w:horzAnchor="page" w:tblpX="1464" w:tblpY="50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07"/>
        <w:gridCol w:w="1195"/>
        <w:gridCol w:w="1195"/>
        <w:gridCol w:w="1195"/>
        <w:gridCol w:w="1195"/>
        <w:gridCol w:w="1195"/>
        <w:gridCol w:w="1195"/>
        <w:gridCol w:w="1428"/>
        <w:gridCol w:w="12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24" w:hRule="atLeast"/>
        </w:trPr>
        <w:tc>
          <w:tcPr>
            <w:tcW w:w="0" w:type="auto"/>
            <w:gridSpan w:val="9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spacing w:line="160" w:lineRule="atLeas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Trends in 24-HMB guidelines of depression, weighted % (95% CI) (N=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10,206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24-HMB guidelines (Categorical)</w:t>
            </w:r>
          </w:p>
        </w:tc>
        <w:tc>
          <w:tcPr>
            <w:tcW w:w="0" w:type="auto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2016</w:t>
            </w:r>
          </w:p>
        </w:tc>
        <w:tc>
          <w:tcPr>
            <w:tcW w:w="0" w:type="auto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2017</w:t>
            </w:r>
          </w:p>
        </w:tc>
        <w:tc>
          <w:tcPr>
            <w:tcW w:w="0" w:type="auto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2018</w:t>
            </w:r>
          </w:p>
        </w:tc>
        <w:tc>
          <w:tcPr>
            <w:tcW w:w="0" w:type="auto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2019</w:t>
            </w:r>
          </w:p>
        </w:tc>
        <w:tc>
          <w:tcPr>
            <w:tcW w:w="0" w:type="auto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2020</w:t>
            </w:r>
          </w:p>
        </w:tc>
        <w:tc>
          <w:tcPr>
            <w:tcW w:w="0" w:type="auto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2021</w:t>
            </w:r>
          </w:p>
        </w:tc>
        <w:tc>
          <w:tcPr>
            <w:tcW w:w="0" w:type="auto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ind w:firstLine="100" w:firstLineChars="50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β</w:t>
            </w:r>
          </w:p>
        </w:tc>
        <w:tc>
          <w:tcPr>
            <w:tcW w:w="0" w:type="auto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ind w:firstLine="100" w:firstLineChars="50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i/>
                <w:iCs/>
                <w:sz w:val="20"/>
                <w:szCs w:val="20"/>
              </w:rPr>
              <w:t>P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for trend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spacing w:line="18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only</w:t>
            </w:r>
          </w:p>
        </w:tc>
        <w:tc>
          <w:tcPr>
            <w:tcW w:w="0" w:type="auto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spacing w:line="18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4.1</w:t>
            </w:r>
          </w:p>
        </w:tc>
        <w:tc>
          <w:tcPr>
            <w:tcW w:w="0" w:type="auto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spacing w:line="18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3.9</w:t>
            </w:r>
          </w:p>
        </w:tc>
        <w:tc>
          <w:tcPr>
            <w:tcW w:w="0" w:type="auto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spacing w:line="18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2.0</w:t>
            </w:r>
          </w:p>
        </w:tc>
        <w:tc>
          <w:tcPr>
            <w:tcW w:w="0" w:type="auto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spacing w:line="18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3.6</w:t>
            </w:r>
          </w:p>
        </w:tc>
        <w:tc>
          <w:tcPr>
            <w:tcW w:w="0" w:type="auto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spacing w:line="18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6.8</w:t>
            </w:r>
          </w:p>
        </w:tc>
        <w:tc>
          <w:tcPr>
            <w:tcW w:w="0" w:type="auto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spacing w:line="18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3.3</w:t>
            </w:r>
          </w:p>
        </w:tc>
        <w:tc>
          <w:tcPr>
            <w:tcW w:w="0" w:type="auto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spacing w:line="18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1.7</w:t>
            </w:r>
          </w:p>
        </w:tc>
        <w:tc>
          <w:tcPr>
            <w:tcW w:w="0" w:type="auto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spacing w:line="180" w:lineRule="atLeas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18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18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(2.3-7.4)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18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(1.9-7.8)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18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(1.1-3.5)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18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(2.0-6.2)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18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(4.1-11.1)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18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(2.1-5.2)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18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.4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.7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180" w:lineRule="atLeas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SL only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21.0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17.6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28.6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29.5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34.8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34.2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3.3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(17.7-24.7)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(13.9-22.0)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(24.3-33.3)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(24.1-35.6)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(30.9-38.9)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(30.1-38.6)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2.3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4.3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ST only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17.1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17.7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13.9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12.2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8.6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12.1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1.5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(13.8-21.0)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(13.0-23.7)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(9.1-20.7)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(9.2-16.0)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(6.6-11.3)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(8.7-16.7)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2.4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-0.5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ST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6.2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2.7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2.6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3.8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1.6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1.0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.8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(3.6-10.4)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(1.5-4.9)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(1.2-5.8)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(2.0-16.0)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(0.8-3.2)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(0.6-1.8)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.3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-0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.3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SL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2.5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4.9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2.5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3.1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2.5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1.9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.3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3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(1.5-4.3)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(1.0-20.6)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(1.7-3.8)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(1.8-5.2)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(1.6-3.8)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(1.3-2.7)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0.9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.4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SL + ST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23.5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18.3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13.1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16.3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10.7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9.4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2.5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(19.7-27.8)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(14.1-23.4)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(9.9-17.1)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(11.9-22.0)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(7.9-14.4)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(7.7-11.5)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3.3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1.7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ST + SL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4.0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4.7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2.8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3.5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2.8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1.9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.4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(2.8-5.8)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(2.3-9.2)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(1.6-5.1)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(1.8-6.6)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(1.4-5.8)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(1.3-2.7)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0.8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-0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.05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None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21.5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30.2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34.5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28.0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32.2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36.2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.0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200" w:lineRule="atLeas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(17.9-25.8)</w:t>
            </w:r>
          </w:p>
        </w:tc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(24.2-36.9)</w:t>
            </w:r>
          </w:p>
        </w:tc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(29.2-40.2)</w:t>
            </w:r>
          </w:p>
        </w:tc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(1.8-6.6)</w:t>
            </w:r>
          </w:p>
        </w:tc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(27.9-36.8)</w:t>
            </w:r>
          </w:p>
        </w:tc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(31.2-40.9)</w:t>
            </w:r>
          </w:p>
        </w:tc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.9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3.2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</w:tbl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rPr>
          <w:rFonts w:ascii="Times New Roman Regular" w:hAnsi="Times New Roman Regular" w:cs="Times New Roman Regular"/>
          <w:sz w:val="20"/>
          <w:szCs w:val="20"/>
        </w:rPr>
      </w:pPr>
      <w:r>
        <w:rPr>
          <w:rFonts w:ascii="Times New Roman Regular" w:hAnsi="Times New Roman Regular" w:cs="Times New Roman Regular"/>
          <w:sz w:val="20"/>
          <w:szCs w:val="20"/>
        </w:rPr>
        <w:t>Note: The trend was estimated as categorical and continuous guidelines. Weighte</w:t>
      </w:r>
      <w:r>
        <w:rPr>
          <w:rFonts w:hint="default" w:ascii="Times New Roman Regular" w:hAnsi="Times New Roman Regular" w:cs="Times New Roman Regular"/>
          <w:sz w:val="20"/>
          <w:szCs w:val="20"/>
        </w:rPr>
        <w:t>d</w:t>
      </w:r>
      <w:r>
        <w:rPr>
          <w:rFonts w:ascii="Times New Roman Regular" w:hAnsi="Times New Roman Regular" w:cs="Times New Roman Regular"/>
          <w:sz w:val="20"/>
          <w:szCs w:val="20"/>
        </w:rPr>
        <w:t xml:space="preserve"> estimates and 95% CIs were estimated for each year. All estimates were weighted to be nationally representative. The estimate β, 95%CI and</w:t>
      </w:r>
      <w:r>
        <w:rPr>
          <w:rFonts w:ascii="Times New Roman Regular" w:hAnsi="Times New Roman Regular" w:cs="Times New Roman Regular"/>
          <w:i/>
          <w:iCs/>
          <w:sz w:val="20"/>
          <w:szCs w:val="20"/>
        </w:rPr>
        <w:t xml:space="preserve"> P </w:t>
      </w:r>
      <w:r>
        <w:rPr>
          <w:rFonts w:ascii="Times New Roman Regular" w:hAnsi="Times New Roman Regular" w:cs="Times New Roman Regular"/>
          <w:sz w:val="20"/>
          <w:szCs w:val="20"/>
        </w:rPr>
        <w:t>for trend were calculated using linear regression that included the NSCH 6 year as a continuous variable.</w:t>
      </w:r>
    </w:p>
    <w:p>
      <w:pPr>
        <w:pStyle w:val="5"/>
        <w:rPr>
          <w:rFonts w:hint="default" w:asciiTheme="minorHAnsi" w:hAnsiTheme="minorHAnsi" w:cstheme="minorBidi"/>
          <w:b/>
          <w:lang w:val="en-US"/>
        </w:rPr>
      </w:pPr>
      <w:bookmarkStart w:id="151" w:name="_Toc922959114"/>
      <w:bookmarkStart w:id="152" w:name="_Toc1782232208"/>
      <w:r>
        <w:rPr>
          <w:rFonts w:asciiTheme="minorHAnsi" w:hAnsiTheme="minorHAnsi" w:cstheme="minorBidi"/>
          <w:b/>
        </w:rPr>
        <w:t>Table</w:t>
      </w:r>
      <w:r>
        <w:rPr>
          <w:rFonts w:hint="default" w:asciiTheme="minorHAnsi" w:hAnsiTheme="minorHAnsi" w:cstheme="minorBidi"/>
          <w:b/>
          <w:lang w:val="en-US"/>
        </w:rPr>
        <w:t xml:space="preserve"> 12. Weighted% (95%CI) crude weighted trends in 24-HMB guidelines youth with comorbidity of anxiety and depression, NSCH 2016-2021</w:t>
      </w:r>
      <w:bookmarkEnd w:id="151"/>
      <w:bookmarkEnd w:id="152"/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tbl>
      <w:tblPr>
        <w:tblStyle w:val="19"/>
        <w:tblpPr w:leftFromText="180" w:rightFromText="180" w:vertAnchor="text" w:horzAnchor="page" w:tblpX="1394" w:tblpY="20"/>
        <w:tblOverlap w:val="never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4"/>
        <w:gridCol w:w="1307"/>
        <w:gridCol w:w="1381"/>
        <w:gridCol w:w="1310"/>
        <w:gridCol w:w="1310"/>
        <w:gridCol w:w="1310"/>
        <w:gridCol w:w="1310"/>
        <w:gridCol w:w="1485"/>
        <w:gridCol w:w="14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24" w:hRule="atLeast"/>
        </w:trPr>
        <w:tc>
          <w:tcPr>
            <w:tcW w:w="5000" w:type="pct"/>
            <w:gridSpan w:val="9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Trends in 24-HMB guidelines of comorbidity of anxiety and depressio</w:t>
            </w:r>
            <w:r>
              <w:rPr>
                <w:rFonts w:hint="eastAsia" w:ascii="Arial Regular" w:hAnsi="Arial Regular" w:cs="Arial Regular"/>
                <w:sz w:val="20"/>
                <w:szCs w:val="20"/>
              </w:rPr>
              <w:t>n</w:t>
            </w:r>
            <w:r>
              <w:rPr>
                <w:rFonts w:ascii="Arial Regular" w:hAnsi="Arial Regular" w:cs="Arial Regular"/>
                <w:sz w:val="20"/>
                <w:szCs w:val="20"/>
              </w:rPr>
              <w:t>, weighted % (95% CI)  (N=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</w:t>
            </w:r>
            <w:r>
              <w:rPr>
                <w:rFonts w:ascii="Arial Regular" w:hAnsi="Arial Regular" w:cs="Arial Regular"/>
                <w:sz w:val="20"/>
                <w:szCs w:val="20"/>
              </w:rPr>
              <w:t>,0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94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atLeast"/>
        </w:trPr>
        <w:tc>
          <w:tcPr>
            <w:tcW w:w="1180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24-HMB guidelines (Categorical)</w:t>
            </w:r>
          </w:p>
        </w:tc>
        <w:tc>
          <w:tcPr>
            <w:tcW w:w="461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2016</w:t>
            </w:r>
          </w:p>
        </w:tc>
        <w:tc>
          <w:tcPr>
            <w:tcW w:w="487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2017</w:t>
            </w:r>
          </w:p>
        </w:tc>
        <w:tc>
          <w:tcPr>
            <w:tcW w:w="462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2018</w:t>
            </w:r>
          </w:p>
        </w:tc>
        <w:tc>
          <w:tcPr>
            <w:tcW w:w="462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2019</w:t>
            </w:r>
          </w:p>
        </w:tc>
        <w:tc>
          <w:tcPr>
            <w:tcW w:w="462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2020</w:t>
            </w:r>
          </w:p>
        </w:tc>
        <w:tc>
          <w:tcPr>
            <w:tcW w:w="462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2021</w:t>
            </w:r>
          </w:p>
        </w:tc>
        <w:tc>
          <w:tcPr>
            <w:tcW w:w="524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ind w:firstLine="100" w:firstLineChars="50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β</w:t>
            </w:r>
          </w:p>
        </w:tc>
        <w:tc>
          <w:tcPr>
            <w:tcW w:w="497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ind w:firstLine="100" w:firstLineChars="50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i/>
                <w:iCs/>
                <w:sz w:val="20"/>
                <w:szCs w:val="20"/>
              </w:rPr>
              <w:t>P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for trend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80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only</w:t>
            </w:r>
          </w:p>
        </w:tc>
        <w:tc>
          <w:tcPr>
            <w:tcW w:w="461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4.0</w:t>
            </w:r>
          </w:p>
        </w:tc>
        <w:tc>
          <w:tcPr>
            <w:tcW w:w="487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3.5</w:t>
            </w:r>
          </w:p>
        </w:tc>
        <w:tc>
          <w:tcPr>
            <w:tcW w:w="462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2.5</w:t>
            </w:r>
          </w:p>
        </w:tc>
        <w:tc>
          <w:tcPr>
            <w:tcW w:w="462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3.5</w:t>
            </w:r>
          </w:p>
        </w:tc>
        <w:tc>
          <w:tcPr>
            <w:tcW w:w="462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5.9</w:t>
            </w:r>
          </w:p>
        </w:tc>
        <w:tc>
          <w:tcPr>
            <w:tcW w:w="462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3.0</w:t>
            </w:r>
          </w:p>
        </w:tc>
        <w:tc>
          <w:tcPr>
            <w:tcW w:w="524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.1</w:t>
            </w:r>
          </w:p>
        </w:tc>
        <w:tc>
          <w:tcPr>
            <w:tcW w:w="497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80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(1.9-8.4)</w:t>
            </w:r>
          </w:p>
        </w:tc>
        <w:tc>
          <w:tcPr>
            <w:tcW w:w="487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(1.5-7.8)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(1.3-4.5)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(1.9-6.4)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(3.6-9.5)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(1.7-5.1)</w:t>
            </w:r>
          </w:p>
        </w:tc>
        <w:tc>
          <w:tcPr>
            <w:tcW w:w="524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0.5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0.7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97" w:type="pct"/>
            <w:tcBorders>
              <w:tl2br w:val="nil"/>
              <w:tr2bl w:val="nil"/>
            </w:tcBorders>
          </w:tcPr>
          <w:p>
            <w:pPr>
              <w:spacing w:line="200" w:lineRule="atLeas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80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SL only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21.3</w:t>
            </w:r>
          </w:p>
        </w:tc>
        <w:tc>
          <w:tcPr>
            <w:tcW w:w="487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18.6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30.1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30.5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35.2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32.6</w:t>
            </w:r>
          </w:p>
        </w:tc>
        <w:tc>
          <w:tcPr>
            <w:tcW w:w="524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2.8</w:t>
            </w:r>
          </w:p>
        </w:tc>
        <w:tc>
          <w:tcPr>
            <w:tcW w:w="497" w:type="pct"/>
            <w:tcBorders>
              <w:tl2br w:val="nil"/>
              <w:tr2bl w:val="nil"/>
            </w:tcBorders>
          </w:tcPr>
          <w:p>
            <w:pPr>
              <w:spacing w:line="200" w:lineRule="atLeas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80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(17.4-25.8)</w:t>
            </w:r>
          </w:p>
        </w:tc>
        <w:tc>
          <w:tcPr>
            <w:tcW w:w="487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(14.5-23.6)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(25.3-35.4)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(24.4-37.4)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(31.0-39.7)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(28.0-37.6)</w:t>
            </w:r>
          </w:p>
        </w:tc>
        <w:tc>
          <w:tcPr>
            <w:tcW w:w="524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1.7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3.9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97" w:type="pct"/>
            <w:tcBorders>
              <w:tl2br w:val="nil"/>
              <w:tr2bl w:val="nil"/>
            </w:tcBorders>
          </w:tcPr>
          <w:p>
            <w:pPr>
              <w:spacing w:line="200" w:lineRule="atLeas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80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ST only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17.4</w:t>
            </w:r>
          </w:p>
        </w:tc>
        <w:tc>
          <w:tcPr>
            <w:tcW w:w="487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17.5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11.6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12.5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8.7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11.8</w:t>
            </w:r>
          </w:p>
        </w:tc>
        <w:tc>
          <w:tcPr>
            <w:tcW w:w="524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1.4</w:t>
            </w:r>
          </w:p>
        </w:tc>
        <w:tc>
          <w:tcPr>
            <w:tcW w:w="497" w:type="pct"/>
            <w:tcBorders>
              <w:tl2br w:val="nil"/>
              <w:tr2bl w:val="nil"/>
            </w:tcBorders>
          </w:tcPr>
          <w:p>
            <w:pPr>
              <w:spacing w:line="200" w:lineRule="atLeas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.0</w:t>
            </w:r>
            <w:r>
              <w:rPr>
                <w:rFonts w:ascii="Arial Regular" w:hAnsi="Arial Regular" w:cs="Arial Regular"/>
                <w:sz w:val="20"/>
                <w:szCs w:val="2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80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(13.4-22.2)</w:t>
            </w:r>
          </w:p>
        </w:tc>
        <w:tc>
          <w:tcPr>
            <w:tcW w:w="487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(13.2-22.9)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(7.9-16.8)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(9.1-17.1)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(6.4-11.8)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(7.9-17.3)</w:t>
            </w:r>
          </w:p>
        </w:tc>
        <w:tc>
          <w:tcPr>
            <w:tcW w:w="524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5 to 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-0.3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97" w:type="pct"/>
            <w:tcBorders>
              <w:tl2br w:val="nil"/>
              <w:tr2bl w:val="nil"/>
            </w:tcBorders>
          </w:tcPr>
          <w:p>
            <w:pPr>
              <w:spacing w:line="200" w:lineRule="atLeas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80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ST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7.4</w:t>
            </w:r>
          </w:p>
        </w:tc>
        <w:tc>
          <w:tcPr>
            <w:tcW w:w="487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3.1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2.0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4.0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2.0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1.0</w:t>
            </w:r>
          </w:p>
        </w:tc>
        <w:tc>
          <w:tcPr>
            <w:tcW w:w="524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.9</w:t>
            </w:r>
          </w:p>
        </w:tc>
        <w:tc>
          <w:tcPr>
            <w:tcW w:w="497" w:type="pct"/>
            <w:tcBorders>
              <w:tl2br w:val="nil"/>
              <w:tr2bl w:val="nil"/>
            </w:tcBorders>
          </w:tcPr>
          <w:p>
            <w:pPr>
              <w:spacing w:line="200" w:lineRule="atLeas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80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(4.1-12.9)</w:t>
            </w:r>
          </w:p>
        </w:tc>
        <w:tc>
          <w:tcPr>
            <w:tcW w:w="487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(1.6-6.1)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(0.8-5.1)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(1.9-8.3)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(1.0-4.1)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(0.5-2.0)</w:t>
            </w:r>
          </w:p>
        </w:tc>
        <w:tc>
          <w:tcPr>
            <w:tcW w:w="524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.5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-0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.3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97" w:type="pct"/>
            <w:tcBorders>
              <w:tl2br w:val="nil"/>
              <w:tr2bl w:val="nil"/>
            </w:tcBorders>
          </w:tcPr>
          <w:p>
            <w:pPr>
              <w:spacing w:line="200" w:lineRule="atLeas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80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SL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1.8</w:t>
            </w:r>
          </w:p>
        </w:tc>
        <w:tc>
          <w:tcPr>
            <w:tcW w:w="487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1.1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2.4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2.8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2.4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2.0</w:t>
            </w:r>
          </w:p>
        </w:tc>
        <w:tc>
          <w:tcPr>
            <w:tcW w:w="524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.1</w:t>
            </w:r>
          </w:p>
        </w:tc>
        <w:tc>
          <w:tcPr>
            <w:tcW w:w="497" w:type="pct"/>
            <w:tcBorders>
              <w:tl2br w:val="nil"/>
              <w:tr2bl w:val="nil"/>
            </w:tcBorders>
          </w:tcPr>
          <w:p>
            <w:pPr>
              <w:spacing w:line="200" w:lineRule="atLeas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80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(0.9-3.5)</w:t>
            </w:r>
          </w:p>
        </w:tc>
        <w:tc>
          <w:tcPr>
            <w:tcW w:w="487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(0.6-2.0)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(1.5-4.0)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(1.6-5.1)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(1.5-3.9)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(1.3-3.1)</w:t>
            </w:r>
          </w:p>
        </w:tc>
        <w:tc>
          <w:tcPr>
            <w:tcW w:w="524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 xml:space="preserve">.1 </w:t>
            </w:r>
            <w:r>
              <w:rPr>
                <w:rFonts w:ascii="Arial Regular" w:hAnsi="Arial Regular" w:cs="Arial Regular"/>
                <w:sz w:val="20"/>
                <w:szCs w:val="20"/>
              </w:rPr>
              <w:t>to 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.4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97" w:type="pct"/>
            <w:tcBorders>
              <w:tl2br w:val="nil"/>
              <w:tr2bl w:val="nil"/>
            </w:tcBorders>
          </w:tcPr>
          <w:p>
            <w:pPr>
              <w:spacing w:line="200" w:lineRule="atLeas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80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SL + ST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22.9</w:t>
            </w:r>
          </w:p>
        </w:tc>
        <w:tc>
          <w:tcPr>
            <w:tcW w:w="487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21.7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14.0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14.3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10.7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9.3</w:t>
            </w:r>
          </w:p>
        </w:tc>
        <w:tc>
          <w:tcPr>
            <w:tcW w:w="524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2.8</w:t>
            </w:r>
          </w:p>
        </w:tc>
        <w:tc>
          <w:tcPr>
            <w:tcW w:w="497" w:type="pct"/>
            <w:tcBorders>
              <w:tl2br w:val="nil"/>
              <w:tr2bl w:val="nil"/>
            </w:tcBorders>
          </w:tcPr>
          <w:p>
            <w:pPr>
              <w:spacing w:line="200" w:lineRule="atLeas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80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(18.5-28.1)</w:t>
            </w:r>
          </w:p>
        </w:tc>
        <w:tc>
          <w:tcPr>
            <w:tcW w:w="487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(16.5-28.0)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(10.2-18.9)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(10.9-18.5)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(8.0-14.3)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(7.4-11.5)</w:t>
            </w:r>
          </w:p>
        </w:tc>
        <w:tc>
          <w:tcPr>
            <w:tcW w:w="524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3.7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-1.9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97" w:type="pct"/>
            <w:tcBorders>
              <w:tl2br w:val="nil"/>
              <w:tr2bl w:val="nil"/>
            </w:tcBorders>
          </w:tcPr>
          <w:p>
            <w:pPr>
              <w:spacing w:line="200" w:lineRule="atLeas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80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ST + SL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3.3</w:t>
            </w:r>
          </w:p>
        </w:tc>
        <w:tc>
          <w:tcPr>
            <w:tcW w:w="487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4.2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14.0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3.6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3.4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2.1</w:t>
            </w:r>
          </w:p>
        </w:tc>
        <w:tc>
          <w:tcPr>
            <w:tcW w:w="524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.2</w:t>
            </w:r>
          </w:p>
        </w:tc>
        <w:tc>
          <w:tcPr>
            <w:tcW w:w="497" w:type="pct"/>
            <w:tcBorders>
              <w:tl2br w:val="nil"/>
              <w:tr2bl w:val="nil"/>
            </w:tcBorders>
          </w:tcPr>
          <w:p>
            <w:pPr>
              <w:spacing w:line="200" w:lineRule="atLeas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2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80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(2.1-5.1)</w:t>
            </w:r>
          </w:p>
        </w:tc>
        <w:tc>
          <w:tcPr>
            <w:tcW w:w="487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(2.2-7.8)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(10.2-18.9)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(1.7-7.3)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(1.5-7.3)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(1.4-3.1)</w:t>
            </w:r>
          </w:p>
        </w:tc>
        <w:tc>
          <w:tcPr>
            <w:tcW w:w="524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.6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.2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97" w:type="pct"/>
            <w:tcBorders>
              <w:tl2br w:val="nil"/>
              <w:tr2bl w:val="nil"/>
            </w:tcBorders>
          </w:tcPr>
          <w:p>
            <w:pPr>
              <w:spacing w:line="200" w:lineRule="atLeas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80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None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22.0</w:t>
            </w:r>
          </w:p>
        </w:tc>
        <w:tc>
          <w:tcPr>
            <w:tcW w:w="487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30.4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2.9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28.7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31.6</w:t>
            </w:r>
          </w:p>
        </w:tc>
        <w:tc>
          <w:tcPr>
            <w:tcW w:w="462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38.2</w:t>
            </w:r>
          </w:p>
        </w:tc>
        <w:tc>
          <w:tcPr>
            <w:tcW w:w="524" w:type="pct"/>
            <w:tcBorders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.3</w:t>
            </w:r>
          </w:p>
        </w:tc>
        <w:tc>
          <w:tcPr>
            <w:tcW w:w="497" w:type="pct"/>
            <w:tcBorders>
              <w:tl2br w:val="nil"/>
              <w:tr2bl w:val="nil"/>
            </w:tcBorders>
          </w:tcPr>
          <w:p>
            <w:pPr>
              <w:spacing w:line="200" w:lineRule="atLeas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80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61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(17.5-27.2)</w:t>
            </w:r>
          </w:p>
        </w:tc>
        <w:tc>
          <w:tcPr>
            <w:tcW w:w="487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(24.4-37.0)</w:t>
            </w:r>
          </w:p>
        </w:tc>
        <w:tc>
          <w:tcPr>
            <w:tcW w:w="462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(1.4-5.6)</w:t>
            </w:r>
          </w:p>
        </w:tc>
        <w:tc>
          <w:tcPr>
            <w:tcW w:w="462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(23.6-34.4)</w:t>
            </w:r>
          </w:p>
        </w:tc>
        <w:tc>
          <w:tcPr>
            <w:tcW w:w="462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(26.8-36.8)</w:t>
            </w:r>
          </w:p>
        </w:tc>
        <w:tc>
          <w:tcPr>
            <w:tcW w:w="462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(32.9-43.8)</w:t>
            </w:r>
          </w:p>
        </w:tc>
        <w:tc>
          <w:tcPr>
            <w:tcW w:w="524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1.0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3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.6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97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spacing w:line="200" w:lineRule="atLeast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</w:tbl>
    <w:p>
      <w:pPr>
        <w:jc w:val="left"/>
        <w:rPr>
          <w:rFonts w:hint="default" w:ascii="Times New Roman Regular" w:hAnsi="Times New Roman Regular" w:cs="Times New Roman Regular"/>
        </w:rPr>
      </w:pPr>
    </w:p>
    <w:p>
      <w:pPr>
        <w:rPr>
          <w:rFonts w:ascii="Times New Roman Regular" w:hAnsi="Times New Roman Regular" w:cs="Times New Roman Regular"/>
          <w:sz w:val="20"/>
          <w:szCs w:val="20"/>
        </w:rPr>
      </w:pPr>
      <w:r>
        <w:rPr>
          <w:rFonts w:ascii="Times New Roman Regular" w:hAnsi="Times New Roman Regular" w:cs="Times New Roman Regular"/>
          <w:sz w:val="20"/>
          <w:szCs w:val="20"/>
        </w:rPr>
        <w:t>Note: The trend was estimated as categorical and continuous guidelines</w:t>
      </w:r>
      <w:r>
        <w:rPr>
          <w:rFonts w:ascii="Times New Roman Regular" w:hAnsi="Times New Roman Regular" w:cs="Times New Roman Regular"/>
          <w:sz w:val="20"/>
          <w:szCs w:val="20"/>
          <w:lang w:val="en-US"/>
        </w:rPr>
        <w:t>.</w:t>
      </w:r>
      <w:r>
        <w:rPr>
          <w:rFonts w:ascii="Times New Roman Regular" w:hAnsi="Times New Roman Regular" w:cs="Times New Roman Regular"/>
          <w:sz w:val="20"/>
          <w:szCs w:val="20"/>
        </w:rPr>
        <w:t xml:space="preserve"> Weighted estimates and 95% CIs were estimated for each year. All estimates were weighted to be nationally representative. The estimate β, 95%CI and</w:t>
      </w:r>
      <w:r>
        <w:rPr>
          <w:rFonts w:ascii="Times New Roman Regular" w:hAnsi="Times New Roman Regular" w:cs="Times New Roman Regular"/>
          <w:i/>
          <w:iCs/>
          <w:sz w:val="20"/>
          <w:szCs w:val="20"/>
        </w:rPr>
        <w:t xml:space="preserve"> P </w:t>
      </w:r>
      <w:r>
        <w:rPr>
          <w:rFonts w:ascii="Times New Roman Regular" w:hAnsi="Times New Roman Regular" w:cs="Times New Roman Regular"/>
          <w:sz w:val="20"/>
          <w:szCs w:val="20"/>
        </w:rPr>
        <w:t>for trend were calculated using linear regression that included the NSCH 6 year as a continuous variable.</w:t>
      </w:r>
    </w:p>
    <w:p>
      <w:pPr>
        <w:rPr>
          <w:rFonts w:ascii="Times New Roman Regular" w:hAnsi="Times New Roman Regular" w:cs="Times New Roman Regular"/>
          <w:sz w:val="20"/>
          <w:szCs w:val="20"/>
        </w:rPr>
      </w:pPr>
    </w:p>
    <w:p>
      <w:pPr>
        <w:pStyle w:val="5"/>
        <w:rPr>
          <w:rFonts w:hint="default" w:asciiTheme="minorHAnsi" w:hAnsiTheme="minorHAnsi" w:cstheme="minorBidi"/>
          <w:b/>
          <w:lang w:val="en-US"/>
        </w:rPr>
      </w:pPr>
      <w:bookmarkStart w:id="153" w:name="_Toc899446717"/>
      <w:bookmarkStart w:id="154" w:name="_Toc874811500"/>
      <w:r>
        <w:rPr>
          <w:rFonts w:asciiTheme="minorHAnsi" w:hAnsiTheme="minorHAnsi" w:cstheme="minorBidi"/>
          <w:b/>
        </w:rPr>
        <w:t>Table</w:t>
      </w:r>
      <w:r>
        <w:rPr>
          <w:rFonts w:hint="default" w:asciiTheme="minorHAnsi" w:hAnsiTheme="minorHAnsi" w:cstheme="minorBidi"/>
          <w:b/>
          <w:lang w:val="en-US"/>
        </w:rPr>
        <w:t xml:space="preserve"> 13. Weighted% (95%CI) crude weighted trends in 24-HMB guidelines youth with ASD, NSCH 2016-2021</w:t>
      </w:r>
      <w:bookmarkEnd w:id="153"/>
      <w:bookmarkEnd w:id="154"/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tbl>
      <w:tblPr>
        <w:tblStyle w:val="19"/>
        <w:tblpPr w:leftFromText="180" w:rightFromText="180" w:vertAnchor="text" w:horzAnchor="page" w:tblpX="1474" w:tblpY="11"/>
        <w:tblOverlap w:val="never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9"/>
        <w:gridCol w:w="1326"/>
        <w:gridCol w:w="1327"/>
        <w:gridCol w:w="1327"/>
        <w:gridCol w:w="1327"/>
        <w:gridCol w:w="1327"/>
        <w:gridCol w:w="1327"/>
        <w:gridCol w:w="1398"/>
        <w:gridCol w:w="14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24" w:hRule="atLeast"/>
        </w:trPr>
        <w:tc>
          <w:tcPr>
            <w:tcW w:w="5000" w:type="pct"/>
            <w:gridSpan w:val="9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Trends in 24-HMB guidelines of ASD, weighted % (95% CI) (N=4,94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atLeast"/>
        </w:trPr>
        <w:tc>
          <w:tcPr>
            <w:tcW w:w="1196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24-HMB guidelines (Categorical)</w:t>
            </w:r>
          </w:p>
        </w:tc>
        <w:tc>
          <w:tcPr>
            <w:tcW w:w="468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2016</w:t>
            </w:r>
          </w:p>
        </w:tc>
        <w:tc>
          <w:tcPr>
            <w:tcW w:w="468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2017</w:t>
            </w:r>
          </w:p>
        </w:tc>
        <w:tc>
          <w:tcPr>
            <w:tcW w:w="468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2018</w:t>
            </w:r>
          </w:p>
        </w:tc>
        <w:tc>
          <w:tcPr>
            <w:tcW w:w="468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2019</w:t>
            </w:r>
          </w:p>
        </w:tc>
        <w:tc>
          <w:tcPr>
            <w:tcW w:w="468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2020</w:t>
            </w:r>
          </w:p>
        </w:tc>
        <w:tc>
          <w:tcPr>
            <w:tcW w:w="468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2021</w:t>
            </w:r>
          </w:p>
        </w:tc>
        <w:tc>
          <w:tcPr>
            <w:tcW w:w="493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ind w:firstLine="100" w:firstLineChars="50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β</w:t>
            </w:r>
          </w:p>
        </w:tc>
        <w:tc>
          <w:tcPr>
            <w:tcW w:w="499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ind w:firstLine="100" w:firstLineChars="50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i/>
                <w:iCs/>
                <w:sz w:val="20"/>
                <w:szCs w:val="20"/>
              </w:rPr>
              <w:t>P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for trend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96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only</w:t>
            </w:r>
          </w:p>
        </w:tc>
        <w:tc>
          <w:tcPr>
            <w:tcW w:w="468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2.2</w:t>
            </w:r>
          </w:p>
        </w:tc>
        <w:tc>
          <w:tcPr>
            <w:tcW w:w="468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1.4</w:t>
            </w:r>
          </w:p>
        </w:tc>
        <w:tc>
          <w:tcPr>
            <w:tcW w:w="468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3.1</w:t>
            </w:r>
          </w:p>
        </w:tc>
        <w:tc>
          <w:tcPr>
            <w:tcW w:w="468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3.1</w:t>
            </w:r>
          </w:p>
        </w:tc>
        <w:tc>
          <w:tcPr>
            <w:tcW w:w="468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5.8</w:t>
            </w:r>
          </w:p>
        </w:tc>
        <w:tc>
          <w:tcPr>
            <w:tcW w:w="468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4.1</w:t>
            </w:r>
          </w:p>
        </w:tc>
        <w:tc>
          <w:tcPr>
            <w:tcW w:w="493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.7</w:t>
            </w:r>
          </w:p>
        </w:tc>
        <w:tc>
          <w:tcPr>
            <w:tcW w:w="499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9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(1.2-4.3)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(0.5-3.8)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(1.3-7.1)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(1.3-7.1)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(3.7-9.0)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(2.4-7.1)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0.2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.1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99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9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SL only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13.8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15.6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26.3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24.8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30.4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31.5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3.7</w:t>
            </w:r>
          </w:p>
        </w:tc>
        <w:tc>
          <w:tcPr>
            <w:tcW w:w="499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9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(10.3-18.2)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(10.4-22.8)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(20.5-32.9)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(18.7-32.1)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(25.2-36.1)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(25.0-38.8)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2.3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5.2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99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9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ST only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22.7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23.0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13.0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12.1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13.1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7.6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3.1</w:t>
            </w:r>
          </w:p>
        </w:tc>
        <w:tc>
          <w:tcPr>
            <w:tcW w:w="499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9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(17.1-29.4)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(12.9-37.5)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(8.7-19.1)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(8.4-17.3)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(8.3-20.0)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(5.5-10.4)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(-4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.7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1.5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99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9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ST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5.8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7.0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4.3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2.7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4.1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2.3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.8</w:t>
            </w:r>
          </w:p>
        </w:tc>
        <w:tc>
          <w:tcPr>
            <w:tcW w:w="499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9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(3.5-9.4)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(1.4-28.8)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(2.2-8.2)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(1.4-5.2)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(2.0-8.1)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(1.1-4.7)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(-2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.1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.4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99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9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SL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2.6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2.5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3.5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3.0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4.6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4.4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.4</w:t>
            </w:r>
          </w:p>
        </w:tc>
        <w:tc>
          <w:tcPr>
            <w:tcW w:w="499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9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(1.1-5.8)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(1.2-5.4)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(1.9-6.5)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(1.6-5.3)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(2.9-7.3)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(2.4-8.0)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.1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1.0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99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9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SL + ST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32.9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33.1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17.2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17.2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11.3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18.0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3.9</w:t>
            </w:r>
          </w:p>
        </w:tc>
        <w:tc>
          <w:tcPr>
            <w:tcW w:w="499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9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(27.4-39.0)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(22.7-45.4)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(11.9-24.1)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(13.0-22.5)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(8.1-15.6)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(12.4-25.4)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5.7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2.1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99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9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ST + SL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5.9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5.3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5.6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6.4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5.1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5.1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 w:eastAsiaTheme="minorEastAsia"/>
                <w:sz w:val="20"/>
                <w:szCs w:val="20"/>
                <w:lang w:val="en-US" w:eastAsia="zh-CN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.09</w:t>
            </w:r>
          </w:p>
        </w:tc>
        <w:tc>
          <w:tcPr>
            <w:tcW w:w="499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9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(4.1-8.4)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(3.2-8.5)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(3.4-9.1)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(3.6-11.2)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(3.3-7.8)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(3.4-7.6)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.6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.5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99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9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None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14.1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12.2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27.1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30.7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25.7</w:t>
            </w:r>
          </w:p>
        </w:tc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26.9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3.1</w:t>
            </w:r>
          </w:p>
        </w:tc>
        <w:tc>
          <w:tcPr>
            <w:tcW w:w="499" w:type="pc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96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68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(10.8-18.3)</w:t>
            </w:r>
          </w:p>
        </w:tc>
        <w:tc>
          <w:tcPr>
            <w:tcW w:w="468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(7.6-19.0)</w:t>
            </w:r>
          </w:p>
        </w:tc>
        <w:tc>
          <w:tcPr>
            <w:tcW w:w="468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(20.3-35.0)</w:t>
            </w:r>
          </w:p>
        </w:tc>
        <w:tc>
          <w:tcPr>
            <w:tcW w:w="468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(21.9-41.1)</w:t>
            </w:r>
          </w:p>
        </w:tc>
        <w:tc>
          <w:tcPr>
            <w:tcW w:w="468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(20.9-31.1)</w:t>
            </w:r>
          </w:p>
        </w:tc>
        <w:tc>
          <w:tcPr>
            <w:tcW w:w="468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(21.4-33.2)</w:t>
            </w:r>
          </w:p>
        </w:tc>
        <w:tc>
          <w:tcPr>
            <w:tcW w:w="493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1.8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 xml:space="preserve"> 4.5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99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</w:tbl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  <w:r>
        <w:rPr>
          <w:rFonts w:ascii="Times New Roman Regular" w:hAnsi="Times New Roman Regular" w:cs="Times New Roman Regular"/>
          <w:sz w:val="20"/>
          <w:szCs w:val="20"/>
        </w:rPr>
        <w:t>Note: The trend was estimated as categorical and continuous guidelines. Weighte</w:t>
      </w:r>
      <w:r>
        <w:rPr>
          <w:rFonts w:hint="default" w:ascii="Times New Roman Regular" w:hAnsi="Times New Roman Regular" w:cs="Times New Roman Regular"/>
          <w:sz w:val="20"/>
          <w:szCs w:val="20"/>
        </w:rPr>
        <w:t>d</w:t>
      </w:r>
      <w:r>
        <w:rPr>
          <w:rFonts w:ascii="Times New Roman Regular" w:hAnsi="Times New Roman Regular" w:cs="Times New Roman Regular"/>
          <w:sz w:val="20"/>
          <w:szCs w:val="20"/>
        </w:rPr>
        <w:t xml:space="preserve"> estimates and 95% CIs were estimated for each year. All estimates were weighted to be nationally representative. The estimate β, 95%CI and</w:t>
      </w:r>
      <w:r>
        <w:rPr>
          <w:rFonts w:ascii="Times New Roman Regular" w:hAnsi="Times New Roman Regular" w:cs="Times New Roman Regular"/>
          <w:i/>
          <w:iCs/>
          <w:sz w:val="20"/>
          <w:szCs w:val="20"/>
        </w:rPr>
        <w:t xml:space="preserve"> P </w:t>
      </w:r>
      <w:r>
        <w:rPr>
          <w:rFonts w:ascii="Times New Roman Regular" w:hAnsi="Times New Roman Regular" w:cs="Times New Roman Regular"/>
          <w:sz w:val="20"/>
          <w:szCs w:val="20"/>
        </w:rPr>
        <w:t>for trend were calculated using linear regression that included the NSCH 6 year as a continuous variable.</w:t>
      </w:r>
    </w:p>
    <w:p>
      <w:pPr>
        <w:pStyle w:val="5"/>
        <w:rPr>
          <w:rFonts w:hint="default" w:asciiTheme="minorHAnsi" w:hAnsiTheme="minorHAnsi" w:cstheme="minorBidi"/>
          <w:b/>
          <w:lang w:val="en-US"/>
        </w:rPr>
      </w:pPr>
      <w:bookmarkStart w:id="155" w:name="_Toc863581386"/>
      <w:bookmarkStart w:id="156" w:name="_Toc1283833138"/>
      <w:r>
        <w:rPr>
          <w:rFonts w:asciiTheme="minorHAnsi" w:hAnsiTheme="minorHAnsi" w:cstheme="minorBidi"/>
          <w:b/>
        </w:rPr>
        <w:t>Table</w:t>
      </w:r>
      <w:r>
        <w:rPr>
          <w:rFonts w:hint="default" w:asciiTheme="minorHAnsi" w:hAnsiTheme="minorHAnsi" w:cstheme="minorBidi"/>
          <w:b/>
          <w:lang w:val="en-US"/>
        </w:rPr>
        <w:t xml:space="preserve"> 14. Weighted% (95%CI) crude weighted trends in 24-HMB guidelines youth with ADHD, NSCH 2016-2021</w:t>
      </w:r>
      <w:bookmarkEnd w:id="155"/>
      <w:bookmarkEnd w:id="156"/>
    </w:p>
    <w:p>
      <w:pPr>
        <w:rPr>
          <w:rFonts w:ascii="Times New Roman Regular" w:hAnsi="Times New Roman Regular" w:eastAsia="黑体" w:cs="Times New Roman Regular"/>
          <w:szCs w:val="21"/>
        </w:rPr>
      </w:pPr>
    </w:p>
    <w:tbl>
      <w:tblPr>
        <w:tblStyle w:val="19"/>
        <w:tblpPr w:leftFromText="180" w:rightFromText="180" w:vertAnchor="text" w:horzAnchor="page" w:tblpX="1404" w:tblpY="202"/>
        <w:tblOverlap w:val="never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36"/>
        <w:gridCol w:w="1425"/>
        <w:gridCol w:w="1307"/>
        <w:gridCol w:w="1426"/>
        <w:gridCol w:w="1307"/>
        <w:gridCol w:w="1307"/>
        <w:gridCol w:w="1307"/>
        <w:gridCol w:w="1483"/>
        <w:gridCol w:w="12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24" w:hRule="atLeast"/>
        </w:trPr>
        <w:tc>
          <w:tcPr>
            <w:tcW w:w="5000" w:type="pct"/>
            <w:gridSpan w:val="9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Trends in 24-HMB guidelines of ADHD, weighted % (95% CI) (N=18,740)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atLeast"/>
        </w:trPr>
        <w:tc>
          <w:tcPr>
            <w:tcW w:w="1177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24-HMB guidelines (Categorical)</w:t>
            </w:r>
          </w:p>
        </w:tc>
        <w:tc>
          <w:tcPr>
            <w:tcW w:w="503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2016</w:t>
            </w:r>
          </w:p>
        </w:tc>
        <w:tc>
          <w:tcPr>
            <w:tcW w:w="461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2017</w:t>
            </w:r>
          </w:p>
        </w:tc>
        <w:tc>
          <w:tcPr>
            <w:tcW w:w="503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2018</w:t>
            </w:r>
          </w:p>
        </w:tc>
        <w:tc>
          <w:tcPr>
            <w:tcW w:w="461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2019</w:t>
            </w:r>
          </w:p>
        </w:tc>
        <w:tc>
          <w:tcPr>
            <w:tcW w:w="461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2020</w:t>
            </w:r>
          </w:p>
        </w:tc>
        <w:tc>
          <w:tcPr>
            <w:tcW w:w="461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2021</w:t>
            </w:r>
          </w:p>
        </w:tc>
        <w:tc>
          <w:tcPr>
            <w:tcW w:w="523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ind w:firstLine="100" w:firstLineChars="50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β</w:t>
            </w:r>
          </w:p>
        </w:tc>
        <w:tc>
          <w:tcPr>
            <w:tcW w:w="449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i/>
                <w:iCs/>
                <w:sz w:val="20"/>
                <w:szCs w:val="20"/>
              </w:rPr>
              <w:t>P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for trend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77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only</w:t>
            </w:r>
          </w:p>
        </w:tc>
        <w:tc>
          <w:tcPr>
            <w:tcW w:w="503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3.3</w:t>
            </w:r>
          </w:p>
        </w:tc>
        <w:tc>
          <w:tcPr>
            <w:tcW w:w="461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2.0</w:t>
            </w:r>
          </w:p>
        </w:tc>
        <w:tc>
          <w:tcPr>
            <w:tcW w:w="503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4.0</w:t>
            </w:r>
          </w:p>
        </w:tc>
        <w:tc>
          <w:tcPr>
            <w:tcW w:w="461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4.1</w:t>
            </w:r>
          </w:p>
        </w:tc>
        <w:tc>
          <w:tcPr>
            <w:tcW w:w="461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5.0</w:t>
            </w:r>
          </w:p>
        </w:tc>
        <w:tc>
          <w:tcPr>
            <w:tcW w:w="461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3.8</w:t>
            </w:r>
          </w:p>
        </w:tc>
        <w:tc>
          <w:tcPr>
            <w:tcW w:w="523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.3</w:t>
            </w:r>
          </w:p>
        </w:tc>
        <w:tc>
          <w:tcPr>
            <w:tcW w:w="449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ind w:firstLine="100" w:firstLineChars="50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7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50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(2.2-4.9)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(1.2-3.3)</w:t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(2.9-5.5)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(2.9-5.7)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(3.5-7.1)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(3.0-4.9)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0.03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.06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4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7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SL only</w:t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15.1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10.3</w:t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24.6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23.4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28.0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28.1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</w:t>
            </w:r>
            <w:r>
              <w:rPr>
                <w:rFonts w:ascii="Arial Regular" w:hAnsi="Arial Regular" w:cs="Arial Regular"/>
                <w:sz w:val="20"/>
                <w:szCs w:val="20"/>
              </w:rPr>
              <w:t>3</w:t>
            </w:r>
          </w:p>
        </w:tc>
        <w:tc>
          <w:tcPr>
            <w:tcW w:w="44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7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50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(13.0-17.4)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(8.3-12.8)</w:t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(21.2-28.3)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(20.5-26.7)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(25.4-30.9)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(25.5-30.8)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 xml:space="preserve">2.7 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to 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3.9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4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7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ST only</w:t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20.1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21.1</w:t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13.4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11.5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10.1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12.2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2.1</w:t>
            </w:r>
          </w:p>
        </w:tc>
        <w:tc>
          <w:tcPr>
            <w:tcW w:w="449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7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50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(17.6-22.9)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(17.2-25.7)</w:t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(11.0-16.2)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(9.7-13.6)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(8.4-12.2)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(9.9-14.9)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2.8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1.4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4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7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ST</w:t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6.4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6.3</w:t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5.8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5.0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3.8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2.3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.8</w:t>
            </w:r>
          </w:p>
        </w:tc>
        <w:tc>
          <w:tcPr>
            <w:tcW w:w="44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7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50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(5.1-8.1)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(4.2-9.3)</w:t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(3.9-8.5)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(3.7-6.7)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(2.8-5.1)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(1.7-3.1)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1.2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0.5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4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7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SL</w:t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3.0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2.6</w:t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4.5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5.4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5.2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4.9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.5</w:t>
            </w:r>
          </w:p>
        </w:tc>
        <w:tc>
          <w:tcPr>
            <w:tcW w:w="449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7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50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(2.1-4.4)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(1.7-4.2)</w:t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(3.0-6.7)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(3.9-7.3)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(4.1-6.5)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(3.7-6.6)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 xml:space="preserve">0.2 </w:t>
            </w:r>
            <w:r>
              <w:rPr>
                <w:rFonts w:ascii="Arial Regular" w:hAnsi="Arial Regular" w:cs="Arial Regular"/>
                <w:sz w:val="20"/>
                <w:szCs w:val="20"/>
              </w:rPr>
              <w:t>to 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.8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4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7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SL + ST</w:t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29.1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31.7</w:t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19.4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20.4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14.8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16.9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3.1</w:t>
            </w:r>
          </w:p>
        </w:tc>
        <w:tc>
          <w:tcPr>
            <w:tcW w:w="44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7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50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(26.5-31.7)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(27.1-36.6)</w:t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(16.8-22.4)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(17.5-23.6)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(12.8-17.1)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(14.3-19.8)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3.8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2.4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4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7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ST + SL</w:t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9.1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9.5</w:t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6.5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8.3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5.6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6.9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.6</w:t>
            </w:r>
          </w:p>
        </w:tc>
        <w:tc>
          <w:tcPr>
            <w:tcW w:w="44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7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50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(7.7-10.6)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(7.2-12.5)</w:t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(5.1-8.3)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(6.4-10.6)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(4.3-7.2)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(5.2-9.0)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.2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4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7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None</w:t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13.9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16.4</w:t>
            </w:r>
          </w:p>
        </w:tc>
        <w:tc>
          <w:tcPr>
            <w:tcW w:w="50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21.8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22.0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27.5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24.9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2.5</w:t>
            </w:r>
          </w:p>
        </w:tc>
        <w:tc>
          <w:tcPr>
            <w:tcW w:w="44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77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503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(12.1-16.0)</w:t>
            </w:r>
          </w:p>
        </w:tc>
        <w:tc>
          <w:tcPr>
            <w:tcW w:w="461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(13.5-19.8)</w:t>
            </w:r>
          </w:p>
        </w:tc>
        <w:tc>
          <w:tcPr>
            <w:tcW w:w="503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(18.7-25.2)</w:t>
            </w:r>
          </w:p>
        </w:tc>
        <w:tc>
          <w:tcPr>
            <w:tcW w:w="461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(19.2-25.2)</w:t>
            </w:r>
          </w:p>
        </w:tc>
        <w:tc>
          <w:tcPr>
            <w:tcW w:w="461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(24.5-30.8)</w:t>
            </w:r>
          </w:p>
        </w:tc>
        <w:tc>
          <w:tcPr>
            <w:tcW w:w="461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(22.4-27.6)</w:t>
            </w:r>
          </w:p>
        </w:tc>
        <w:tc>
          <w:tcPr>
            <w:tcW w:w="523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1.9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3.1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49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</w:tbl>
    <w:p>
      <w:pPr>
        <w:rPr>
          <w:rFonts w:ascii="Times New Roman Regular" w:hAnsi="Times New Roman Regular" w:cs="Times New Roman Regular"/>
          <w:sz w:val="20"/>
          <w:szCs w:val="20"/>
        </w:rPr>
      </w:pPr>
    </w:p>
    <w:p>
      <w:pPr>
        <w:rPr>
          <w:rFonts w:ascii="Times New Roman Regular" w:hAnsi="Times New Roman Regular" w:cs="Times New Roman Regular"/>
          <w:sz w:val="20"/>
          <w:szCs w:val="20"/>
        </w:rPr>
      </w:pPr>
      <w:r>
        <w:rPr>
          <w:rFonts w:ascii="Times New Roman Regular" w:hAnsi="Times New Roman Regular" w:cs="Times New Roman Regular"/>
          <w:sz w:val="20"/>
          <w:szCs w:val="20"/>
        </w:rPr>
        <w:t>Note: The trend was estimated as categorical and continuous guidelines. Weighted estimates and 95% CIs were estimated for each year. All estimates were weighted to be nationally representative. The estimate β, 95%CI and</w:t>
      </w:r>
      <w:r>
        <w:rPr>
          <w:rFonts w:ascii="Times New Roman Regular" w:hAnsi="Times New Roman Regular" w:cs="Times New Roman Regular"/>
          <w:i/>
          <w:iCs/>
          <w:sz w:val="20"/>
          <w:szCs w:val="20"/>
        </w:rPr>
        <w:t xml:space="preserve"> P </w:t>
      </w:r>
      <w:r>
        <w:rPr>
          <w:rFonts w:ascii="Times New Roman Regular" w:hAnsi="Times New Roman Regular" w:cs="Times New Roman Regular"/>
          <w:sz w:val="20"/>
          <w:szCs w:val="20"/>
        </w:rPr>
        <w:t>for trend were calculated using linear regression that included the NSCH 6 year as a continuous variable.</w:t>
      </w:r>
    </w:p>
    <w:p>
      <w:pPr>
        <w:rPr>
          <w:rFonts w:ascii="Times New Roman Regular" w:hAnsi="Times New Roman Regular" w:cs="Times New Roman Regular"/>
          <w:sz w:val="20"/>
          <w:szCs w:val="20"/>
        </w:rPr>
      </w:pPr>
    </w:p>
    <w:p>
      <w:pPr>
        <w:pStyle w:val="5"/>
        <w:rPr>
          <w:rFonts w:hint="default" w:asciiTheme="minorHAnsi" w:hAnsiTheme="minorHAnsi" w:cstheme="minorBidi"/>
          <w:b/>
          <w:lang w:val="en-US"/>
        </w:rPr>
      </w:pPr>
      <w:bookmarkStart w:id="157" w:name="_Toc1517868076"/>
      <w:bookmarkStart w:id="158" w:name="_Toc1615348957"/>
      <w:r>
        <w:rPr>
          <w:rFonts w:asciiTheme="minorHAnsi" w:hAnsiTheme="minorHAnsi" w:cstheme="minorBidi"/>
          <w:b/>
        </w:rPr>
        <w:t>Table</w:t>
      </w:r>
      <w:r>
        <w:rPr>
          <w:rFonts w:hint="default" w:asciiTheme="minorHAnsi" w:hAnsiTheme="minorHAnsi" w:cstheme="minorBidi"/>
          <w:b/>
          <w:lang w:val="en-US"/>
        </w:rPr>
        <w:t xml:space="preserve"> 15. Weighted% (95%CI) crude weighted trends in 24-HMB guidelines youth with comorbidity of ASD and ADHD, NSCH 2016-2021</w:t>
      </w:r>
      <w:bookmarkEnd w:id="157"/>
      <w:bookmarkEnd w:id="158"/>
    </w:p>
    <w:p>
      <w:pPr>
        <w:rPr>
          <w:rFonts w:ascii="Times New Roman Regular" w:hAnsi="Times New Roman Regular" w:cs="Times New Roman Regular"/>
          <w:sz w:val="20"/>
          <w:szCs w:val="20"/>
        </w:rPr>
      </w:pPr>
    </w:p>
    <w:tbl>
      <w:tblPr>
        <w:tblStyle w:val="19"/>
        <w:tblpPr w:leftFromText="180" w:rightFromText="180" w:vertAnchor="text" w:horzAnchor="page" w:tblpX="1474" w:tblpY="69"/>
        <w:tblOverlap w:val="never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95"/>
        <w:gridCol w:w="1329"/>
        <w:gridCol w:w="1329"/>
        <w:gridCol w:w="1330"/>
        <w:gridCol w:w="1330"/>
        <w:gridCol w:w="1330"/>
        <w:gridCol w:w="1330"/>
        <w:gridCol w:w="1511"/>
        <w:gridCol w:w="12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24" w:hRule="atLeast"/>
        </w:trPr>
        <w:tc>
          <w:tcPr>
            <w:tcW w:w="5000" w:type="pct"/>
            <w:gridSpan w:val="9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Trends in 24-HMB guidelines of comorbidity of ASD and ADHD, weighted % (95% CI) (N=2,5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98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atLeast"/>
        </w:trPr>
        <w:tc>
          <w:tcPr>
            <w:tcW w:w="1198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24-HMB guidelines (Categorical)</w:t>
            </w:r>
          </w:p>
        </w:tc>
        <w:tc>
          <w:tcPr>
            <w:tcW w:w="469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2016</w:t>
            </w:r>
          </w:p>
        </w:tc>
        <w:tc>
          <w:tcPr>
            <w:tcW w:w="469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2017</w:t>
            </w:r>
          </w:p>
        </w:tc>
        <w:tc>
          <w:tcPr>
            <w:tcW w:w="469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2018</w:t>
            </w:r>
          </w:p>
        </w:tc>
        <w:tc>
          <w:tcPr>
            <w:tcW w:w="469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2019</w:t>
            </w:r>
          </w:p>
        </w:tc>
        <w:tc>
          <w:tcPr>
            <w:tcW w:w="469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2020</w:t>
            </w:r>
          </w:p>
        </w:tc>
        <w:tc>
          <w:tcPr>
            <w:tcW w:w="469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2021</w:t>
            </w:r>
          </w:p>
        </w:tc>
        <w:tc>
          <w:tcPr>
            <w:tcW w:w="533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ind w:firstLine="100" w:firstLineChars="50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β</w:t>
            </w:r>
          </w:p>
        </w:tc>
        <w:tc>
          <w:tcPr>
            <w:tcW w:w="453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i/>
                <w:iCs/>
                <w:sz w:val="20"/>
                <w:szCs w:val="20"/>
              </w:rPr>
              <w:t>P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for trend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98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only</w:t>
            </w:r>
          </w:p>
        </w:tc>
        <w:tc>
          <w:tcPr>
            <w:tcW w:w="469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2.6</w:t>
            </w:r>
          </w:p>
        </w:tc>
        <w:tc>
          <w:tcPr>
            <w:tcW w:w="469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0.9</w:t>
            </w:r>
          </w:p>
        </w:tc>
        <w:tc>
          <w:tcPr>
            <w:tcW w:w="469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1.8</w:t>
            </w:r>
          </w:p>
        </w:tc>
        <w:tc>
          <w:tcPr>
            <w:tcW w:w="469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5.7</w:t>
            </w:r>
          </w:p>
        </w:tc>
        <w:tc>
          <w:tcPr>
            <w:tcW w:w="469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4.2</w:t>
            </w:r>
          </w:p>
        </w:tc>
        <w:tc>
          <w:tcPr>
            <w:tcW w:w="469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4.2</w:t>
            </w:r>
          </w:p>
        </w:tc>
        <w:tc>
          <w:tcPr>
            <w:tcW w:w="533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.6</w:t>
            </w:r>
          </w:p>
        </w:tc>
        <w:tc>
          <w:tcPr>
            <w:tcW w:w="453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9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(1.1-6.1)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(0.2-3.1)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(0.4-6.8)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(2.3-13.2)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(2.0-8.5)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(1.7-10.2)</w:t>
            </w:r>
          </w:p>
        </w:tc>
        <w:tc>
          <w:tcPr>
            <w:tcW w:w="53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7 to 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.4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5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9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SL only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13.1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18.2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26.9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23.3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36.3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28.7</w:t>
            </w:r>
          </w:p>
        </w:tc>
        <w:tc>
          <w:tcPr>
            <w:tcW w:w="533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3.6</w:t>
            </w:r>
          </w:p>
        </w:tc>
        <w:tc>
          <w:tcPr>
            <w:tcW w:w="453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9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(8.5-19.6)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(10.7-29.4)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(19.4-36.0)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(16.3-32.3)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(28.6-44.7)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(22.3-36.1)</w:t>
            </w:r>
          </w:p>
        </w:tc>
        <w:tc>
          <w:tcPr>
            <w:tcW w:w="53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1.8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5.4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5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9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ST only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20.3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23.1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13.8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14.1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13.4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6.4</w:t>
            </w:r>
          </w:p>
        </w:tc>
        <w:tc>
          <w:tcPr>
            <w:tcW w:w="533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2.9</w:t>
            </w:r>
          </w:p>
        </w:tc>
        <w:tc>
          <w:tcPr>
            <w:tcW w:w="453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9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(15.2-26.6)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(12.0-39.8)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(3.6-25.9)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(9.0-21.5)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(8.6-20.4)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(4.2-9.6)</w:t>
            </w:r>
          </w:p>
        </w:tc>
        <w:tc>
          <w:tcPr>
            <w:tcW w:w="53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4.6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-1.2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5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9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ST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6.2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1.9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5.5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3.5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1.1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2.8</w:t>
            </w:r>
          </w:p>
        </w:tc>
        <w:tc>
          <w:tcPr>
            <w:tcW w:w="53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6</w:t>
            </w:r>
          </w:p>
        </w:tc>
        <w:tc>
          <w:tcPr>
            <w:tcW w:w="45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9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(3.3-11.4)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(0.6-5.8)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(2.3-12.7)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(1.4-8.4)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(0.6-2.2)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(1.2-6.4)</w:t>
            </w:r>
          </w:p>
        </w:tc>
        <w:tc>
          <w:tcPr>
            <w:tcW w:w="53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.2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.1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5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9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SL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3.4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2.9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2.0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3.0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5.4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5.8</w:t>
            </w:r>
          </w:p>
        </w:tc>
        <w:tc>
          <w:tcPr>
            <w:tcW w:w="533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.6</w:t>
            </w:r>
          </w:p>
        </w:tc>
        <w:tc>
          <w:tcPr>
            <w:tcW w:w="453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9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(1.1-9.9)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(0.9-8.8)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(1.0-3.9)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(1.2-7.3)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(3.0-9.5)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(2.4-13.0)</w:t>
            </w:r>
          </w:p>
        </w:tc>
        <w:tc>
          <w:tcPr>
            <w:tcW w:w="533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.4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.6</w:t>
            </w:r>
          </w:p>
        </w:tc>
        <w:tc>
          <w:tcPr>
            <w:tcW w:w="45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9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SL + ST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33.8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36.6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14.8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17.0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13.7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19.6</w:t>
            </w:r>
          </w:p>
        </w:tc>
        <w:tc>
          <w:tcPr>
            <w:tcW w:w="533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3.9</w:t>
            </w:r>
          </w:p>
        </w:tc>
        <w:tc>
          <w:tcPr>
            <w:tcW w:w="453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9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(26.6-41.9)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(21.8-54.4)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(10.4-20.7)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(11.2-24.9)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(8.6-21.1)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(11.2-32.1)</w:t>
            </w:r>
          </w:p>
        </w:tc>
        <w:tc>
          <w:tcPr>
            <w:tcW w:w="53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6.6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-1.2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5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9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ST + SL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6.1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5.6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5.1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8.3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3.4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3.7</w:t>
            </w:r>
          </w:p>
        </w:tc>
        <w:tc>
          <w:tcPr>
            <w:tcW w:w="53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4</w:t>
            </w:r>
          </w:p>
        </w:tc>
        <w:tc>
          <w:tcPr>
            <w:tcW w:w="45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9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(3.6-10.3)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(3.0-10.3)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(2.6-9.7)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(3.8-17.3)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(1.8-6.2)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(1.9-6.9)</w:t>
            </w:r>
          </w:p>
        </w:tc>
        <w:tc>
          <w:tcPr>
            <w:tcW w:w="53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2 to 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3)</w:t>
            </w:r>
          </w:p>
        </w:tc>
        <w:tc>
          <w:tcPr>
            <w:tcW w:w="45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98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None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14.4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10.9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30.1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25.0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22.5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28.9</w:t>
            </w:r>
          </w:p>
        </w:tc>
        <w:tc>
          <w:tcPr>
            <w:tcW w:w="533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3.0</w:t>
            </w:r>
          </w:p>
        </w:tc>
        <w:tc>
          <w:tcPr>
            <w:tcW w:w="453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198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69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(10.1-20.2)</w:t>
            </w:r>
          </w:p>
        </w:tc>
        <w:tc>
          <w:tcPr>
            <w:tcW w:w="469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(5.5-20.4)</w:t>
            </w:r>
          </w:p>
        </w:tc>
        <w:tc>
          <w:tcPr>
            <w:tcW w:w="469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(19.6-43.4)</w:t>
            </w:r>
          </w:p>
        </w:tc>
        <w:tc>
          <w:tcPr>
            <w:tcW w:w="469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(17.9-33.8)</w:t>
            </w:r>
          </w:p>
        </w:tc>
        <w:tc>
          <w:tcPr>
            <w:tcW w:w="469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(16.7-29.7)</w:t>
            </w:r>
          </w:p>
        </w:tc>
        <w:tc>
          <w:tcPr>
            <w:tcW w:w="469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(21.3-37.9)</w:t>
            </w:r>
          </w:p>
        </w:tc>
        <w:tc>
          <w:tcPr>
            <w:tcW w:w="533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1.2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4.8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53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</w:tbl>
    <w:p>
      <w:pPr>
        <w:rPr>
          <w:rFonts w:ascii="Times New Roman Regular" w:hAnsi="Times New Roman Regular" w:cs="Times New Roman Regular"/>
          <w:sz w:val="20"/>
          <w:szCs w:val="20"/>
        </w:rPr>
      </w:pPr>
    </w:p>
    <w:p>
      <w:pPr>
        <w:rPr>
          <w:rFonts w:ascii="Times New Roman Regular" w:hAnsi="Times New Roman Regular" w:cs="Times New Roman Regular"/>
          <w:sz w:val="20"/>
          <w:szCs w:val="20"/>
        </w:rPr>
      </w:pPr>
      <w:r>
        <w:rPr>
          <w:rFonts w:ascii="Times New Roman Regular" w:hAnsi="Times New Roman Regular" w:cs="Times New Roman Regular"/>
          <w:sz w:val="20"/>
          <w:szCs w:val="20"/>
        </w:rPr>
        <w:t>Note: The trend was estimated as categorical and continuous guidelines. Weighted estimates and 95% CIs were estimated for each year. All estimates were weighted to be nationally representative. The estimate β, 95%CI and</w:t>
      </w:r>
      <w:r>
        <w:rPr>
          <w:rFonts w:ascii="Times New Roman Regular" w:hAnsi="Times New Roman Regular" w:cs="Times New Roman Regular"/>
          <w:i/>
          <w:iCs/>
          <w:sz w:val="20"/>
          <w:szCs w:val="20"/>
        </w:rPr>
        <w:t xml:space="preserve"> P </w:t>
      </w:r>
      <w:r>
        <w:rPr>
          <w:rFonts w:ascii="Times New Roman Regular" w:hAnsi="Times New Roman Regular" w:cs="Times New Roman Regular"/>
          <w:sz w:val="20"/>
          <w:szCs w:val="20"/>
        </w:rPr>
        <w:t>for trend were calculated using linear regression that included the NSCH 6 year as a continuous variable.</w:t>
      </w:r>
    </w:p>
    <w:p>
      <w:pPr>
        <w:pStyle w:val="5"/>
        <w:rPr>
          <w:rFonts w:hint="default" w:asciiTheme="minorHAnsi" w:hAnsiTheme="minorHAnsi" w:cstheme="minorBidi"/>
          <w:b/>
          <w:lang w:val="en-US"/>
        </w:rPr>
      </w:pPr>
      <w:bookmarkStart w:id="159" w:name="_Toc850510619"/>
      <w:bookmarkStart w:id="160" w:name="_Toc681654925"/>
      <w:r>
        <w:rPr>
          <w:rFonts w:asciiTheme="minorHAnsi" w:hAnsiTheme="minorHAnsi" w:cstheme="minorBidi"/>
          <w:b/>
        </w:rPr>
        <w:t>Table</w:t>
      </w:r>
      <w:r>
        <w:rPr>
          <w:rFonts w:hint="default" w:asciiTheme="minorHAnsi" w:hAnsiTheme="minorHAnsi" w:cstheme="minorBidi"/>
          <w:b/>
          <w:lang w:val="en-US"/>
        </w:rPr>
        <w:t xml:space="preserve"> 16. Weighted% (95%CI) crude weighted trends in 24-HMB guidelines youth with speech disorder, NSCH 2016-2021</w:t>
      </w:r>
      <w:bookmarkEnd w:id="159"/>
      <w:bookmarkEnd w:id="160"/>
    </w:p>
    <w:p/>
    <w:tbl>
      <w:tblPr>
        <w:tblStyle w:val="19"/>
        <w:tblpPr w:leftFromText="180" w:rightFromText="180" w:vertAnchor="text" w:horzAnchor="page" w:tblpX="1436" w:tblpY="156"/>
        <w:tblOverlap w:val="never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1"/>
        <w:gridCol w:w="1340"/>
        <w:gridCol w:w="1341"/>
        <w:gridCol w:w="1341"/>
        <w:gridCol w:w="1341"/>
        <w:gridCol w:w="1341"/>
        <w:gridCol w:w="1341"/>
        <w:gridCol w:w="1398"/>
        <w:gridCol w:w="13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24" w:hRule="atLeast"/>
        </w:trPr>
        <w:tc>
          <w:tcPr>
            <w:tcW w:w="5000" w:type="pct"/>
            <w:gridSpan w:val="9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Trends in 24-HMB guidelines of speech disorder, weighted % (95% CI) (N=11,9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48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atLeast"/>
        </w:trPr>
        <w:tc>
          <w:tcPr>
            <w:tcW w:w="1207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24-HMB guidelines (Categorical)</w:t>
            </w:r>
          </w:p>
        </w:tc>
        <w:tc>
          <w:tcPr>
            <w:tcW w:w="473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2016</w:t>
            </w:r>
          </w:p>
        </w:tc>
        <w:tc>
          <w:tcPr>
            <w:tcW w:w="473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2017</w:t>
            </w:r>
          </w:p>
        </w:tc>
        <w:tc>
          <w:tcPr>
            <w:tcW w:w="473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2018</w:t>
            </w:r>
          </w:p>
        </w:tc>
        <w:tc>
          <w:tcPr>
            <w:tcW w:w="473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2019</w:t>
            </w:r>
          </w:p>
        </w:tc>
        <w:tc>
          <w:tcPr>
            <w:tcW w:w="473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2020</w:t>
            </w:r>
          </w:p>
        </w:tc>
        <w:tc>
          <w:tcPr>
            <w:tcW w:w="473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2021</w:t>
            </w:r>
          </w:p>
        </w:tc>
        <w:tc>
          <w:tcPr>
            <w:tcW w:w="493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ind w:firstLine="100" w:firstLineChars="50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β</w:t>
            </w:r>
          </w:p>
        </w:tc>
        <w:tc>
          <w:tcPr>
            <w:tcW w:w="459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i/>
                <w:iCs/>
                <w:sz w:val="20"/>
                <w:szCs w:val="20"/>
              </w:rPr>
              <w:t>P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for trend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7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only</w:t>
            </w:r>
          </w:p>
        </w:tc>
        <w:tc>
          <w:tcPr>
            <w:tcW w:w="473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1.8</w:t>
            </w:r>
          </w:p>
        </w:tc>
        <w:tc>
          <w:tcPr>
            <w:tcW w:w="473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2.6</w:t>
            </w:r>
          </w:p>
        </w:tc>
        <w:tc>
          <w:tcPr>
            <w:tcW w:w="473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3.5</w:t>
            </w:r>
          </w:p>
        </w:tc>
        <w:tc>
          <w:tcPr>
            <w:tcW w:w="473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3.5</w:t>
            </w:r>
          </w:p>
        </w:tc>
        <w:tc>
          <w:tcPr>
            <w:tcW w:w="473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4.0</w:t>
            </w:r>
          </w:p>
        </w:tc>
        <w:tc>
          <w:tcPr>
            <w:tcW w:w="473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4.1</w:t>
            </w:r>
          </w:p>
        </w:tc>
        <w:tc>
          <w:tcPr>
            <w:tcW w:w="493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.4</w:t>
            </w:r>
          </w:p>
        </w:tc>
        <w:tc>
          <w:tcPr>
            <w:tcW w:w="459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(1.1-2.9)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(1.4-4.6)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(2.2-5.5)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(2.2-5.4)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(2.6-5.9)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(2.9-5.6)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0.1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.7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5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SL only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11.2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9.6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25.0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20.6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27.7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26.6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3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.6</w:t>
            </w:r>
          </w:p>
        </w:tc>
        <w:tc>
          <w:tcPr>
            <w:tcW w:w="459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(8.9-13.9)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(7.1-12.9)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(21.3-29.1)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(17.3-24.3)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(23.9-31.9)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(22.8-30.9)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2.7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4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.4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5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ST only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19.4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20.4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11.7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10.5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11.2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10.3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2.1</w:t>
            </w:r>
          </w:p>
        </w:tc>
        <w:tc>
          <w:tcPr>
            <w:tcW w:w="459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(15.9-23.5)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(14.9-27.3)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(9.1-14.9)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(8.5-13.0)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(8.5-14.6)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(8.1-12.9)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3.0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-1.2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5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ST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6.6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7.6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3.6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3.4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4.0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4.4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.6</w:t>
            </w:r>
          </w:p>
        </w:tc>
        <w:tc>
          <w:tcPr>
            <w:tcW w:w="459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(4.3-10.1)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(3.5-15.6)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(2.3-5.4)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(2.4-4.9)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(2.7-5.9)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(3.2-6.0)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1.3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.1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5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SL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1.9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2.1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3.6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4.7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3.4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5.4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.1</w:t>
            </w:r>
          </w:p>
        </w:tc>
        <w:tc>
          <w:tcPr>
            <w:tcW w:w="459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(1.2-3.1)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(1.1-4.1)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(2.4-5.3)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(2.9-7.5)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(2.5-4.7)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(3.9-7.3)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.3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5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SL + ST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38.7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34.2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22.7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25.9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18.0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24.3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</w:t>
            </w:r>
            <w:r>
              <w:rPr>
                <w:rFonts w:ascii="Arial Regular" w:hAnsi="Arial Regular" w:cs="Arial Regular"/>
                <w:sz w:val="20"/>
                <w:szCs w:val="20"/>
              </w:rPr>
              <w:t>2</w:t>
            </w:r>
          </w:p>
        </w:tc>
        <w:tc>
          <w:tcPr>
            <w:tcW w:w="459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(34.3-43.3)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(28.3-40.5)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(19.0-26.9)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(21.9-30.3)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(14.8-20.8)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(20.4-28.6)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4.3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</w:t>
            </w:r>
            <w:r>
              <w:rPr>
                <w:rFonts w:ascii="Arial Regular" w:hAnsi="Arial Regular" w:cs="Arial Regular"/>
                <w:sz w:val="20"/>
                <w:szCs w:val="20"/>
              </w:rPr>
              <w:t>2)</w:t>
            </w:r>
          </w:p>
        </w:tc>
        <w:tc>
          <w:tcPr>
            <w:tcW w:w="45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ST + SL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11.4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13.5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13.3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11.1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9.4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6.8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.1</w:t>
            </w:r>
          </w:p>
        </w:tc>
        <w:tc>
          <w:tcPr>
            <w:tcW w:w="45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(9.5-13.7)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(10.1-17.9)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(10.6-16.7)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(8.1-15.1)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(6.4-13.6)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(5.4-8.6)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1.7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-0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.5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5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None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9.0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9.9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16.7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20.2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22.6</w:t>
            </w:r>
          </w:p>
        </w:tc>
        <w:tc>
          <w:tcPr>
            <w:tcW w:w="47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18.2</w:t>
            </w:r>
          </w:p>
        </w:tc>
        <w:tc>
          <w:tcPr>
            <w:tcW w:w="493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2.4</w:t>
            </w:r>
          </w:p>
        </w:tc>
        <w:tc>
          <w:tcPr>
            <w:tcW w:w="45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7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73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(7.1-11.3)</w:t>
            </w:r>
          </w:p>
        </w:tc>
        <w:tc>
          <w:tcPr>
            <w:tcW w:w="473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(7.1-13.7)</w:t>
            </w:r>
          </w:p>
        </w:tc>
        <w:tc>
          <w:tcPr>
            <w:tcW w:w="473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(13.3-20.7)</w:t>
            </w:r>
          </w:p>
        </w:tc>
        <w:tc>
          <w:tcPr>
            <w:tcW w:w="473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(16.0-25.3)</w:t>
            </w:r>
          </w:p>
        </w:tc>
        <w:tc>
          <w:tcPr>
            <w:tcW w:w="473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(18.5-27.2)</w:t>
            </w:r>
          </w:p>
        </w:tc>
        <w:tc>
          <w:tcPr>
            <w:tcW w:w="473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(15.4-21.3)</w:t>
            </w:r>
          </w:p>
        </w:tc>
        <w:tc>
          <w:tcPr>
            <w:tcW w:w="493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1.7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3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.1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59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</w:tbl>
    <w:p>
      <w:pPr>
        <w:rPr>
          <w:rFonts w:ascii="Times New Roman Regular" w:hAnsi="Times New Roman Regular" w:cs="Times New Roman Regular"/>
          <w:sz w:val="20"/>
          <w:szCs w:val="20"/>
        </w:rPr>
      </w:pPr>
    </w:p>
    <w:p>
      <w:pPr>
        <w:rPr>
          <w:rFonts w:ascii="Times New Roman Regular" w:hAnsi="Times New Roman Regular" w:cs="Times New Roman Regular"/>
          <w:sz w:val="20"/>
          <w:szCs w:val="20"/>
        </w:rPr>
      </w:pPr>
      <w:r>
        <w:rPr>
          <w:rFonts w:ascii="Times New Roman Regular" w:hAnsi="Times New Roman Regular" w:cs="Times New Roman Regular"/>
          <w:sz w:val="20"/>
          <w:szCs w:val="20"/>
        </w:rPr>
        <w:t>Note: The trend was estimated as categorical and continuous guidelines. Weighte</w:t>
      </w:r>
      <w:r>
        <w:rPr>
          <w:rFonts w:hint="default" w:ascii="Times New Roman Regular" w:hAnsi="Times New Roman Regular" w:cs="Times New Roman Regular"/>
          <w:sz w:val="20"/>
          <w:szCs w:val="20"/>
        </w:rPr>
        <w:t>d</w:t>
      </w:r>
      <w:r>
        <w:rPr>
          <w:rFonts w:ascii="Times New Roman Regular" w:hAnsi="Times New Roman Regular" w:cs="Times New Roman Regular"/>
          <w:sz w:val="20"/>
          <w:szCs w:val="20"/>
        </w:rPr>
        <w:t xml:space="preserve"> estimates and 95% CIs were estimated for each year. All estimates were weighted to be nationally representative. The estimate β, 95%CI and P for trend were calculated using linear regression that included the NSCH 6 year as a continuous variable.</w:t>
      </w:r>
    </w:p>
    <w:p>
      <w:pPr>
        <w:rPr>
          <w:rFonts w:ascii="Times New Roman Regular" w:hAnsi="Times New Roman Regular" w:cs="Times New Roman Regular"/>
          <w:sz w:val="20"/>
          <w:szCs w:val="20"/>
        </w:rPr>
      </w:pPr>
    </w:p>
    <w:p>
      <w:pPr>
        <w:pStyle w:val="5"/>
        <w:rPr>
          <w:rFonts w:hint="default" w:ascii="Times New Roman Regular" w:hAnsi="Times New Roman Regular" w:cs="Times New Roman Regular"/>
          <w:sz w:val="20"/>
          <w:szCs w:val="20"/>
        </w:rPr>
      </w:pPr>
      <w:bookmarkStart w:id="161" w:name="_Toc880819101"/>
      <w:bookmarkStart w:id="162" w:name="_Toc1896551377"/>
      <w:r>
        <w:rPr>
          <w:rFonts w:asciiTheme="minorHAnsi" w:hAnsiTheme="minorHAnsi" w:cstheme="minorBidi"/>
          <w:b/>
        </w:rPr>
        <w:t>Table</w:t>
      </w:r>
      <w:r>
        <w:rPr>
          <w:rFonts w:hint="default" w:asciiTheme="minorHAnsi" w:hAnsiTheme="minorHAnsi" w:cstheme="minorBidi"/>
          <w:b/>
          <w:lang w:val="en-US"/>
        </w:rPr>
        <w:t xml:space="preserve"> 17. Weighted% (95%CI) crude weighted trends in 24-HMB guidelines youth with learning disability, NSCH 2016-2021</w:t>
      </w:r>
      <w:bookmarkEnd w:id="161"/>
      <w:bookmarkEnd w:id="162"/>
    </w:p>
    <w:p>
      <w:pPr>
        <w:rPr>
          <w:rFonts w:ascii="Arial Narrow" w:hAnsi="Arial Narrow" w:cs="Times New Roman Regular"/>
          <w:szCs w:val="21"/>
        </w:rPr>
      </w:pPr>
    </w:p>
    <w:tbl>
      <w:tblPr>
        <w:tblStyle w:val="19"/>
        <w:tblpPr w:leftFromText="180" w:rightFromText="180" w:vertAnchor="text" w:horzAnchor="page" w:tblpX="1577" w:tblpY="60"/>
        <w:tblOverlap w:val="never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4"/>
        <w:gridCol w:w="1329"/>
        <w:gridCol w:w="1329"/>
        <w:gridCol w:w="1329"/>
        <w:gridCol w:w="1330"/>
        <w:gridCol w:w="1330"/>
        <w:gridCol w:w="1330"/>
        <w:gridCol w:w="1466"/>
        <w:gridCol w:w="13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24" w:hRule="atLeast"/>
        </w:trPr>
        <w:tc>
          <w:tcPr>
            <w:tcW w:w="5000" w:type="pct"/>
            <w:gridSpan w:val="9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Trends in 24-HMB guidelines of learning disability, weighted % (95% CI) (N=12,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932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86" w:hRule="atLeast"/>
        </w:trPr>
        <w:tc>
          <w:tcPr>
            <w:tcW w:w="1201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24-HMB guidelines (Categorical)</w:t>
            </w:r>
          </w:p>
        </w:tc>
        <w:tc>
          <w:tcPr>
            <w:tcW w:w="469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2016</w:t>
            </w:r>
          </w:p>
        </w:tc>
        <w:tc>
          <w:tcPr>
            <w:tcW w:w="469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2017</w:t>
            </w:r>
          </w:p>
        </w:tc>
        <w:tc>
          <w:tcPr>
            <w:tcW w:w="469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2018</w:t>
            </w:r>
          </w:p>
        </w:tc>
        <w:tc>
          <w:tcPr>
            <w:tcW w:w="469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2019</w:t>
            </w:r>
          </w:p>
        </w:tc>
        <w:tc>
          <w:tcPr>
            <w:tcW w:w="469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2020</w:t>
            </w:r>
          </w:p>
        </w:tc>
        <w:tc>
          <w:tcPr>
            <w:tcW w:w="469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2021</w:t>
            </w:r>
          </w:p>
        </w:tc>
        <w:tc>
          <w:tcPr>
            <w:tcW w:w="517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ind w:firstLine="100" w:firstLineChars="50"/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β</w:t>
            </w:r>
          </w:p>
        </w:tc>
        <w:tc>
          <w:tcPr>
            <w:tcW w:w="461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i/>
                <w:iCs/>
                <w:sz w:val="20"/>
                <w:szCs w:val="20"/>
              </w:rPr>
              <w:t xml:space="preserve">P </w:t>
            </w:r>
            <w:r>
              <w:rPr>
                <w:rFonts w:ascii="Arial Regular" w:hAnsi="Arial Regular" w:cs="Arial Regular"/>
                <w:sz w:val="20"/>
                <w:szCs w:val="20"/>
              </w:rPr>
              <w:t>for trend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1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only</w:t>
            </w:r>
          </w:p>
        </w:tc>
        <w:tc>
          <w:tcPr>
            <w:tcW w:w="469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2.8</w:t>
            </w:r>
          </w:p>
        </w:tc>
        <w:tc>
          <w:tcPr>
            <w:tcW w:w="469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2.4</w:t>
            </w:r>
          </w:p>
        </w:tc>
        <w:tc>
          <w:tcPr>
            <w:tcW w:w="469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4.2</w:t>
            </w:r>
          </w:p>
        </w:tc>
        <w:tc>
          <w:tcPr>
            <w:tcW w:w="469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4.2</w:t>
            </w:r>
          </w:p>
        </w:tc>
        <w:tc>
          <w:tcPr>
            <w:tcW w:w="469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4.3</w:t>
            </w:r>
          </w:p>
        </w:tc>
        <w:tc>
          <w:tcPr>
            <w:tcW w:w="469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4.6</w:t>
            </w:r>
          </w:p>
        </w:tc>
        <w:tc>
          <w:tcPr>
            <w:tcW w:w="517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.4</w:t>
            </w:r>
          </w:p>
        </w:tc>
        <w:tc>
          <w:tcPr>
            <w:tcW w:w="461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(1.7-4.8)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(1.3-4.2)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(2.4-7.3)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(2.7-6.4)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(2.9-6.2)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(3.4-6.2)</w:t>
            </w:r>
          </w:p>
        </w:tc>
        <w:tc>
          <w:tcPr>
            <w:tcW w:w="51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 xml:space="preserve">0.1 </w:t>
            </w:r>
            <w:r>
              <w:rPr>
                <w:rFonts w:ascii="Arial Regular" w:hAnsi="Arial Regular" w:cs="Arial Regular"/>
                <w:sz w:val="20"/>
                <w:szCs w:val="20"/>
              </w:rPr>
              <w:t>to 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.8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SL only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16.7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12.4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21.6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20.2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28.0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29.8</w:t>
            </w:r>
          </w:p>
        </w:tc>
        <w:tc>
          <w:tcPr>
            <w:tcW w:w="517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3.3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(13.6-20.3)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(9.2-16.5)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(18.3-25.2)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(16.7-24.1)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(24.5-31.8)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(25.6-34.4)</w:t>
            </w:r>
          </w:p>
        </w:tc>
        <w:tc>
          <w:tcPr>
            <w:tcW w:w="51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2.3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</w:t>
            </w:r>
            <w:r>
              <w:rPr>
                <w:rFonts w:ascii="Arial Regular" w:hAnsi="Arial Regular" w:cs="Arial Regular"/>
                <w:sz w:val="20"/>
                <w:szCs w:val="20"/>
              </w:rPr>
              <w:t>2)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ST only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18.5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22.0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16.1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14.1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10.7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9.4</w:t>
            </w:r>
          </w:p>
        </w:tc>
        <w:tc>
          <w:tcPr>
            <w:tcW w:w="517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2.4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(15.7-21.6)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(16.2-29.1)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(13.0-19.7)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(11.1-17.8)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(8.5-13.4)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(7.5-11.7)</w:t>
            </w:r>
          </w:p>
        </w:tc>
        <w:tc>
          <w:tcPr>
            <w:tcW w:w="51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3.2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-1.5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ST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6.8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6.6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3.8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4.6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4.5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3.0</w:t>
            </w:r>
          </w:p>
        </w:tc>
        <w:tc>
          <w:tcPr>
            <w:tcW w:w="517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.7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(4.9-9.3)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(3.0-13.6)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(2.5-5.8)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(3.4-6.4)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(3.1-6.5)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(2.1-4.3)</w:t>
            </w:r>
          </w:p>
        </w:tc>
        <w:tc>
          <w:tcPr>
            <w:tcW w:w="51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.3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-0.1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SL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2.4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3.2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4.8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5.6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4.6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5.3</w:t>
            </w:r>
          </w:p>
        </w:tc>
        <w:tc>
          <w:tcPr>
            <w:tcW w:w="517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.5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(1.4-3.9)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(2.0-5.3)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(3.1-7.3)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(4.0-7.9)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(3.4-6.1)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(3.8-7.2)</w:t>
            </w:r>
          </w:p>
        </w:tc>
        <w:tc>
          <w:tcPr>
            <w:tcW w:w="51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 xml:space="preserve">0.2 </w:t>
            </w:r>
            <w:r>
              <w:rPr>
                <w:rFonts w:ascii="Arial Regular" w:hAnsi="Arial Regular" w:cs="Arial Regular"/>
                <w:sz w:val="20"/>
                <w:szCs w:val="20"/>
              </w:rPr>
              <w:t>to 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.9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SL + ST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31.4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29.0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19.2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20.4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15.1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18.3</w:t>
            </w:r>
          </w:p>
        </w:tc>
        <w:tc>
          <w:tcPr>
            <w:tcW w:w="517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3.0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(27.5-35.6)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(23.7-34.9)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(15.7-23.2)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(17.1-24.3)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(12.5-18.1)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(14.8-22.3)</w:t>
            </w:r>
          </w:p>
        </w:tc>
        <w:tc>
          <w:tcPr>
            <w:tcW w:w="51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3.9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2.0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ST + SL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9.7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9.9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9.9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6.7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6.6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6.4</w:t>
            </w:r>
          </w:p>
        </w:tc>
        <w:tc>
          <w:tcPr>
            <w:tcW w:w="517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8.5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(8.0-11.8)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(7.0-13.9)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(7.6-12.7)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(4.6-9.6)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(4.9-8.9)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(4.7-8.6)</w:t>
            </w:r>
          </w:p>
        </w:tc>
        <w:tc>
          <w:tcPr>
            <w:tcW w:w="51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4 to -0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.3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None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11.8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14.6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20.5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24.2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26.3</w:t>
            </w:r>
          </w:p>
        </w:tc>
        <w:tc>
          <w:tcPr>
            <w:tcW w:w="469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23.2</w:t>
            </w:r>
          </w:p>
        </w:tc>
        <w:tc>
          <w:tcPr>
            <w:tcW w:w="517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2.7</w:t>
            </w:r>
          </w:p>
        </w:tc>
        <w:tc>
          <w:tcPr>
            <w:tcW w:w="461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1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69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(9.8-14.1)</w:t>
            </w:r>
          </w:p>
        </w:tc>
        <w:tc>
          <w:tcPr>
            <w:tcW w:w="469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(11.0-19.0)</w:t>
            </w:r>
          </w:p>
        </w:tc>
        <w:tc>
          <w:tcPr>
            <w:tcW w:w="469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(16.9-24.7)</w:t>
            </w:r>
          </w:p>
        </w:tc>
        <w:tc>
          <w:tcPr>
            <w:tcW w:w="469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(19.3-29.8)</w:t>
            </w:r>
          </w:p>
        </w:tc>
        <w:tc>
          <w:tcPr>
            <w:tcW w:w="469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(22.8-30.0)</w:t>
            </w:r>
          </w:p>
        </w:tc>
        <w:tc>
          <w:tcPr>
            <w:tcW w:w="469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(20.2-26.5)</w:t>
            </w:r>
          </w:p>
        </w:tc>
        <w:tc>
          <w:tcPr>
            <w:tcW w:w="517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1.9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3.4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61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</w:tbl>
    <w:p>
      <w:pPr>
        <w:rPr>
          <w:rFonts w:ascii="Times New Roman Regular" w:hAnsi="Times New Roman Regular" w:cs="Times New Roman Regular"/>
          <w:sz w:val="20"/>
          <w:szCs w:val="20"/>
        </w:rPr>
      </w:pPr>
    </w:p>
    <w:p>
      <w:pPr>
        <w:rPr>
          <w:rFonts w:ascii="Times New Roman Regular" w:hAnsi="Times New Roman Regular" w:cs="Times New Roman Regular"/>
          <w:sz w:val="20"/>
          <w:szCs w:val="20"/>
        </w:rPr>
      </w:pPr>
      <w:r>
        <w:rPr>
          <w:rFonts w:ascii="Times New Roman Regular" w:hAnsi="Times New Roman Regular" w:cs="Times New Roman Regular"/>
          <w:sz w:val="20"/>
          <w:szCs w:val="20"/>
        </w:rPr>
        <w:t>Note: The trend was estimated as categorical and continuous guidelines. Weighted estimates and 95% CIs were estimated for each year. All estimates were weighted to be nationally representative. The estimate β, 95%CI and</w:t>
      </w:r>
      <w:r>
        <w:rPr>
          <w:rFonts w:ascii="Times New Roman Regular" w:hAnsi="Times New Roman Regular" w:cs="Times New Roman Regular"/>
          <w:iCs/>
          <w:sz w:val="20"/>
          <w:szCs w:val="20"/>
        </w:rPr>
        <w:t xml:space="preserve"> P </w:t>
      </w:r>
      <w:r>
        <w:rPr>
          <w:rFonts w:ascii="Times New Roman Regular" w:hAnsi="Times New Roman Regular" w:cs="Times New Roman Regular"/>
          <w:sz w:val="20"/>
          <w:szCs w:val="20"/>
        </w:rPr>
        <w:t>for trend were calculated using linear regression that included the NSCH 6 year as a continuous variable.</w:t>
      </w:r>
    </w:p>
    <w:p>
      <w:pPr>
        <w:rPr>
          <w:rFonts w:ascii="Times New Roman Regular" w:hAnsi="Times New Roman Regular" w:cs="Times New Roman Regular"/>
          <w:sz w:val="20"/>
          <w:szCs w:val="20"/>
        </w:rPr>
      </w:pPr>
    </w:p>
    <w:p>
      <w:pPr>
        <w:pStyle w:val="5"/>
        <w:rPr>
          <w:rFonts w:hint="default" w:asciiTheme="minorHAnsi" w:hAnsiTheme="minorHAnsi" w:cstheme="minorBidi"/>
          <w:b/>
          <w:lang w:val="en-US"/>
        </w:rPr>
      </w:pPr>
      <w:bookmarkStart w:id="163" w:name="_Toc1321851736"/>
      <w:bookmarkStart w:id="164" w:name="_Toc239220818"/>
      <w:r>
        <w:rPr>
          <w:rFonts w:asciiTheme="minorHAnsi" w:hAnsiTheme="minorHAnsi" w:cstheme="minorBidi"/>
          <w:b/>
        </w:rPr>
        <w:t>Table</w:t>
      </w:r>
      <w:r>
        <w:rPr>
          <w:rFonts w:hint="default" w:asciiTheme="minorHAnsi" w:hAnsiTheme="minorHAnsi" w:cstheme="minorBidi"/>
          <w:b/>
          <w:lang w:val="en-US"/>
        </w:rPr>
        <w:t xml:space="preserve"> 18. Weighted% (95%CI) crude weighted trends in 24-HMB guidelines youth with developmental delay, NSCH 2016-2021</w:t>
      </w:r>
      <w:bookmarkEnd w:id="163"/>
      <w:bookmarkEnd w:id="164"/>
    </w:p>
    <w:p>
      <w:pPr>
        <w:rPr>
          <w:rFonts w:hint="eastAsia" w:ascii="Times New Roman Regular" w:hAnsi="Times New Roman Regular" w:cs="Times New Roman Regular"/>
          <w:sz w:val="20"/>
          <w:szCs w:val="20"/>
        </w:rPr>
      </w:pPr>
    </w:p>
    <w:tbl>
      <w:tblPr>
        <w:tblStyle w:val="19"/>
        <w:tblpPr w:leftFromText="180" w:rightFromText="180" w:vertAnchor="text" w:horzAnchor="page" w:tblpX="1484" w:tblpY="207"/>
        <w:tblOverlap w:val="never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7"/>
        <w:gridCol w:w="1332"/>
        <w:gridCol w:w="1332"/>
        <w:gridCol w:w="1332"/>
        <w:gridCol w:w="1332"/>
        <w:gridCol w:w="1332"/>
        <w:gridCol w:w="1332"/>
        <w:gridCol w:w="1467"/>
        <w:gridCol w:w="13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84" w:hRule="atLeast"/>
        </w:trPr>
        <w:tc>
          <w:tcPr>
            <w:tcW w:w="5000" w:type="pct"/>
            <w:gridSpan w:val="9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Trends in 24-HMB guidelines of development delay, weighted % (95% CI) (N=10,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478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4" w:hRule="atLeast"/>
        </w:trPr>
        <w:tc>
          <w:tcPr>
            <w:tcW w:w="1202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24-HMB guidelines (Categorical)</w:t>
            </w:r>
          </w:p>
        </w:tc>
        <w:tc>
          <w:tcPr>
            <w:tcW w:w="470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2016</w:t>
            </w:r>
          </w:p>
        </w:tc>
        <w:tc>
          <w:tcPr>
            <w:tcW w:w="470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2017</w:t>
            </w:r>
          </w:p>
        </w:tc>
        <w:tc>
          <w:tcPr>
            <w:tcW w:w="470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2018</w:t>
            </w:r>
          </w:p>
        </w:tc>
        <w:tc>
          <w:tcPr>
            <w:tcW w:w="470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2019</w:t>
            </w:r>
          </w:p>
        </w:tc>
        <w:tc>
          <w:tcPr>
            <w:tcW w:w="470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2020</w:t>
            </w:r>
          </w:p>
        </w:tc>
        <w:tc>
          <w:tcPr>
            <w:tcW w:w="470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2021</w:t>
            </w:r>
          </w:p>
        </w:tc>
        <w:tc>
          <w:tcPr>
            <w:tcW w:w="517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ind w:firstLine="100" w:firstLineChars="50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β</w:t>
            </w:r>
          </w:p>
        </w:tc>
        <w:tc>
          <w:tcPr>
            <w:tcW w:w="456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i/>
                <w:iCs/>
                <w:sz w:val="20"/>
                <w:szCs w:val="20"/>
              </w:rPr>
              <w:t xml:space="preserve">P </w:t>
            </w:r>
            <w:r>
              <w:rPr>
                <w:rFonts w:ascii="Arial Regular" w:hAnsi="Arial Regular" w:cs="Arial Regular"/>
                <w:sz w:val="20"/>
                <w:szCs w:val="20"/>
              </w:rPr>
              <w:t>for trend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2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only</w:t>
            </w:r>
          </w:p>
        </w:tc>
        <w:tc>
          <w:tcPr>
            <w:tcW w:w="470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1.7</w:t>
            </w:r>
          </w:p>
        </w:tc>
        <w:tc>
          <w:tcPr>
            <w:tcW w:w="470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3.6</w:t>
            </w:r>
          </w:p>
        </w:tc>
        <w:tc>
          <w:tcPr>
            <w:tcW w:w="470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4.2</w:t>
            </w:r>
          </w:p>
        </w:tc>
        <w:tc>
          <w:tcPr>
            <w:tcW w:w="470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3.7</w:t>
            </w:r>
          </w:p>
        </w:tc>
        <w:tc>
          <w:tcPr>
            <w:tcW w:w="470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tabs>
                <w:tab w:val="left" w:pos="417"/>
              </w:tabs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4.9</w:t>
            </w:r>
          </w:p>
        </w:tc>
        <w:tc>
          <w:tcPr>
            <w:tcW w:w="470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4.2</w:t>
            </w:r>
          </w:p>
        </w:tc>
        <w:tc>
          <w:tcPr>
            <w:tcW w:w="517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.4</w:t>
            </w:r>
          </w:p>
        </w:tc>
        <w:tc>
          <w:tcPr>
            <w:tcW w:w="456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2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(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1.0-2.9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(1.6-8.2)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(2.6-6.6)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(2.2-5.9)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(3.3-7.1)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(2.9-6.1)</w:t>
            </w:r>
          </w:p>
        </w:tc>
        <w:tc>
          <w:tcPr>
            <w:tcW w:w="51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0.004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.9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5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 w:eastAsiaTheme="minorEastAsia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2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SL only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14.0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14.4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23.1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20.0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29.4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27.2</w:t>
            </w:r>
          </w:p>
        </w:tc>
        <w:tc>
          <w:tcPr>
            <w:tcW w:w="517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3.1</w:t>
            </w:r>
          </w:p>
        </w:tc>
        <w:tc>
          <w:tcPr>
            <w:tcW w:w="45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2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(11.3-17.2)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(10.6-19.1)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(19.6-27.0)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(16.4-24.1)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(25.3-33.8)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(23.3-31.6)</w:t>
            </w:r>
          </w:p>
        </w:tc>
        <w:tc>
          <w:tcPr>
            <w:tcW w:w="51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2.2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4.0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5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2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ST only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17.9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23.4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14.0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12.6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10.2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10.0</w:t>
            </w:r>
          </w:p>
        </w:tc>
        <w:tc>
          <w:tcPr>
            <w:tcW w:w="517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2.4</w:t>
            </w:r>
          </w:p>
        </w:tc>
        <w:tc>
          <w:tcPr>
            <w:tcW w:w="456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2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(15.3-20.9)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(16.9-31.5)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(10.9-17.9)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(9.8-16.0)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(7.5-13.7)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(7.9-12.6)</w:t>
            </w:r>
          </w:p>
        </w:tc>
        <w:tc>
          <w:tcPr>
            <w:tcW w:w="51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3.3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-1.4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5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2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ST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5.4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3.9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4.1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3.0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3.7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3.4</w:t>
            </w:r>
          </w:p>
        </w:tc>
        <w:tc>
          <w:tcPr>
            <w:tcW w:w="517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.3</w:t>
            </w:r>
          </w:p>
        </w:tc>
        <w:tc>
          <w:tcPr>
            <w:tcW w:w="456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2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(3.9-7.5)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(2.0-7.4)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(2.6-6.5)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(2.0-4.4)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(2.4-5.7)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(2.2-5.2)</w:t>
            </w:r>
          </w:p>
        </w:tc>
        <w:tc>
          <w:tcPr>
            <w:tcW w:w="51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.7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.1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5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2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SL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2.1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3.3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5.6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5.5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5.1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3.2</w:t>
            </w:r>
          </w:p>
        </w:tc>
        <w:tc>
          <w:tcPr>
            <w:tcW w:w="517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.3</w:t>
            </w:r>
          </w:p>
        </w:tc>
        <w:tc>
          <w:tcPr>
            <w:tcW w:w="456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2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(1.2-3.6)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(1.9-5.7)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(3.6-8.6)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(3.8-7.8)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(3.8-6.8)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(2.1-5.0)</w:t>
            </w:r>
          </w:p>
        </w:tc>
        <w:tc>
          <w:tcPr>
            <w:tcW w:w="51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0.07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.6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5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2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SL + ST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36.6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29.9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19.9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22.6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16.2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22.3</w:t>
            </w:r>
          </w:p>
        </w:tc>
        <w:tc>
          <w:tcPr>
            <w:tcW w:w="517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3.0</w:t>
            </w:r>
          </w:p>
        </w:tc>
        <w:tc>
          <w:tcPr>
            <w:tcW w:w="456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2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(32.5-40.9)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(25.1-35.1)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(16.3-24.0)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(19.0-26.7)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(13.2-19.6)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(18.0-27.3)</w:t>
            </w:r>
          </w:p>
        </w:tc>
        <w:tc>
          <w:tcPr>
            <w:tcW w:w="51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4.1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1.9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5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2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ST + SL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11.2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9.5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9.1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7.2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8.2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5.7</w:t>
            </w:r>
          </w:p>
        </w:tc>
        <w:tc>
          <w:tcPr>
            <w:tcW w:w="517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.9</w:t>
            </w:r>
          </w:p>
        </w:tc>
        <w:tc>
          <w:tcPr>
            <w:tcW w:w="456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2" w:hRule="atLeast"/>
        </w:trPr>
        <w:tc>
          <w:tcPr>
            <w:tcW w:w="1202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(9.0-13.7)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(7.0-12.8)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(6.6-12.4)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(4.7-11.0)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(5.1-12.8)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(4.3-7.6)</w:t>
            </w:r>
          </w:p>
        </w:tc>
        <w:tc>
          <w:tcPr>
            <w:tcW w:w="51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.5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-0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.3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56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2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None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11.2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12.1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20.0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25.6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22.4</w:t>
            </w:r>
          </w:p>
        </w:tc>
        <w:tc>
          <w:tcPr>
            <w:tcW w:w="470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23.9</w:t>
            </w:r>
          </w:p>
        </w:tc>
        <w:tc>
          <w:tcPr>
            <w:tcW w:w="517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2.8</w:t>
            </w:r>
          </w:p>
        </w:tc>
        <w:tc>
          <w:tcPr>
            <w:tcW w:w="456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1202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70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(8.9-13.9)</w:t>
            </w:r>
          </w:p>
        </w:tc>
        <w:tc>
          <w:tcPr>
            <w:tcW w:w="470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(8.7-16.4)</w:t>
            </w:r>
          </w:p>
        </w:tc>
        <w:tc>
          <w:tcPr>
            <w:tcW w:w="470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(16.2-24.5)</w:t>
            </w:r>
          </w:p>
        </w:tc>
        <w:tc>
          <w:tcPr>
            <w:tcW w:w="470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(20.0-32.0)</w:t>
            </w:r>
          </w:p>
        </w:tc>
        <w:tc>
          <w:tcPr>
            <w:tcW w:w="470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(19.1-26.1)</w:t>
            </w:r>
          </w:p>
        </w:tc>
        <w:tc>
          <w:tcPr>
            <w:tcW w:w="470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(20.4-27.8)</w:t>
            </w:r>
          </w:p>
        </w:tc>
        <w:tc>
          <w:tcPr>
            <w:tcW w:w="517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 xml:space="preserve">2.0 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to 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3.6)</w:t>
            </w:r>
          </w:p>
        </w:tc>
        <w:tc>
          <w:tcPr>
            <w:tcW w:w="456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</w:tbl>
    <w:p>
      <w:pPr>
        <w:rPr>
          <w:rFonts w:hint="default" w:ascii="Times New Roman Regular" w:hAnsi="Times New Roman Regular" w:cs="Times New Roman Regular"/>
          <w:b/>
          <w:bCs/>
          <w:sz w:val="20"/>
          <w:szCs w:val="20"/>
        </w:rPr>
      </w:pPr>
    </w:p>
    <w:p>
      <w:pPr>
        <w:rPr>
          <w:rFonts w:ascii="Times New Roman Regular" w:hAnsi="Times New Roman Regular" w:cs="Times New Roman Regular"/>
          <w:sz w:val="20"/>
          <w:szCs w:val="20"/>
        </w:rPr>
      </w:pPr>
      <w:r>
        <w:rPr>
          <w:rFonts w:ascii="Times New Roman Regular" w:hAnsi="Times New Roman Regular" w:cs="Times New Roman Regular"/>
          <w:sz w:val="20"/>
          <w:szCs w:val="20"/>
        </w:rPr>
        <w:t>Note: The trend was estimated as categorical and continuous guidelines. Weighte</w:t>
      </w:r>
      <w:r>
        <w:rPr>
          <w:rFonts w:hint="default" w:ascii="Times New Roman Regular" w:hAnsi="Times New Roman Regular" w:cs="Times New Roman Regular"/>
          <w:sz w:val="20"/>
          <w:szCs w:val="20"/>
        </w:rPr>
        <w:t>d</w:t>
      </w:r>
      <w:r>
        <w:rPr>
          <w:rFonts w:ascii="Times New Roman Regular" w:hAnsi="Times New Roman Regular" w:cs="Times New Roman Regular"/>
          <w:sz w:val="20"/>
          <w:szCs w:val="20"/>
        </w:rPr>
        <w:t xml:space="preserve"> estimates and 95% CIs were estimated for each year. All estimates were weighted to be nationally representative. The estimate β, 95%CI and</w:t>
      </w:r>
      <w:r>
        <w:rPr>
          <w:rFonts w:ascii="Times New Roman Regular" w:hAnsi="Times New Roman Regular" w:cs="Times New Roman Regular"/>
          <w:i/>
          <w:iCs/>
          <w:sz w:val="20"/>
          <w:szCs w:val="20"/>
        </w:rPr>
        <w:t xml:space="preserve"> P </w:t>
      </w:r>
      <w:r>
        <w:rPr>
          <w:rFonts w:ascii="Times New Roman Regular" w:hAnsi="Times New Roman Regular" w:cs="Times New Roman Regular"/>
          <w:sz w:val="20"/>
          <w:szCs w:val="20"/>
        </w:rPr>
        <w:t>for trend were calculated using linear regression that included the NSCH 6 year as a continuous variable.</w:t>
      </w:r>
    </w:p>
    <w:p>
      <w:pPr>
        <w:pStyle w:val="5"/>
        <w:rPr>
          <w:rFonts w:hint="default" w:asciiTheme="minorHAnsi" w:hAnsiTheme="minorHAnsi" w:cstheme="minorBidi"/>
          <w:b/>
          <w:lang w:val="en-US"/>
        </w:rPr>
      </w:pPr>
      <w:bookmarkStart w:id="165" w:name="_Toc643798737"/>
      <w:bookmarkStart w:id="166" w:name="_Toc494900942"/>
      <w:r>
        <w:rPr>
          <w:rFonts w:asciiTheme="minorHAnsi" w:hAnsiTheme="minorHAnsi" w:cstheme="minorBidi"/>
          <w:b/>
        </w:rPr>
        <w:t>Table</w:t>
      </w:r>
      <w:r>
        <w:rPr>
          <w:rFonts w:hint="default" w:asciiTheme="minorHAnsi" w:hAnsiTheme="minorHAnsi" w:cstheme="minorBidi"/>
          <w:b/>
          <w:lang w:val="en-US"/>
        </w:rPr>
        <w:t xml:space="preserve"> 19. Weighted% (95%CI) crude weighted trends in 24-HMB guidelines youth with behavior problem, NSCH 2016-2021</w:t>
      </w:r>
      <w:bookmarkEnd w:id="165"/>
      <w:bookmarkEnd w:id="166"/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tbl>
      <w:tblPr>
        <w:tblStyle w:val="18"/>
        <w:tblpPr w:leftFromText="180" w:rightFromText="180" w:vertAnchor="text" w:horzAnchor="page" w:tblpX="1299" w:tblpY="26"/>
        <w:tblOverlap w:val="never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7"/>
        <w:gridCol w:w="1295"/>
        <w:gridCol w:w="1295"/>
        <w:gridCol w:w="1295"/>
        <w:gridCol w:w="1296"/>
        <w:gridCol w:w="1296"/>
        <w:gridCol w:w="1296"/>
        <w:gridCol w:w="1483"/>
        <w:gridCol w:w="1361"/>
      </w:tblGrid>
      <w:tr>
        <w:trPr>
          <w:trHeight w:val="624" w:hRule="atLeast"/>
        </w:trPr>
        <w:tc>
          <w:tcPr>
            <w:tcW w:w="5000" w:type="pct"/>
            <w:gridSpan w:val="9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Trends in 24-HMB guidelines of behavior problem, weighted % (95% CI) (N=14,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923)</w:t>
            </w:r>
          </w:p>
        </w:tc>
      </w:tr>
      <w:tr>
        <w:trPr>
          <w:trHeight w:val="444" w:hRule="atLeast"/>
        </w:trPr>
        <w:tc>
          <w:tcPr>
            <w:tcW w:w="1255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24-HMB guidelines (Categorical)</w:t>
            </w:r>
          </w:p>
        </w:tc>
        <w:tc>
          <w:tcPr>
            <w:tcW w:w="457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2016</w:t>
            </w:r>
          </w:p>
        </w:tc>
        <w:tc>
          <w:tcPr>
            <w:tcW w:w="457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2017</w:t>
            </w:r>
          </w:p>
        </w:tc>
        <w:tc>
          <w:tcPr>
            <w:tcW w:w="457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2018</w:t>
            </w:r>
          </w:p>
        </w:tc>
        <w:tc>
          <w:tcPr>
            <w:tcW w:w="457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2019</w:t>
            </w:r>
          </w:p>
        </w:tc>
        <w:tc>
          <w:tcPr>
            <w:tcW w:w="457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2020</w:t>
            </w:r>
          </w:p>
        </w:tc>
        <w:tc>
          <w:tcPr>
            <w:tcW w:w="457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2021</w:t>
            </w:r>
          </w:p>
        </w:tc>
        <w:tc>
          <w:tcPr>
            <w:tcW w:w="523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β</w:t>
            </w:r>
          </w:p>
        </w:tc>
        <w:tc>
          <w:tcPr>
            <w:tcW w:w="474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 for trend</w:t>
            </w:r>
          </w:p>
        </w:tc>
      </w:tr>
      <w:tr>
        <w:trPr>
          <w:trHeight w:val="312" w:hRule="atLeast"/>
        </w:trPr>
        <w:tc>
          <w:tcPr>
            <w:tcW w:w="1255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only</w:t>
            </w:r>
          </w:p>
        </w:tc>
        <w:tc>
          <w:tcPr>
            <w:tcW w:w="457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4.0</w:t>
            </w:r>
          </w:p>
        </w:tc>
        <w:tc>
          <w:tcPr>
            <w:tcW w:w="457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2.8</w:t>
            </w:r>
          </w:p>
        </w:tc>
        <w:tc>
          <w:tcPr>
            <w:tcW w:w="457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5.0</w:t>
            </w:r>
          </w:p>
        </w:tc>
        <w:tc>
          <w:tcPr>
            <w:tcW w:w="457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3.6</w:t>
            </w:r>
          </w:p>
        </w:tc>
        <w:tc>
          <w:tcPr>
            <w:tcW w:w="457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5.7</w:t>
            </w:r>
          </w:p>
        </w:tc>
        <w:tc>
          <w:tcPr>
            <w:tcW w:w="457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4.4</w:t>
            </w:r>
          </w:p>
        </w:tc>
        <w:tc>
          <w:tcPr>
            <w:tcW w:w="523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.3</w:t>
            </w:r>
          </w:p>
        </w:tc>
        <w:tc>
          <w:tcPr>
            <w:tcW w:w="474" w:type="pct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.22</w:t>
            </w:r>
          </w:p>
        </w:tc>
      </w:tr>
      <w:tr>
        <w:trPr>
          <w:trHeight w:val="312" w:hRule="atLeast"/>
        </w:trPr>
        <w:tc>
          <w:tcPr>
            <w:tcW w:w="1255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(2.3-7.0)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(1.7-4.5)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(3.4-7.2)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(2.5-5.3)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(3.9-8.1)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(3.3-5.8)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.2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.7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74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rPr>
          <w:trHeight w:val="312" w:hRule="atLeast"/>
        </w:trPr>
        <w:tc>
          <w:tcPr>
            <w:tcW w:w="1255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SL only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15.5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11.1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22.5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22.1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26.1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28.1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3.1</w:t>
            </w:r>
          </w:p>
        </w:tc>
        <w:tc>
          <w:tcPr>
            <w:tcW w:w="474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001</w:t>
            </w:r>
          </w:p>
        </w:tc>
      </w:tr>
      <w:tr>
        <w:trPr>
          <w:trHeight w:val="312" w:hRule="atLeast"/>
        </w:trPr>
        <w:tc>
          <w:tcPr>
            <w:tcW w:w="1255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(12.8-18.8)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(8.5-14.3)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(19.4-25.9)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(18.9-25.5)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(22.9-29.6)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(24.7-31.8)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 xml:space="preserve">2.2 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to 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3.9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74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rPr>
          <w:trHeight w:val="312" w:hRule="atLeast"/>
        </w:trPr>
        <w:tc>
          <w:tcPr>
            <w:tcW w:w="1255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ST only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18.4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24.4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11.6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11.6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10.2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10.5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-2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.4</w:t>
            </w:r>
          </w:p>
        </w:tc>
        <w:tc>
          <w:tcPr>
            <w:tcW w:w="474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</w:t>
            </w:r>
          </w:p>
        </w:tc>
      </w:tr>
      <w:tr>
        <w:trPr>
          <w:trHeight w:val="312" w:hRule="atLeast"/>
        </w:trPr>
        <w:tc>
          <w:tcPr>
            <w:tcW w:w="1255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(15.6-21.6)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(19.1-30.6)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(9.1-14.7)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(9.3-14.4)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(8.0-12.9)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(8.5-12.9)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3.1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1.6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74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rPr>
          <w:trHeight w:val="312" w:hRule="atLeast"/>
        </w:trPr>
        <w:tc>
          <w:tcPr>
            <w:tcW w:w="1255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ST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7.6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4.9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6.3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3.7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4.8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3.1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0.7</w:t>
            </w:r>
          </w:p>
        </w:tc>
        <w:tc>
          <w:tcPr>
            <w:tcW w:w="474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.001</w:t>
            </w:r>
          </w:p>
        </w:tc>
      </w:tr>
      <w:tr>
        <w:trPr>
          <w:trHeight w:val="312" w:hRule="atLeast"/>
        </w:trPr>
        <w:tc>
          <w:tcPr>
            <w:tcW w:w="1255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(5.8-10.0)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(3.5-6.9)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(4.2-9.3)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(2.7-5.1)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(3.0-7.6)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(2.2-4.4)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1.1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-3.0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74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rPr>
          <w:trHeight w:val="312" w:hRule="atLeast"/>
        </w:trPr>
        <w:tc>
          <w:tcPr>
            <w:tcW w:w="1255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SL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3.5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3.5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5.1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6.1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4.6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5.0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.3</w:t>
            </w:r>
          </w:p>
        </w:tc>
        <w:tc>
          <w:tcPr>
            <w:tcW w:w="474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 Regular" w:hAnsi="Arial Regular" w:cs="Arial Regular"/>
                <w:sz w:val="20"/>
                <w:szCs w:val="20"/>
                <w:lang w:val="en-US"/>
              </w:rPr>
              <w:t>.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06</w:t>
            </w:r>
          </w:p>
        </w:tc>
      </w:tr>
      <w:tr>
        <w:trPr>
          <w:trHeight w:val="312" w:hRule="atLeast"/>
        </w:trPr>
        <w:tc>
          <w:tcPr>
            <w:tcW w:w="1255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(2.3-5.2)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(2.2-5.4)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(3.6-7.1)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(4.1-9.1)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(3.5-6.0)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(3.7-6.8)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-0.01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0.7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74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rPr>
          <w:trHeight w:val="312" w:hRule="atLeast"/>
        </w:trPr>
        <w:tc>
          <w:tcPr>
            <w:tcW w:w="1255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SL + ST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28.8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25.2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18.7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20.2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13.6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15.3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2.9</w:t>
            </w:r>
          </w:p>
        </w:tc>
        <w:tc>
          <w:tcPr>
            <w:tcW w:w="474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001</w:t>
            </w:r>
          </w:p>
        </w:tc>
      </w:tr>
      <w:tr>
        <w:trPr>
          <w:trHeight w:val="312" w:hRule="atLeast"/>
        </w:trPr>
        <w:tc>
          <w:tcPr>
            <w:tcW w:w="1255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(25.6-32.1)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(20.9-30.0)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(15.8-22.1)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(16.7-24.1)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(11.2-16.4)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(12.4-18.6)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3.7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2.1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74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rPr>
          <w:trHeight w:val="312" w:hRule="atLeast"/>
        </w:trPr>
        <w:tc>
          <w:tcPr>
            <w:tcW w:w="1255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ST + SL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10.1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9.9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7.6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6.4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5.2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6.5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1.0</w:t>
            </w:r>
          </w:p>
        </w:tc>
        <w:tc>
          <w:tcPr>
            <w:tcW w:w="474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001</w:t>
            </w:r>
          </w:p>
        </w:tc>
      </w:tr>
      <w:tr>
        <w:trPr>
          <w:trHeight w:val="312" w:hRule="atLeast"/>
        </w:trPr>
        <w:tc>
          <w:tcPr>
            <w:tcW w:w="1255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(8.0-12.8)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(7.5-13.1)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(5.8-9.8)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(4.9-8.2)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(3.8-7.0)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(5.1-8.3)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.5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-0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.5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74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rPr>
          <w:trHeight w:val="312" w:hRule="atLeast"/>
        </w:trPr>
        <w:tc>
          <w:tcPr>
            <w:tcW w:w="1255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None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12.1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18.2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23.2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26.4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29.9</w:t>
            </w:r>
          </w:p>
        </w:tc>
        <w:tc>
          <w:tcPr>
            <w:tcW w:w="457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27.2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3.2</w:t>
            </w:r>
          </w:p>
        </w:tc>
        <w:tc>
          <w:tcPr>
            <w:tcW w:w="474" w:type="pct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001</w:t>
            </w:r>
          </w:p>
        </w:tc>
      </w:tr>
      <w:tr>
        <w:trPr>
          <w:trHeight w:val="312" w:hRule="atLeast"/>
        </w:trPr>
        <w:tc>
          <w:tcPr>
            <w:tcW w:w="1255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457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(10.1-14.3)</w:t>
            </w:r>
          </w:p>
        </w:tc>
        <w:tc>
          <w:tcPr>
            <w:tcW w:w="457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(14.6-22.6)</w:t>
            </w:r>
          </w:p>
        </w:tc>
        <w:tc>
          <w:tcPr>
            <w:tcW w:w="457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(19.6-27.3)</w:t>
            </w:r>
          </w:p>
        </w:tc>
        <w:tc>
          <w:tcPr>
            <w:tcW w:w="457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(22.2-31.1)</w:t>
            </w:r>
          </w:p>
        </w:tc>
        <w:tc>
          <w:tcPr>
            <w:tcW w:w="457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(25.8-34.2)</w:t>
            </w:r>
          </w:p>
        </w:tc>
        <w:tc>
          <w:tcPr>
            <w:tcW w:w="457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(23.9-30.8)</w:t>
            </w:r>
          </w:p>
        </w:tc>
        <w:tc>
          <w:tcPr>
            <w:tcW w:w="523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5 to 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4.0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474" w:type="pct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</w:tbl>
    <w:p>
      <w:pPr>
        <w:rPr>
          <w:rFonts w:ascii="Times New Roman Regular" w:hAnsi="Times New Roman Regular" w:cs="Times New Roman Regular"/>
          <w:sz w:val="20"/>
          <w:szCs w:val="20"/>
        </w:rPr>
      </w:pPr>
    </w:p>
    <w:p>
      <w:pPr>
        <w:rPr>
          <w:rFonts w:ascii="Times New Roman Regular" w:hAnsi="Times New Roman Regular" w:cs="Times New Roman Regular"/>
          <w:sz w:val="20"/>
          <w:szCs w:val="20"/>
        </w:rPr>
      </w:pPr>
      <w:r>
        <w:rPr>
          <w:rFonts w:ascii="Times New Roman Regular" w:hAnsi="Times New Roman Regular" w:cs="Times New Roman Regular"/>
          <w:sz w:val="20"/>
          <w:szCs w:val="20"/>
        </w:rPr>
        <w:t>Note: The trend was estimated as categorical and continuous guidelines. Weighte</w:t>
      </w:r>
      <w:r>
        <w:rPr>
          <w:rFonts w:hint="default" w:ascii="Times New Roman Regular" w:hAnsi="Times New Roman Regular" w:cs="Times New Roman Regular"/>
          <w:sz w:val="20"/>
          <w:szCs w:val="20"/>
        </w:rPr>
        <w:t>d</w:t>
      </w:r>
      <w:r>
        <w:rPr>
          <w:rFonts w:ascii="Times New Roman Regular" w:hAnsi="Times New Roman Regular" w:cs="Times New Roman Regular"/>
          <w:sz w:val="20"/>
          <w:szCs w:val="20"/>
        </w:rPr>
        <w:t xml:space="preserve"> estimates and 95% CIs were estimated for each year. All estimates were weighted to be nationally representative. The estimate β, 95%CI and P for trend were calculated using linear regression that included the NSCH 6 year as a continuous variable.</w:t>
      </w:r>
    </w:p>
    <w:p>
      <w:pPr>
        <w:rPr>
          <w:rFonts w:ascii="Times New Roman Regular" w:hAnsi="Times New Roman Regular" w:cs="Times New Roman Regular"/>
          <w:sz w:val="20"/>
          <w:szCs w:val="20"/>
        </w:rPr>
      </w:pPr>
    </w:p>
    <w:p>
      <w:pPr>
        <w:pStyle w:val="5"/>
        <w:rPr>
          <w:rFonts w:hint="default" w:asciiTheme="minorHAnsi" w:hAnsiTheme="minorHAnsi" w:cstheme="minorBidi"/>
          <w:b/>
          <w:lang w:val="en-US"/>
        </w:rPr>
      </w:pPr>
      <w:bookmarkStart w:id="167" w:name="_Toc1302759173"/>
      <w:bookmarkStart w:id="168" w:name="_Toc595967363"/>
      <w:r>
        <w:rPr>
          <w:rFonts w:asciiTheme="minorHAnsi" w:hAnsiTheme="minorHAnsi" w:cstheme="minorBidi"/>
          <w:b/>
        </w:rPr>
        <w:t>Table</w:t>
      </w:r>
      <w:r>
        <w:rPr>
          <w:rFonts w:hint="default" w:asciiTheme="minorHAnsi" w:hAnsiTheme="minorHAnsi" w:cstheme="minorBidi"/>
          <w:b/>
          <w:lang w:val="en-US"/>
        </w:rPr>
        <w:t xml:space="preserve"> 20. Weighted% (95%CI) crude weighted trends in 24-HMB guidelines youth with brain injury, NSCH 2016-2021</w:t>
      </w:r>
      <w:bookmarkEnd w:id="167"/>
      <w:bookmarkEnd w:id="168"/>
    </w:p>
    <w:p>
      <w:pPr>
        <w:rPr>
          <w:rFonts w:hint="eastAsia" w:ascii="Arial Regular" w:hAnsi="Arial Regular" w:cs="Arial Regular"/>
          <w:sz w:val="20"/>
          <w:szCs w:val="20"/>
        </w:rPr>
      </w:pPr>
    </w:p>
    <w:tbl>
      <w:tblPr>
        <w:tblStyle w:val="19"/>
        <w:tblpPr w:leftFromText="180" w:rightFromText="180" w:vertAnchor="text" w:horzAnchor="page" w:tblpX="1481" w:tblpY="84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07"/>
        <w:gridCol w:w="1195"/>
        <w:gridCol w:w="1195"/>
        <w:gridCol w:w="1195"/>
        <w:gridCol w:w="1195"/>
        <w:gridCol w:w="1195"/>
        <w:gridCol w:w="1195"/>
        <w:gridCol w:w="1428"/>
        <w:gridCol w:w="11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24" w:hRule="atLeast"/>
        </w:trPr>
        <w:tc>
          <w:tcPr>
            <w:tcW w:w="0" w:type="auto"/>
            <w:gridSpan w:val="9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Trends in 24-HMB guidelines of brain injury, weighted % (95% CI) (N=9,192)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24" w:hRule="atLeast"/>
        </w:trPr>
        <w:tc>
          <w:tcPr>
            <w:tcW w:w="0" w:type="auto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24-HMB guidelines (Categorical)</w:t>
            </w:r>
          </w:p>
        </w:tc>
        <w:tc>
          <w:tcPr>
            <w:tcW w:w="0" w:type="auto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2016</w:t>
            </w:r>
          </w:p>
        </w:tc>
        <w:tc>
          <w:tcPr>
            <w:tcW w:w="0" w:type="auto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2017</w:t>
            </w:r>
          </w:p>
        </w:tc>
        <w:tc>
          <w:tcPr>
            <w:tcW w:w="0" w:type="auto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2018</w:t>
            </w:r>
          </w:p>
        </w:tc>
        <w:tc>
          <w:tcPr>
            <w:tcW w:w="0" w:type="auto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2019</w:t>
            </w:r>
          </w:p>
        </w:tc>
        <w:tc>
          <w:tcPr>
            <w:tcW w:w="0" w:type="auto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2020</w:t>
            </w:r>
          </w:p>
        </w:tc>
        <w:tc>
          <w:tcPr>
            <w:tcW w:w="0" w:type="auto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2021</w:t>
            </w:r>
          </w:p>
        </w:tc>
        <w:tc>
          <w:tcPr>
            <w:tcW w:w="0" w:type="auto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ind w:firstLine="100" w:firstLineChars="50"/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β</w:t>
            </w:r>
          </w:p>
        </w:tc>
        <w:tc>
          <w:tcPr>
            <w:tcW w:w="0" w:type="auto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i/>
                <w:iCs/>
                <w:sz w:val="20"/>
                <w:szCs w:val="20"/>
              </w:rPr>
              <w:t>P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for trend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only</w:t>
            </w:r>
          </w:p>
        </w:tc>
        <w:tc>
          <w:tcPr>
            <w:tcW w:w="0" w:type="auto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3.0</w:t>
            </w:r>
          </w:p>
        </w:tc>
        <w:tc>
          <w:tcPr>
            <w:tcW w:w="0" w:type="auto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2.7</w:t>
            </w:r>
          </w:p>
        </w:tc>
        <w:tc>
          <w:tcPr>
            <w:tcW w:w="0" w:type="auto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1.9</w:t>
            </w:r>
          </w:p>
        </w:tc>
        <w:tc>
          <w:tcPr>
            <w:tcW w:w="0" w:type="auto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tabs>
                <w:tab w:val="left" w:pos="390"/>
              </w:tabs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3.7</w:t>
            </w:r>
          </w:p>
        </w:tc>
        <w:tc>
          <w:tcPr>
            <w:tcW w:w="0" w:type="auto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5.1</w:t>
            </w:r>
          </w:p>
        </w:tc>
        <w:tc>
          <w:tcPr>
            <w:tcW w:w="0" w:type="auto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.4</w:t>
            </w:r>
          </w:p>
        </w:tc>
        <w:tc>
          <w:tcPr>
            <w:tcW w:w="0" w:type="auto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(1.9-4.7)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(1.4-4.3)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(1.7-4.3)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(1.1-3.1)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(2.4-5.7)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(3.5-7.4)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0.03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.8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SL only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15.3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9.8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21.9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22.9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31.7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27.4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3.6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</w:t>
            </w:r>
            <w:r>
              <w:rPr>
                <w:rFonts w:ascii="Arial Regular" w:hAnsi="Arial Regular" w:cs="Arial Regular"/>
                <w:sz w:val="20"/>
                <w:szCs w:val="20"/>
              </w:rPr>
              <w:t>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(12.5-18.7)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(7.3-13.2)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(18.2-26.2)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(18.9-27.5)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(27.8-36.0)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(23.4-31.8)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2.7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4.5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ST only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15.9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23.6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15.6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12.5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9.7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7.0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2.6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(13.2-19.0)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(17.5-31.0)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(11.6-20.7)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(9.1-17.0)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(6.8-13.6)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(5.2-9.5)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3.4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1.7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ST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7.0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2.8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3.7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7.3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3.0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3.3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.5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(5.0-9.7)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(1.6-5.0)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(2.3-5.8)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(4.8-10.8)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(1.8-4.8)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(2.0-5.4)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.9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-</w:t>
            </w:r>
            <w:r>
              <w:rPr>
                <w:rFonts w:ascii="Arial Regular" w:hAnsi="Arial Regular" w:cs="Arial Regular"/>
                <w:sz w:val="20"/>
                <w:szCs w:val="20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.01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SL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4.1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3.3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6.1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6.4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7.8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7.5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.9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(2.6-6.5)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(1.7-6.2)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(3.8-9.7)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(4.7-8.8)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(5.6-10.8)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(5.4-10.3)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0.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3 to 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1.4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SL + ST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27.1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31.7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20.8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21.4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17.2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17.9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2.5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(23.6-30.8)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(26.4-37.4)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(16.9-25.3)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(17.5-25.8)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(14.4-20.5)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(14.9-21.3)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3.4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-1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.6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PA + ST + SL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13.6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13.1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9.5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9.2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6.8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8.5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1.3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(10.8-17.0)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(9.7-17.4)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(7.1-12.5)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(6.2-13.7)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(5.2-8.9)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(6.4-11.2)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1.9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-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0.6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None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14.0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13.2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19.6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18.4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20.1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23.3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1.9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ascii="Arial Regular" w:hAnsi="Arial Regular" w:cs="Arial Regular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 w:eastAsia="zh-CN"/>
              </w:rPr>
              <w:t>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(10.9-17.7)</w:t>
            </w:r>
          </w:p>
        </w:tc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(9.9-17.2)</w:t>
            </w:r>
          </w:p>
        </w:tc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(15.4-24.6)</w:t>
            </w:r>
          </w:p>
        </w:tc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(14.3-23.2)</w:t>
            </w:r>
          </w:p>
        </w:tc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(17.0-23.6)</w:t>
            </w:r>
          </w:p>
        </w:tc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(19.1-28.0)</w:t>
            </w:r>
          </w:p>
        </w:tc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  <w:r>
              <w:rPr>
                <w:rFonts w:ascii="Arial Regular" w:hAnsi="Arial Regular" w:cs="Arial Regular"/>
                <w:sz w:val="20"/>
                <w:szCs w:val="20"/>
              </w:rPr>
              <w:t>(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0.9</w:t>
            </w:r>
            <w:r>
              <w:rPr>
                <w:rFonts w:ascii="Arial Regular" w:hAnsi="Arial Regular" w:cs="Arial Regular"/>
                <w:sz w:val="20"/>
                <w:szCs w:val="20"/>
              </w:rPr>
              <w:t xml:space="preserve"> to 2</w:t>
            </w:r>
            <w:r>
              <w:rPr>
                <w:rFonts w:hint="default" w:ascii="Arial Regular" w:hAnsi="Arial Regular" w:cs="Arial Regular"/>
                <w:sz w:val="20"/>
                <w:szCs w:val="20"/>
                <w:lang w:val="en-US"/>
              </w:rPr>
              <w:t>.8</w:t>
            </w:r>
            <w:r>
              <w:rPr>
                <w:rFonts w:ascii="Arial Regular" w:hAnsi="Arial Regular" w:cs="Arial Regular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eastAsia" w:ascii="Arial Regular" w:hAnsi="Arial Regular" w:cs="Arial Regular"/>
                <w:sz w:val="20"/>
                <w:szCs w:val="20"/>
              </w:rPr>
            </w:pPr>
          </w:p>
        </w:tc>
      </w:tr>
    </w:tbl>
    <w:p>
      <w:pPr>
        <w:jc w:val="left"/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</w:p>
    <w:p>
      <w:pPr>
        <w:jc w:val="left"/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</w:p>
    <w:p>
      <w:pPr>
        <w:jc w:val="left"/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</w:p>
    <w:p>
      <w:pPr>
        <w:jc w:val="left"/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</w:p>
    <w:p>
      <w:pPr>
        <w:jc w:val="left"/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</w:p>
    <w:p>
      <w:pPr>
        <w:jc w:val="left"/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</w:p>
    <w:p>
      <w:pPr>
        <w:jc w:val="left"/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</w:p>
    <w:p>
      <w:pPr>
        <w:jc w:val="left"/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</w:p>
    <w:p>
      <w:pPr>
        <w:jc w:val="left"/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</w:p>
    <w:p>
      <w:pPr>
        <w:jc w:val="left"/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</w:p>
    <w:p>
      <w:pPr>
        <w:jc w:val="left"/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</w:p>
    <w:p>
      <w:pPr>
        <w:jc w:val="left"/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</w:p>
    <w:p>
      <w:pPr>
        <w:jc w:val="left"/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</w:p>
    <w:p>
      <w:pPr>
        <w:jc w:val="left"/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</w:p>
    <w:p>
      <w:pPr>
        <w:jc w:val="left"/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</w:p>
    <w:p>
      <w:pPr>
        <w:jc w:val="left"/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</w:p>
    <w:p>
      <w:pPr>
        <w:jc w:val="left"/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</w:p>
    <w:p>
      <w:pPr>
        <w:jc w:val="left"/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</w:p>
    <w:p>
      <w:pPr>
        <w:jc w:val="left"/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</w:p>
    <w:p>
      <w:pPr>
        <w:jc w:val="left"/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</w:p>
    <w:p>
      <w:pPr>
        <w:rPr>
          <w:rFonts w:ascii="Times New Roman Regular" w:hAnsi="Times New Roman Regular" w:cs="Times New Roman Regular"/>
          <w:sz w:val="20"/>
          <w:szCs w:val="20"/>
        </w:rPr>
      </w:pPr>
    </w:p>
    <w:p>
      <w:pPr>
        <w:rPr>
          <w:rFonts w:ascii="Times New Roman Regular" w:hAnsi="Times New Roman Regular" w:cs="Times New Roman Regular"/>
          <w:sz w:val="20"/>
          <w:szCs w:val="20"/>
        </w:rPr>
      </w:pPr>
      <w:r>
        <w:rPr>
          <w:rFonts w:ascii="Times New Roman Regular" w:hAnsi="Times New Roman Regular" w:cs="Times New Roman Regular"/>
          <w:sz w:val="20"/>
          <w:szCs w:val="20"/>
        </w:rPr>
        <w:t>Note: The trend was estimated as categorical and continuous guidelines. Weighted estimates and 95% CIs were estimated for each year. All estimates were weighted to be nationally representative. The estimate β, 95%CI and</w:t>
      </w:r>
      <w:r>
        <w:rPr>
          <w:rFonts w:ascii="Times New Roman Regular" w:hAnsi="Times New Roman Regular" w:cs="Times New Roman Regular"/>
          <w:i/>
          <w:iCs/>
          <w:sz w:val="20"/>
          <w:szCs w:val="20"/>
        </w:rPr>
        <w:t xml:space="preserve"> P </w:t>
      </w:r>
      <w:r>
        <w:rPr>
          <w:rFonts w:ascii="Times New Roman Regular" w:hAnsi="Times New Roman Regular" w:cs="Times New Roman Regular"/>
          <w:sz w:val="20"/>
          <w:szCs w:val="20"/>
        </w:rPr>
        <w:t>for trend were calculated using linear regression that included the NSCH 6 year as a continuous variable.</w:t>
      </w:r>
    </w:p>
    <w:p>
      <w:pPr>
        <w:rPr>
          <w:rFonts w:ascii="Times New Roman Regular" w:hAnsi="Times New Roman Regular" w:cs="Times New Roman Regular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pStyle w:val="4"/>
        <w:outlineLvl w:val="0"/>
        <w:rPr>
          <w:rFonts w:hint="default"/>
          <w:lang w:val="en-US"/>
        </w:rPr>
      </w:pPr>
      <w:bookmarkStart w:id="169" w:name="_Toc1877639446"/>
      <w:bookmarkStart w:id="170" w:name="_Toc514326450"/>
      <w:bookmarkStart w:id="171" w:name="_Toc81987196"/>
      <w:bookmarkStart w:id="172" w:name="_Toc44236923"/>
      <w:bookmarkStart w:id="173" w:name="_Toc1462633287"/>
      <w:bookmarkStart w:id="174" w:name="_Toc1912276745"/>
      <w:bookmarkStart w:id="175" w:name="_Toc648702409"/>
      <w:bookmarkStart w:id="176" w:name="_Toc1889140926"/>
      <w:bookmarkStart w:id="177" w:name="_Toc234816804"/>
      <w:r>
        <w:rPr>
          <w:rFonts w:hint="default"/>
          <w:lang w:val="en-US"/>
        </w:rPr>
        <w:t xml:space="preserve"> </w:t>
      </w:r>
      <w:bookmarkStart w:id="178" w:name="_Toc559740333"/>
      <w:r>
        <w:rPr>
          <w:rFonts w:hint="default"/>
          <w:lang w:val="en-US"/>
        </w:rPr>
        <w:t>Figures</w:t>
      </w:r>
      <w:bookmarkEnd w:id="169"/>
      <w:bookmarkEnd w:id="170"/>
      <w:bookmarkEnd w:id="171"/>
      <w:bookmarkEnd w:id="172"/>
      <w:bookmarkEnd w:id="173"/>
      <w:bookmarkEnd w:id="174"/>
      <w:bookmarkEnd w:id="175"/>
      <w:bookmarkEnd w:id="176"/>
      <w:bookmarkEnd w:id="177"/>
      <w:bookmarkEnd w:id="178"/>
    </w:p>
    <w:p>
      <w:pPr>
        <w:pStyle w:val="5"/>
        <w:rPr>
          <w:rFonts w:hint="default"/>
          <w:lang w:val="en-US" w:eastAsia="zh-CN"/>
        </w:rPr>
      </w:pPr>
      <w:bookmarkStart w:id="179" w:name="_Toc213976257"/>
      <w:bookmarkStart w:id="180" w:name="_Toc1638565289"/>
      <w:bookmarkStart w:id="181" w:name="_Toc394992213"/>
      <w:bookmarkStart w:id="182" w:name="_Toc456231586"/>
      <w:r>
        <w:rPr>
          <w:rFonts w:hint="default"/>
          <w:lang w:val="en-US"/>
        </w:rPr>
        <w:t xml:space="preserve"> </w:t>
      </w:r>
      <w:bookmarkStart w:id="183" w:name="_Toc1577402871"/>
      <w:r>
        <w:rPr>
          <w:rFonts w:hint="default"/>
          <w:lang w:val="en-US"/>
        </w:rPr>
        <w:t>Figure 1. E</w:t>
      </w:r>
      <w:r>
        <w:rPr>
          <w:rFonts w:hint="default"/>
          <w:lang w:val="en-US" w:eastAsia="zh-CN"/>
        </w:rPr>
        <w:t>stimated prevalence of meeting 24-HMB according to disparities</w:t>
      </w:r>
      <w:bookmarkEnd w:id="179"/>
      <w:bookmarkEnd w:id="180"/>
      <w:bookmarkEnd w:id="181"/>
      <w:bookmarkEnd w:id="182"/>
      <w:bookmarkEnd w:id="183"/>
    </w:p>
    <w:p>
      <w:pPr>
        <w:pStyle w:val="6"/>
        <w:rPr>
          <w:rFonts w:hint="default"/>
          <w:lang w:val="en-US"/>
        </w:rPr>
      </w:pPr>
      <w:bookmarkStart w:id="184" w:name="_Toc1411326321"/>
      <w:bookmarkStart w:id="185" w:name="_Toc36523095"/>
      <w:bookmarkStart w:id="186" w:name="_Toc762171014"/>
      <w:bookmarkStart w:id="187" w:name="_Toc724430682"/>
      <w:r>
        <w:rPr>
          <w:rFonts w:hint="default"/>
          <w:lang w:val="en-US"/>
        </w:rPr>
        <w:t xml:space="preserve">Figure 1.1. </w:t>
      </w:r>
      <w:r>
        <w:rPr>
          <w:rFonts w:hint="default"/>
        </w:rPr>
        <w:t>Estimated prevalence of meeting 24-HMB guidelines according to age, NSCH 2016-2021</w:t>
      </w:r>
      <w:bookmarkEnd w:id="184"/>
      <w:bookmarkEnd w:id="185"/>
      <w:bookmarkEnd w:id="186"/>
      <w:bookmarkEnd w:id="187"/>
    </w:p>
    <w:p>
      <w:pPr>
        <w:rPr>
          <w:rFonts w:hint="default"/>
          <w:lang w:val="en-US"/>
        </w:rPr>
      </w:pPr>
      <w:r>
        <w:drawing>
          <wp:inline distT="0" distB="0" distL="114300" distR="114300">
            <wp:extent cx="1525905" cy="1786890"/>
            <wp:effectExtent l="0" t="0" r="23495" b="16510"/>
            <wp:docPr id="1" name="图片 1" descr="age P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ge PA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25905" cy="178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530350" cy="1765935"/>
            <wp:effectExtent l="0" t="0" r="19050" b="12065"/>
            <wp:docPr id="3" name="图片 3" descr="age S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ge SL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30350" cy="176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09775" cy="1602740"/>
            <wp:effectExtent l="0" t="0" r="22225" b="22860"/>
            <wp:docPr id="4" name="图片 4" descr="ST age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T age 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160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/>
        </w:rPr>
      </w:pPr>
      <w:r>
        <w:drawing>
          <wp:inline distT="0" distB="0" distL="114300" distR="114300">
            <wp:extent cx="1558290" cy="1788160"/>
            <wp:effectExtent l="0" t="0" r="16510" b="15240"/>
            <wp:docPr id="5" name="图片 5" descr="PAST 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PAST age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58290" cy="1788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610360" cy="1728470"/>
            <wp:effectExtent l="0" t="0" r="15240" b="24130"/>
            <wp:docPr id="6" name="图片 6" descr="age PAS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ge PASL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10360" cy="1728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09775" cy="1760855"/>
            <wp:effectExtent l="0" t="0" r="22225" b="17145"/>
            <wp:docPr id="7" name="图片 7" descr="age SL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age SLST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176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rPr>
          <w:rFonts w:ascii="Times New Roman Regular" w:hAnsi="Times New Roman Regular" w:cs="Times New Roman Regular"/>
          <w:sz w:val="20"/>
          <w:szCs w:val="20"/>
        </w:rPr>
      </w:pPr>
      <w:r>
        <w:rPr>
          <w:rFonts w:ascii="Times New Roman Regular" w:hAnsi="Times New Roman Regular" w:cs="Times New Roman Regular"/>
          <w:sz w:val="20"/>
          <w:szCs w:val="20"/>
        </w:rPr>
        <w:t>Abbreviations: PA= physical activity; ST= screen time; and SL= sleep duration.</w:t>
      </w:r>
    </w:p>
    <w:p>
      <w:pPr>
        <w:rPr>
          <w:rFonts w:ascii="Times New Roman Regular" w:hAnsi="Times New Roman Regular" w:cs="Times New Roman Regular"/>
          <w:sz w:val="20"/>
          <w:szCs w:val="20"/>
        </w:rPr>
      </w:pPr>
    </w:p>
    <w:p>
      <w:pPr>
        <w:rPr>
          <w:rFonts w:ascii="Times New Roman Regular" w:hAnsi="Times New Roman Regular" w:cs="Times New Roman Regular"/>
          <w:sz w:val="20"/>
          <w:szCs w:val="20"/>
        </w:rPr>
      </w:pPr>
    </w:p>
    <w:p>
      <w:pPr>
        <w:rPr>
          <w:rFonts w:ascii="Times New Roman Regular" w:hAnsi="Times New Roman Regular" w:cs="Times New Roman Regular"/>
          <w:sz w:val="20"/>
          <w:szCs w:val="20"/>
        </w:rPr>
      </w:pPr>
    </w:p>
    <w:p>
      <w:pPr>
        <w:rPr>
          <w:rFonts w:ascii="Times New Roman Regular" w:hAnsi="Times New Roman Regular" w:cs="Times New Roman Regular"/>
          <w:sz w:val="20"/>
          <w:szCs w:val="20"/>
        </w:rPr>
      </w:pP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p/>
    <w:p/>
    <w:p/>
    <w:p/>
    <w:p/>
    <w:p/>
    <w:p/>
    <w:p/>
    <w:p>
      <w:pPr>
        <w:pStyle w:val="6"/>
        <w:rPr>
          <w:rFonts w:hint="default"/>
          <w:lang w:val="en-US"/>
        </w:rPr>
      </w:pPr>
      <w:bookmarkStart w:id="188" w:name="_Toc1204595932"/>
      <w:bookmarkStart w:id="189" w:name="_Toc1810818270"/>
      <w:bookmarkStart w:id="190" w:name="_Toc68277943"/>
      <w:r>
        <w:rPr>
          <w:rFonts w:hint="default"/>
          <w:lang w:val="en-US"/>
        </w:rPr>
        <w:t xml:space="preserve"> </w:t>
      </w:r>
      <w:bookmarkStart w:id="191" w:name="_Toc1421677531"/>
      <w:r>
        <w:rPr>
          <w:rFonts w:hint="default"/>
          <w:lang w:val="en-US"/>
        </w:rPr>
        <w:t xml:space="preserve">Figure 1.2. </w:t>
      </w:r>
      <w:r>
        <w:rPr>
          <w:rFonts w:hint="default"/>
        </w:rPr>
        <w:t xml:space="preserve">Estimated prevalence of meeting 24-HMB guidelines according to </w:t>
      </w:r>
      <w:r>
        <w:rPr>
          <w:rFonts w:hint="default"/>
          <w:lang w:val="en-US"/>
        </w:rPr>
        <w:t>sex</w:t>
      </w:r>
      <w:r>
        <w:rPr>
          <w:rFonts w:hint="default"/>
        </w:rPr>
        <w:t>, NSCH 2016-2021</w:t>
      </w:r>
      <w:bookmarkEnd w:id="188"/>
      <w:bookmarkEnd w:id="189"/>
      <w:bookmarkEnd w:id="190"/>
      <w:bookmarkEnd w:id="191"/>
    </w:p>
    <w:p/>
    <w:p>
      <w:pPr>
        <w:jc w:val="left"/>
        <w:rPr>
          <w:rFonts w:hint="default"/>
          <w:lang w:val="en-US"/>
        </w:rPr>
      </w:pPr>
      <w:r>
        <w:drawing>
          <wp:inline distT="0" distB="0" distL="114300" distR="114300">
            <wp:extent cx="1428115" cy="1875790"/>
            <wp:effectExtent l="0" t="0" r="19685" b="3810"/>
            <wp:docPr id="9" name="图片 9" descr="sex P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sex PA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28115" cy="187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675765" cy="1870075"/>
            <wp:effectExtent l="0" t="0" r="635" b="9525"/>
            <wp:docPr id="10" name="图片 10" descr="sex S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sex SL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75765" cy="187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991360" cy="1847850"/>
            <wp:effectExtent l="0" t="0" r="15240" b="6350"/>
            <wp:docPr id="11" name="图片 11" descr="sex 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sex ST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991360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585595" cy="1822450"/>
            <wp:effectExtent l="0" t="0" r="14605" b="6350"/>
            <wp:docPr id="13" name="图片 13" descr="sex PA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sex PAST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585595" cy="182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541780" cy="1829435"/>
            <wp:effectExtent l="0" t="0" r="7620" b="24765"/>
            <wp:docPr id="14" name="图片 14" descr="sex PAS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sex PASL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41780" cy="1829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1922145" cy="1792605"/>
            <wp:effectExtent l="0" t="0" r="8255" b="10795"/>
            <wp:docPr id="16" name="图片 16" descr="sex SL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sex SLST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922145" cy="179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 Regular" w:hAnsi="Times New Roman Regular" w:cs="Times New Roman Regular"/>
          <w:sz w:val="20"/>
          <w:szCs w:val="20"/>
        </w:rPr>
      </w:pPr>
      <w:r>
        <w:rPr>
          <w:rFonts w:ascii="Times New Roman Regular" w:hAnsi="Times New Roman Regular" w:cs="Times New Roman Regular"/>
          <w:sz w:val="20"/>
          <w:szCs w:val="20"/>
        </w:rPr>
        <w:t>Abbreviations: PA= physical activity; ST= screen time; and SL= sleep duration</w:t>
      </w: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rPr>
          <w:rFonts w:ascii="Arial Bold" w:hAnsi="Arial Bold" w:cs="Arial Bold"/>
          <w:b/>
        </w:rPr>
      </w:pPr>
    </w:p>
    <w:p>
      <w:pPr>
        <w:rPr>
          <w:rFonts w:ascii="Arial Bold" w:hAnsi="Arial Bold" w:cs="Arial Bold"/>
          <w:b/>
        </w:rPr>
      </w:pPr>
    </w:p>
    <w:p>
      <w:pPr>
        <w:rPr>
          <w:rFonts w:ascii="Arial Bold" w:hAnsi="Arial Bold" w:cs="Arial Bold"/>
          <w:b/>
        </w:rPr>
      </w:pPr>
    </w:p>
    <w:p>
      <w:pPr>
        <w:rPr>
          <w:rFonts w:ascii="Arial Bold" w:hAnsi="Arial Bold" w:cs="Arial Bold"/>
          <w:b/>
        </w:rPr>
      </w:pPr>
    </w:p>
    <w:p>
      <w:pPr>
        <w:rPr>
          <w:rFonts w:ascii="Arial Bold" w:hAnsi="Arial Bold" w:cs="Arial Bold"/>
          <w:b/>
        </w:rPr>
      </w:pPr>
    </w:p>
    <w:p>
      <w:pPr>
        <w:rPr>
          <w:rFonts w:ascii="Arial Bold" w:hAnsi="Arial Bold" w:cs="Arial Bold"/>
          <w:b/>
        </w:rPr>
      </w:pPr>
    </w:p>
    <w:p>
      <w:pPr>
        <w:rPr>
          <w:rFonts w:ascii="Arial Bold" w:hAnsi="Arial Bold" w:cs="Arial Bold"/>
          <w:b/>
        </w:rPr>
      </w:pPr>
    </w:p>
    <w:p>
      <w:pPr>
        <w:rPr>
          <w:rFonts w:ascii="Arial Bold" w:hAnsi="Arial Bold" w:cs="Arial Bold"/>
          <w:b/>
        </w:rPr>
      </w:pPr>
    </w:p>
    <w:p>
      <w:pPr>
        <w:rPr>
          <w:rFonts w:ascii="Arial Bold" w:hAnsi="Arial Bold" w:cs="Arial Bold"/>
          <w:b/>
        </w:rPr>
      </w:pPr>
    </w:p>
    <w:p>
      <w:pPr>
        <w:rPr>
          <w:rFonts w:ascii="Arial Bold" w:hAnsi="Arial Bold" w:cs="Arial Bold"/>
          <w:b/>
        </w:rPr>
      </w:pPr>
    </w:p>
    <w:p>
      <w:pPr>
        <w:rPr>
          <w:rFonts w:ascii="Arial Bold" w:hAnsi="Arial Bold" w:cs="Arial Bold"/>
          <w:b/>
        </w:rPr>
      </w:pPr>
    </w:p>
    <w:p>
      <w:pPr>
        <w:rPr>
          <w:rFonts w:ascii="Arial Bold" w:hAnsi="Arial Bold" w:cs="Arial Bold"/>
          <w:b/>
        </w:rPr>
      </w:pPr>
    </w:p>
    <w:p>
      <w:pPr>
        <w:rPr>
          <w:rFonts w:ascii="Arial Bold" w:hAnsi="Arial Bold" w:cs="Arial Bold"/>
          <w:b/>
        </w:rPr>
      </w:pPr>
    </w:p>
    <w:p>
      <w:pPr>
        <w:rPr>
          <w:rFonts w:ascii="Arial Bold" w:hAnsi="Arial Bold" w:cs="Arial Bold"/>
          <w:b/>
        </w:rPr>
      </w:pPr>
    </w:p>
    <w:p>
      <w:pPr>
        <w:rPr>
          <w:rFonts w:ascii="Arial Bold" w:hAnsi="Arial Bold" w:cs="Arial Bold"/>
          <w:b/>
        </w:rPr>
      </w:pPr>
    </w:p>
    <w:p>
      <w:pPr>
        <w:rPr>
          <w:rFonts w:ascii="Arial Bold" w:hAnsi="Arial Bold" w:cs="Arial Bold"/>
          <w:b/>
        </w:rPr>
      </w:pPr>
    </w:p>
    <w:p>
      <w:pPr>
        <w:rPr>
          <w:rFonts w:ascii="Arial Bold" w:hAnsi="Arial Bold" w:cs="Arial Bold"/>
          <w:b/>
        </w:rPr>
      </w:pPr>
    </w:p>
    <w:p>
      <w:pPr>
        <w:rPr>
          <w:rFonts w:ascii="Arial Bold" w:hAnsi="Arial Bold" w:cs="Arial Bold"/>
          <w:b/>
        </w:rPr>
      </w:pPr>
    </w:p>
    <w:p>
      <w:pPr>
        <w:rPr>
          <w:rFonts w:ascii="Arial Bold" w:hAnsi="Arial Bold" w:cs="Arial Bold"/>
          <w:b/>
        </w:rPr>
      </w:pPr>
    </w:p>
    <w:p>
      <w:pPr>
        <w:pStyle w:val="6"/>
        <w:rPr>
          <w:rFonts w:ascii="Arial" w:hAnsi="Arial" w:cstheme="minorBidi"/>
          <w:b w:val="0"/>
        </w:rPr>
      </w:pPr>
      <w:bookmarkStart w:id="192" w:name="_Toc1315488855"/>
      <w:bookmarkStart w:id="193" w:name="_Toc791120503"/>
      <w:bookmarkStart w:id="194" w:name="_Toc284418606"/>
      <w:bookmarkStart w:id="195" w:name="_Toc1231206995"/>
      <w:r>
        <w:rPr>
          <w:rFonts w:hint="default"/>
          <w:lang w:val="en-US"/>
        </w:rPr>
        <w:t xml:space="preserve">Figure 1.3. </w:t>
      </w:r>
      <w:r>
        <w:rPr>
          <w:rFonts w:hint="default"/>
        </w:rPr>
        <w:t xml:space="preserve">Estimated prevalence of meeting 24-HMB guidelines according to </w:t>
      </w:r>
      <w:r>
        <w:rPr>
          <w:rFonts w:hint="default"/>
          <w:lang w:val="en-US"/>
        </w:rPr>
        <w:t>ethnicity</w:t>
      </w:r>
      <w:r>
        <w:rPr>
          <w:rFonts w:hint="default"/>
        </w:rPr>
        <w:t>, NSCH 2016-2021</w:t>
      </w:r>
      <w:bookmarkEnd w:id="192"/>
      <w:bookmarkEnd w:id="193"/>
      <w:bookmarkEnd w:id="194"/>
      <w:bookmarkEnd w:id="195"/>
    </w:p>
    <w:p>
      <w:pPr>
        <w:rPr>
          <w:rFonts w:hint="default" w:ascii="Arial Narrow" w:hAnsi="Arial Narrow"/>
          <w:sz w:val="24"/>
          <w:lang w:val="en-US"/>
        </w:rPr>
      </w:pPr>
      <w:r>
        <w:rPr>
          <w:rFonts w:hint="default" w:ascii="Arial Narrow" w:hAnsi="Arial Narrow"/>
          <w:sz w:val="24"/>
          <w:lang w:val="en-US"/>
        </w:rPr>
        <w:drawing>
          <wp:inline distT="0" distB="0" distL="114300" distR="114300">
            <wp:extent cx="1602105" cy="1265555"/>
            <wp:effectExtent l="0" t="0" r="23495" b="4445"/>
            <wp:docPr id="17" name="图片 17" descr="race P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race PA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602105" cy="126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Arial Narrow" w:hAnsi="Arial Narrow"/>
          <w:sz w:val="24"/>
          <w:lang w:val="en-US"/>
        </w:rPr>
        <w:drawing>
          <wp:inline distT="0" distB="0" distL="114300" distR="114300">
            <wp:extent cx="1688465" cy="1284605"/>
            <wp:effectExtent l="0" t="0" r="13335" b="10795"/>
            <wp:docPr id="18" name="图片 18" descr="race S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race SL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688465" cy="1284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Arial Narrow" w:hAnsi="Arial Narrow"/>
          <w:sz w:val="24"/>
          <w:lang w:val="en-US"/>
        </w:rPr>
        <w:drawing>
          <wp:inline distT="0" distB="0" distL="114300" distR="114300">
            <wp:extent cx="1927860" cy="1284605"/>
            <wp:effectExtent l="0" t="0" r="2540" b="10795"/>
            <wp:docPr id="19" name="图片 19" descr="racec 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racec ST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927860" cy="1284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Arial Narrow" w:hAnsi="Arial Narrow"/>
          <w:sz w:val="24"/>
          <w:lang w:val="en-US"/>
        </w:rPr>
        <w:drawing>
          <wp:inline distT="0" distB="0" distL="114300" distR="114300">
            <wp:extent cx="1570990" cy="1247140"/>
            <wp:effectExtent l="0" t="0" r="3810" b="22860"/>
            <wp:docPr id="20" name="图片 20" descr="race PA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race PAST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70990" cy="1247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Arial Narrow" w:hAnsi="Arial Narrow"/>
          <w:sz w:val="24"/>
          <w:lang w:val="en-US"/>
        </w:rPr>
        <w:drawing>
          <wp:inline distT="0" distB="0" distL="114300" distR="114300">
            <wp:extent cx="1713865" cy="1283335"/>
            <wp:effectExtent l="0" t="0" r="13335" b="12065"/>
            <wp:docPr id="21" name="图片 21" descr="race PAS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race PASL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713865" cy="1283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Arial Narrow" w:hAnsi="Arial Narrow"/>
          <w:sz w:val="24"/>
          <w:lang w:val="en-US"/>
        </w:rPr>
        <w:drawing>
          <wp:inline distT="0" distB="0" distL="114300" distR="114300">
            <wp:extent cx="1903095" cy="1278255"/>
            <wp:effectExtent l="0" t="0" r="1905" b="17145"/>
            <wp:docPr id="22" name="图片 22" descr="race SL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race SLST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903095" cy="127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 Regular" w:hAnsi="Times New Roman Regular" w:cs="Times New Roman Regular"/>
          <w:sz w:val="20"/>
          <w:szCs w:val="20"/>
        </w:rPr>
      </w:pPr>
      <w:r>
        <w:rPr>
          <w:rFonts w:ascii="Times New Roman Regular" w:hAnsi="Times New Roman Regular" w:cs="Times New Roman Regular"/>
          <w:sz w:val="20"/>
          <w:szCs w:val="20"/>
        </w:rPr>
        <w:t>Abbreviations: PA=physical activity; SL= sleep; ST=screen time.</w:t>
      </w:r>
    </w:p>
    <w:p>
      <w:pPr>
        <w:rPr>
          <w:rFonts w:ascii="Times New Roman Regular" w:hAnsi="Times New Roman Regular" w:cs="Times New Roman Regular"/>
          <w:sz w:val="20"/>
          <w:szCs w:val="20"/>
        </w:rPr>
      </w:pPr>
    </w:p>
    <w:p>
      <w:pPr>
        <w:rPr>
          <w:rFonts w:ascii="Times New Roman Regular" w:hAnsi="Times New Roman Regular" w:cs="Times New Roman Regular"/>
          <w:sz w:val="20"/>
          <w:szCs w:val="20"/>
        </w:rPr>
      </w:pPr>
    </w:p>
    <w:p>
      <w:pPr>
        <w:rPr>
          <w:rFonts w:ascii="Times New Roman Regular" w:hAnsi="Times New Roman Regular" w:cs="Times New Roman Regular"/>
          <w:sz w:val="20"/>
          <w:szCs w:val="20"/>
        </w:rPr>
      </w:pPr>
    </w:p>
    <w:p>
      <w:pPr>
        <w:pStyle w:val="6"/>
      </w:pPr>
      <w:bookmarkStart w:id="196" w:name="_Toc2072396467"/>
      <w:bookmarkStart w:id="197" w:name="_Toc1077040120"/>
      <w:bookmarkStart w:id="198" w:name="_Toc1291035344"/>
      <w:bookmarkStart w:id="199" w:name="_Toc1891026120"/>
      <w:r>
        <w:rPr>
          <w:rFonts w:hint="default"/>
          <w:lang w:val="en-US"/>
        </w:rPr>
        <w:t xml:space="preserve">Figure 1.4. </w:t>
      </w:r>
      <w:r>
        <w:rPr>
          <w:rFonts w:hint="default"/>
        </w:rPr>
        <w:t xml:space="preserve">Estimated prevalence of meeting 24-HMB guidelines according to </w:t>
      </w:r>
      <w:r>
        <w:rPr>
          <w:rFonts w:hint="default"/>
          <w:lang w:val="en-US"/>
        </w:rPr>
        <w:t>FPL</w:t>
      </w:r>
      <w:r>
        <w:rPr>
          <w:rFonts w:hint="default"/>
        </w:rPr>
        <w:t>, NSCH 2016-2021</w:t>
      </w:r>
      <w:bookmarkEnd w:id="196"/>
      <w:bookmarkEnd w:id="197"/>
      <w:bookmarkEnd w:id="198"/>
      <w:bookmarkEnd w:id="199"/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1539240" cy="1539240"/>
            <wp:effectExtent l="0" t="0" r="10160" b="10160"/>
            <wp:docPr id="23" name="图片 23" descr="FPL P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FPL PA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539240" cy="1539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1601470" cy="1537335"/>
            <wp:effectExtent l="0" t="0" r="24130" b="12065"/>
            <wp:docPr id="25" name="图片 25" descr="FPL S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FPL SL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601470" cy="153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1915795" cy="1493520"/>
            <wp:effectExtent l="0" t="0" r="14605" b="5080"/>
            <wp:docPr id="44" name="图片 44" descr="FPL 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FPL ST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915795" cy="149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1644015" cy="1375410"/>
            <wp:effectExtent l="0" t="0" r="6985" b="21590"/>
            <wp:docPr id="45" name="图片 45" descr="FPL PA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FPL PAST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644015" cy="1375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1656715" cy="1412875"/>
            <wp:effectExtent l="0" t="0" r="19685" b="9525"/>
            <wp:docPr id="46" name="图片 46" descr="FPL PAS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FPL PASL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656715" cy="141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1870710" cy="1338580"/>
            <wp:effectExtent l="0" t="0" r="8890" b="7620"/>
            <wp:docPr id="47" name="图片 47" descr="FPL SL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FPL SLST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870710" cy="1338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 Regular" w:hAnsi="Times New Roman Regular" w:cs="Times New Roman Regular"/>
          <w:sz w:val="20"/>
          <w:szCs w:val="20"/>
        </w:rPr>
      </w:pPr>
    </w:p>
    <w:p>
      <w:pPr>
        <w:rPr>
          <w:rFonts w:ascii="Times New Roman Regular" w:hAnsi="Times New Roman Regular" w:cs="Times New Roman Regular"/>
          <w:sz w:val="20"/>
          <w:szCs w:val="20"/>
        </w:rPr>
      </w:pPr>
      <w:r>
        <w:rPr>
          <w:rFonts w:ascii="Times New Roman Regular" w:hAnsi="Times New Roman Regular" w:cs="Times New Roman Regular"/>
          <w:sz w:val="20"/>
          <w:szCs w:val="20"/>
        </w:rPr>
        <w:t>Abbreviations: PA=physical activity; SL= sleep; ST=screen time</w:t>
      </w:r>
      <w:r>
        <w:rPr>
          <w:rFonts w:hint="default" w:ascii="Times New Roman Regular" w:hAnsi="Times New Roman Regular" w:cs="Times New Roman Regular"/>
          <w:sz w:val="20"/>
          <w:szCs w:val="20"/>
          <w:lang w:val="en-US"/>
        </w:rPr>
        <w:t>; FPL = Federal Poverty Level</w:t>
      </w:r>
      <w:r>
        <w:rPr>
          <w:rFonts w:ascii="Times New Roman Regular" w:hAnsi="Times New Roman Regular" w:cs="Times New Roman Regular"/>
          <w:sz w:val="20"/>
          <w:szCs w:val="20"/>
        </w:rPr>
        <w:t>.</w:t>
      </w: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rPr>
          <w:rFonts w:hint="eastAsia" w:ascii="Arial Bold" w:hAnsi="Arial Bold" w:cs="Arial Bold"/>
          <w:b/>
        </w:rPr>
      </w:pPr>
    </w:p>
    <w:p>
      <w:pPr>
        <w:pStyle w:val="5"/>
        <w:rPr>
          <w:rFonts w:hint="default"/>
          <w:lang w:val="en-US"/>
        </w:rPr>
      </w:pPr>
      <w:bookmarkStart w:id="200" w:name="_Toc256257320"/>
      <w:bookmarkStart w:id="201" w:name="_Toc673636277"/>
      <w:bookmarkStart w:id="202" w:name="_Toc1367646112"/>
      <w:bookmarkStart w:id="203" w:name="_Toc730150176"/>
      <w:r>
        <w:rPr>
          <w:rFonts w:hint="default"/>
          <w:lang w:val="en-US"/>
        </w:rPr>
        <w:t xml:space="preserve"> </w:t>
      </w:r>
      <w:bookmarkStart w:id="204" w:name="_Toc1865506887"/>
      <w:r>
        <w:rPr>
          <w:rFonts w:hint="default"/>
          <w:lang w:val="en-US"/>
        </w:rPr>
        <w:t>Figure 2. C</w:t>
      </w:r>
      <w:r>
        <w:t xml:space="preserve">rude weighted trends in 24-HMB guidelines among youth with </w:t>
      </w:r>
      <w:r>
        <w:rPr>
          <w:rFonts w:hint="default"/>
          <w:lang w:val="en-US"/>
        </w:rPr>
        <w:t>MBD conditions</w:t>
      </w:r>
      <w:bookmarkEnd w:id="200"/>
      <w:bookmarkEnd w:id="201"/>
      <w:bookmarkEnd w:id="202"/>
      <w:bookmarkEnd w:id="203"/>
      <w:bookmarkEnd w:id="204"/>
    </w:p>
    <w:p>
      <w:pPr>
        <w:pStyle w:val="6"/>
        <w:rPr>
          <w:rFonts w:hint="default"/>
          <w:lang w:val="en-US"/>
        </w:rPr>
      </w:pPr>
      <w:bookmarkStart w:id="205" w:name="_Toc912449074"/>
      <w:bookmarkStart w:id="206" w:name="_Toc271120555"/>
      <w:bookmarkStart w:id="207" w:name="_Toc1212065005"/>
      <w:r>
        <w:rPr>
          <w:rFonts w:hint="default"/>
          <w:lang w:val="en-US"/>
        </w:rPr>
        <w:t xml:space="preserve"> </w:t>
      </w:r>
      <w:bookmarkStart w:id="208" w:name="_Toc313003609"/>
      <w:r>
        <w:rPr>
          <w:rFonts w:hint="default"/>
          <w:lang w:val="en-US"/>
        </w:rPr>
        <w:t>Figure 2.1 Crude weighted trends in 24-HMB guidelines among youth with anxiety/depression, NSCH 2016-2021</w:t>
      </w:r>
      <w:bookmarkEnd w:id="205"/>
      <w:bookmarkEnd w:id="206"/>
      <w:bookmarkEnd w:id="207"/>
      <w:bookmarkEnd w:id="208"/>
    </w:p>
    <w:p>
      <w:pPr>
        <w:rPr>
          <w:rFonts w:hint="eastAsia" w:ascii="Arial Regular" w:hAnsi="Arial Regular" w:cs="Arial Regular"/>
          <w:sz w:val="20"/>
          <w:szCs w:val="20"/>
        </w:rPr>
      </w:pPr>
      <w:r>
        <w:rPr>
          <w:rFonts w:hint="eastAsia"/>
        </w:rPr>
        <w:t>a</w:t>
      </w:r>
      <w:r>
        <w:rPr>
          <w:rFonts w:hint="default"/>
          <w:lang w:val="en-US"/>
        </w:rPr>
        <w:t>)</w:t>
      </w:r>
      <w:r>
        <w:rPr>
          <w:rFonts w:ascii="Arial Regular" w:hAnsi="Arial Regular" w:cs="Arial Regular"/>
          <w:sz w:val="20"/>
          <w:szCs w:val="20"/>
        </w:rPr>
        <w:drawing>
          <wp:inline distT="0" distB="0" distL="114300" distR="114300">
            <wp:extent cx="2358390" cy="1416685"/>
            <wp:effectExtent l="0" t="0" r="3810" b="5715"/>
            <wp:docPr id="2" name="图片 2" descr="single anxie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ingle anxiety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358390" cy="141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Regular" w:hAnsi="Arial Regular" w:cs="Arial Regular"/>
          <w:sz w:val="20"/>
          <w:szCs w:val="20"/>
        </w:rPr>
        <w:t>b</w:t>
      </w:r>
      <w:r>
        <w:rPr>
          <w:rFonts w:hint="default" w:ascii="Arial Regular" w:hAnsi="Arial Regular" w:cs="Arial Regular"/>
          <w:sz w:val="20"/>
          <w:szCs w:val="20"/>
          <w:lang w:val="en-US"/>
        </w:rPr>
        <w:t>)</w:t>
      </w:r>
      <w:r>
        <w:rPr>
          <w:rFonts w:hint="eastAsia" w:ascii="Arial Regular" w:hAnsi="Arial Regular" w:cs="Arial Regular"/>
          <w:sz w:val="20"/>
          <w:szCs w:val="20"/>
        </w:rPr>
        <w:drawing>
          <wp:inline distT="0" distB="0" distL="114300" distR="114300">
            <wp:extent cx="2475865" cy="1443355"/>
            <wp:effectExtent l="0" t="0" r="13335" b="4445"/>
            <wp:docPr id="8" name="图片 8" descr="anxiety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anxiety 2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475865" cy="1443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Arial Regular" w:hAnsi="Arial Regular" w:cs="Arial Regular"/>
          <w:sz w:val="20"/>
          <w:szCs w:val="20"/>
        </w:rPr>
        <w:t xml:space="preserve"> </w:t>
      </w:r>
    </w:p>
    <w:p>
      <w:pPr>
        <w:rPr>
          <w:rFonts w:hint="eastAsia" w:ascii="Arial Regular" w:hAnsi="Arial Regular" w:cs="Arial Regular"/>
          <w:sz w:val="20"/>
          <w:szCs w:val="20"/>
        </w:rPr>
      </w:pPr>
      <w:r>
        <w:rPr>
          <w:rFonts w:ascii="Arial Regular" w:hAnsi="Arial Regular" w:cs="Arial Regular"/>
          <w:sz w:val="20"/>
          <w:szCs w:val="20"/>
        </w:rPr>
        <w:t>c</w:t>
      </w:r>
      <w:r>
        <w:rPr>
          <w:rFonts w:hint="default" w:ascii="Arial Regular" w:hAnsi="Arial Regular" w:cs="Arial Regular"/>
          <w:sz w:val="20"/>
          <w:szCs w:val="20"/>
          <w:lang w:val="en-US"/>
        </w:rPr>
        <w:t>)</w:t>
      </w:r>
      <w:r>
        <w:rPr>
          <w:rFonts w:ascii="Arial Regular" w:hAnsi="Arial Regular" w:cs="Arial Regular"/>
          <w:sz w:val="20"/>
          <w:szCs w:val="20"/>
        </w:rPr>
        <w:drawing>
          <wp:inline distT="0" distB="0" distL="114300" distR="114300">
            <wp:extent cx="2394585" cy="1445260"/>
            <wp:effectExtent l="0" t="0" r="18415" b="2540"/>
            <wp:docPr id="12" name="图片 12" descr="depressio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depression 1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394585" cy="144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Regular" w:hAnsi="Arial Regular" w:cs="Arial Regular"/>
          <w:sz w:val="20"/>
          <w:szCs w:val="20"/>
        </w:rPr>
        <w:t xml:space="preserve">  d</w:t>
      </w:r>
      <w:r>
        <w:rPr>
          <w:rFonts w:hint="default" w:ascii="Arial Regular" w:hAnsi="Arial Regular" w:cs="Arial Regular"/>
          <w:sz w:val="20"/>
          <w:szCs w:val="20"/>
          <w:lang w:val="en-US"/>
        </w:rPr>
        <w:t>)</w:t>
      </w:r>
      <w:r>
        <w:rPr>
          <w:rFonts w:ascii="Arial Regular" w:hAnsi="Arial Regular" w:cs="Arial Regular"/>
          <w:sz w:val="20"/>
          <w:szCs w:val="20"/>
        </w:rPr>
        <w:drawing>
          <wp:inline distT="0" distB="0" distL="114300" distR="114300">
            <wp:extent cx="2332355" cy="1546860"/>
            <wp:effectExtent l="0" t="0" r="4445" b="2540"/>
            <wp:docPr id="15" name="图片 15" descr="depressio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depression 2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332355" cy="154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Regular" w:hAnsi="Arial Regular" w:cs="Arial Regular"/>
          <w:sz w:val="20"/>
          <w:szCs w:val="20"/>
        </w:rPr>
        <w:t xml:space="preserve">   </w:t>
      </w:r>
      <w:r>
        <w:rPr>
          <w:rFonts w:hint="eastAsia" w:ascii="Arial Regular" w:hAnsi="Arial Regular" w:cs="Arial Regular"/>
          <w:sz w:val="20"/>
          <w:szCs w:val="20"/>
        </w:rPr>
        <w:t xml:space="preserve">  </w:t>
      </w:r>
    </w:p>
    <w:p>
      <w:pPr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  <w:r>
        <w:rPr>
          <w:rFonts w:ascii="Arial Regular" w:hAnsi="Arial Regular" w:cs="Arial Regular"/>
          <w:sz w:val="20"/>
          <w:szCs w:val="20"/>
        </w:rPr>
        <w:t>e</w:t>
      </w:r>
      <w:r>
        <w:rPr>
          <w:rFonts w:hint="default" w:ascii="Arial Regular" w:hAnsi="Arial Regular" w:cs="Arial Regular"/>
          <w:sz w:val="20"/>
          <w:szCs w:val="20"/>
          <w:lang w:val="en-US"/>
        </w:rPr>
        <w:t>)</w:t>
      </w:r>
      <w:r>
        <w:rPr>
          <w:rFonts w:ascii="Arial Regular" w:hAnsi="Arial Regular" w:cs="Arial Regular"/>
          <w:sz w:val="20"/>
          <w:szCs w:val="20"/>
        </w:rPr>
        <w:drawing>
          <wp:inline distT="0" distB="0" distL="114300" distR="114300">
            <wp:extent cx="2383155" cy="1432560"/>
            <wp:effectExtent l="0" t="0" r="4445" b="15240"/>
            <wp:docPr id="48" name="图片 48" descr="anx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anxde 1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383155" cy="1432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Regular" w:hAnsi="Arial Regular" w:cs="Arial Regular"/>
          <w:sz w:val="20"/>
          <w:szCs w:val="20"/>
        </w:rPr>
        <w:t>f</w:t>
      </w:r>
      <w:r>
        <w:rPr>
          <w:rFonts w:hint="default" w:ascii="Arial Regular" w:hAnsi="Arial Regular" w:cs="Arial Regular"/>
          <w:sz w:val="20"/>
          <w:szCs w:val="20"/>
          <w:lang w:val="en-US"/>
        </w:rPr>
        <w:t>)</w:t>
      </w:r>
      <w:r>
        <w:rPr>
          <w:rFonts w:ascii="Arial Regular" w:hAnsi="Arial Regular" w:cs="Arial Regular"/>
          <w:sz w:val="20"/>
          <w:szCs w:val="20"/>
        </w:rPr>
        <w:drawing>
          <wp:inline distT="0" distB="0" distL="114300" distR="114300">
            <wp:extent cx="2613660" cy="1587500"/>
            <wp:effectExtent l="0" t="0" r="2540" b="12700"/>
            <wp:docPr id="49" name="图片 49" descr="anx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anxde 2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613660" cy="158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Regular" w:hAnsi="Arial Regular" w:cs="Arial Regular"/>
          <w:sz w:val="20"/>
          <w:szCs w:val="20"/>
        </w:rPr>
        <w:t xml:space="preserve"> </w:t>
      </w:r>
    </w:p>
    <w:p>
      <w:pPr>
        <w:rPr>
          <w:rFonts w:ascii="Times New Roman Regular" w:hAnsi="Times New Roman Regular" w:cs="Times New Roman Regular"/>
          <w:sz w:val="20"/>
          <w:szCs w:val="20"/>
        </w:rPr>
      </w:pPr>
      <w:r>
        <w:rPr>
          <w:rFonts w:ascii="Times New Roman Regular" w:hAnsi="Times New Roman Regular" w:cs="Times New Roman Regular"/>
          <w:sz w:val="20"/>
          <w:szCs w:val="20"/>
        </w:rPr>
        <w:t>Note: a (independent guideline) and b (integrated guidelines) represent the estimated prevalence trend of 24-HMB guideline adherence among youth with anxiety (N=20,</w:t>
      </w:r>
      <w:r>
        <w:rPr>
          <w:rFonts w:hint="default" w:ascii="Times New Roman Regular" w:hAnsi="Times New Roman Regular" w:cs="Times New Roman Regular"/>
          <w:sz w:val="20"/>
          <w:szCs w:val="20"/>
          <w:lang w:val="en-US"/>
        </w:rPr>
        <w:t>8</w:t>
      </w:r>
      <w:r>
        <w:rPr>
          <w:rFonts w:ascii="Times New Roman Regular" w:hAnsi="Times New Roman Regular" w:cs="Times New Roman Regular"/>
          <w:sz w:val="20"/>
          <w:szCs w:val="20"/>
        </w:rPr>
        <w:t>6</w:t>
      </w:r>
      <w:r>
        <w:rPr>
          <w:rFonts w:hint="default" w:ascii="Times New Roman Regular" w:hAnsi="Times New Roman Regular" w:cs="Times New Roman Regular"/>
          <w:sz w:val="20"/>
          <w:szCs w:val="20"/>
          <w:lang w:val="en-US"/>
        </w:rPr>
        <w:t>8</w:t>
      </w:r>
      <w:r>
        <w:rPr>
          <w:rFonts w:ascii="Times New Roman Regular" w:hAnsi="Times New Roman Regular" w:cs="Times New Roman Regular"/>
          <w:sz w:val="20"/>
          <w:szCs w:val="20"/>
        </w:rPr>
        <w:t>), c (independent guideline) and d (integrated guidelines) represent the estimated prevalence trend of meeting 24-HMB guideline</w:t>
      </w:r>
      <w:r>
        <w:rPr>
          <w:rFonts w:hint="default" w:ascii="Times New Roman Regular" w:hAnsi="Times New Roman Regular" w:cs="Times New Roman Regular"/>
          <w:sz w:val="20"/>
          <w:szCs w:val="20"/>
        </w:rPr>
        <w:t>s</w:t>
      </w:r>
      <w:r>
        <w:rPr>
          <w:rFonts w:ascii="Times New Roman Regular" w:hAnsi="Times New Roman Regular" w:cs="Times New Roman Regular"/>
          <w:sz w:val="20"/>
          <w:szCs w:val="20"/>
        </w:rPr>
        <w:t xml:space="preserve"> among youth with depression (N=</w:t>
      </w:r>
      <w:r>
        <w:rPr>
          <w:rFonts w:hint="default" w:ascii="Times New Roman Regular" w:hAnsi="Times New Roman Regular" w:cs="Times New Roman Regular"/>
          <w:sz w:val="20"/>
          <w:szCs w:val="20"/>
          <w:lang w:val="en-US"/>
        </w:rPr>
        <w:t>10,206</w:t>
      </w:r>
      <w:r>
        <w:rPr>
          <w:rFonts w:ascii="Times New Roman Regular" w:hAnsi="Times New Roman Regular" w:cs="Times New Roman Regular"/>
          <w:sz w:val="20"/>
          <w:szCs w:val="20"/>
        </w:rPr>
        <w:t>), and e (independent guideline) and f (integrated guidelines) represent the estimated prevalence trend of meeting 24-HMB guidelines among youth with comorbidity of anxiety and depression (N=</w:t>
      </w:r>
      <w:r>
        <w:rPr>
          <w:rFonts w:hint="default" w:ascii="Times New Roman Regular" w:hAnsi="Times New Roman Regular" w:cs="Times New Roman Regular"/>
          <w:sz w:val="20"/>
          <w:szCs w:val="20"/>
          <w:lang w:val="en-US"/>
        </w:rPr>
        <w:t>8,094</w:t>
      </w:r>
      <w:r>
        <w:rPr>
          <w:rFonts w:ascii="Times New Roman Regular" w:hAnsi="Times New Roman Regular" w:cs="Times New Roman Regular"/>
          <w:sz w:val="20"/>
          <w:szCs w:val="20"/>
        </w:rPr>
        <w:t>). Figure a-f exhibited trends in categorical guidelines (single/integrated) over a span of 6 years,PA=physical activity; SL= sleep; ST=screen time; None= meeting none of the guidelines, ALL = meeting PA + ST + SL guidelines</w:t>
      </w:r>
      <w:r>
        <w:rPr>
          <w:rFonts w:hint="default" w:ascii="Times New Roman Regular" w:hAnsi="Times New Roman Regular" w:cs="Times New Roman Regular"/>
          <w:sz w:val="20"/>
          <w:szCs w:val="20"/>
          <w:lang w:val="en-US"/>
        </w:rPr>
        <w:t xml:space="preserve">, and </w:t>
      </w:r>
      <w:r>
        <w:rPr>
          <w:rFonts w:hint="default" w:ascii="Times New Roman Regular" w:hAnsi="Times New Roman Regular" w:cs="Times New Roman Regular"/>
          <w:lang w:val="en-US"/>
        </w:rPr>
        <w:t>MBD=</w:t>
      </w:r>
      <w:r>
        <w:rPr>
          <w:rFonts w:hint="default" w:ascii="Times New Roman Regular" w:hAnsi="Times New Roman Regular" w:cs="Times New Roman Regular"/>
        </w:rPr>
        <w:t>mental, behavioral, neurodevelopmental</w:t>
      </w:r>
      <w:r>
        <w:rPr>
          <w:rFonts w:ascii="Times New Roman Regular" w:hAnsi="Times New Roman Regular" w:cs="Times New Roman Regular"/>
          <w:sz w:val="20"/>
          <w:szCs w:val="20"/>
        </w:rPr>
        <w:t>.</w:t>
      </w:r>
    </w:p>
    <w:p>
      <w:pPr>
        <w:rPr>
          <w:rFonts w:ascii="Times New Roman Regular" w:hAnsi="Times New Roman Regular" w:cs="Times New Roman Regular"/>
          <w:sz w:val="20"/>
          <w:szCs w:val="20"/>
        </w:rPr>
      </w:pPr>
    </w:p>
    <w:p>
      <w:pPr>
        <w:rPr>
          <w:rFonts w:ascii="Times New Roman Regular" w:hAnsi="Times New Roman Regular" w:cs="Times New Roman Regular"/>
          <w:sz w:val="20"/>
          <w:szCs w:val="20"/>
        </w:rPr>
      </w:pPr>
    </w:p>
    <w:p>
      <w:pPr>
        <w:rPr>
          <w:rFonts w:ascii="Times New Roman Regular" w:hAnsi="Times New Roman Regular" w:cs="Times New Roman Regular"/>
          <w:sz w:val="20"/>
          <w:szCs w:val="20"/>
        </w:rPr>
      </w:pPr>
    </w:p>
    <w:p>
      <w:pPr>
        <w:rPr>
          <w:rFonts w:ascii="Times New Roman Regular" w:hAnsi="Times New Roman Regular" w:cs="Times New Roman Regular"/>
          <w:sz w:val="20"/>
          <w:szCs w:val="20"/>
        </w:rPr>
      </w:pPr>
    </w:p>
    <w:p>
      <w:pPr>
        <w:pStyle w:val="6"/>
        <w:rPr>
          <w:rFonts w:hint="default"/>
          <w:lang w:val="en-US"/>
        </w:rPr>
      </w:pPr>
      <w:bookmarkStart w:id="209" w:name="_Toc146663593"/>
      <w:bookmarkStart w:id="210" w:name="_Toc1910352598"/>
      <w:bookmarkStart w:id="211" w:name="_Toc350863491"/>
      <w:r>
        <w:rPr>
          <w:rFonts w:hint="default"/>
          <w:lang w:val="en-US"/>
        </w:rPr>
        <w:t xml:space="preserve"> </w:t>
      </w:r>
      <w:bookmarkStart w:id="212" w:name="_Toc1464204960"/>
      <w:r>
        <w:rPr>
          <w:rFonts w:hint="default"/>
          <w:lang w:val="en-US"/>
        </w:rPr>
        <w:t>Figure 2.2. Crude weighted trends in 24-HMB guidelines among youth with ASD/ADHD, NSCH 2016-2021</w:t>
      </w:r>
      <w:bookmarkEnd w:id="209"/>
      <w:bookmarkEnd w:id="210"/>
      <w:bookmarkEnd w:id="211"/>
      <w:bookmarkEnd w:id="212"/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rPr>
          <w:rFonts w:hint="eastAsia" w:ascii="Arial Regular" w:hAnsi="Arial Regular" w:cs="Arial Regular" w:eastAsiaTheme="minorEastAsia"/>
          <w:sz w:val="20"/>
          <w:szCs w:val="20"/>
          <w:lang w:eastAsia="zh-CN"/>
        </w:rPr>
      </w:pPr>
      <w:r>
        <w:t>a</w:t>
      </w:r>
      <w:r>
        <w:rPr>
          <w:rFonts w:hint="default"/>
          <w:lang w:val="en-US"/>
        </w:rPr>
        <w:t>)</w:t>
      </w:r>
      <w:r>
        <w:rPr>
          <w:rFonts w:hint="eastAsia" w:ascii="Arial Regular" w:hAnsi="Arial Regular" w:cs="Arial Regular"/>
          <w:sz w:val="20"/>
          <w:szCs w:val="20"/>
        </w:rPr>
        <w:drawing>
          <wp:inline distT="0" distB="0" distL="114300" distR="114300">
            <wp:extent cx="2387600" cy="1440180"/>
            <wp:effectExtent l="0" t="0" r="0" b="7620"/>
            <wp:docPr id="51" name="图片 51" descr="as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asd 1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38760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Arial Regular" w:hAnsi="Arial Regular" w:cs="Arial Regular"/>
          <w:sz w:val="20"/>
          <w:szCs w:val="20"/>
        </w:rPr>
        <w:t xml:space="preserve"> </w:t>
      </w:r>
      <w:r>
        <w:rPr>
          <w:rFonts w:ascii="Arial Regular" w:hAnsi="Arial Regular" w:cs="Arial Regular"/>
          <w:sz w:val="20"/>
          <w:szCs w:val="20"/>
        </w:rPr>
        <w:t>b</w:t>
      </w:r>
      <w:r>
        <w:rPr>
          <w:rFonts w:hint="default" w:ascii="Arial Regular" w:hAnsi="Arial Regular" w:cs="Arial Regular"/>
          <w:sz w:val="20"/>
          <w:szCs w:val="20"/>
          <w:lang w:val="en-US"/>
        </w:rPr>
        <w:t>)</w:t>
      </w:r>
      <w:r>
        <w:rPr>
          <w:rFonts w:ascii="Arial Regular" w:hAnsi="Arial Regular" w:cs="Arial Regular"/>
          <w:sz w:val="20"/>
          <w:szCs w:val="20"/>
        </w:rPr>
        <w:drawing>
          <wp:inline distT="0" distB="0" distL="114300" distR="114300">
            <wp:extent cx="2394585" cy="1399540"/>
            <wp:effectExtent l="0" t="0" r="18415" b="22860"/>
            <wp:docPr id="52" name="图片 52" descr="as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asd 2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394585" cy="139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 w:ascii="Arial Regular" w:hAnsi="Arial Regular" w:cs="Arial Regular"/>
          <w:sz w:val="20"/>
          <w:szCs w:val="20"/>
        </w:rPr>
        <w:t>c</w:t>
      </w:r>
      <w:r>
        <w:rPr>
          <w:rFonts w:hint="default" w:ascii="Arial Regular" w:hAnsi="Arial Regular" w:cs="Arial Regular"/>
          <w:sz w:val="20"/>
          <w:szCs w:val="20"/>
          <w:lang w:val="en-US"/>
        </w:rPr>
        <w:t>)</w:t>
      </w:r>
      <w:r>
        <w:rPr>
          <w:rFonts w:hint="eastAsia" w:ascii="Arial Regular" w:hAnsi="Arial Regular" w:cs="Arial Regular"/>
          <w:sz w:val="20"/>
          <w:szCs w:val="20"/>
        </w:rPr>
        <w:drawing>
          <wp:inline distT="0" distB="0" distL="114300" distR="114300">
            <wp:extent cx="2534285" cy="1529715"/>
            <wp:effectExtent l="0" t="0" r="5715" b="19685"/>
            <wp:docPr id="53" name="图片 53" descr="adh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adhd 1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534285" cy="1529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Arial Regular" w:hAnsi="Arial Regular" w:cs="Arial Regular"/>
          <w:sz w:val="20"/>
          <w:szCs w:val="20"/>
        </w:rPr>
        <w:t>d</w:t>
      </w:r>
      <w:r>
        <w:rPr>
          <w:rFonts w:hint="default" w:ascii="Arial Regular" w:hAnsi="Arial Regular" w:cs="Arial Regular"/>
          <w:sz w:val="20"/>
          <w:szCs w:val="20"/>
          <w:lang w:val="en-US"/>
        </w:rPr>
        <w:t>)</w:t>
      </w:r>
      <w:r>
        <w:rPr>
          <w:rFonts w:ascii="Arial Regular" w:hAnsi="Arial Regular" w:cs="Arial Regular"/>
          <w:sz w:val="20"/>
          <w:szCs w:val="20"/>
        </w:rPr>
        <w:t xml:space="preserve"> </w:t>
      </w:r>
      <w:r>
        <w:rPr>
          <w:rFonts w:ascii="Arial Regular" w:hAnsi="Arial Regular" w:cs="Arial Regular"/>
          <w:sz w:val="20"/>
          <w:szCs w:val="20"/>
        </w:rPr>
        <w:drawing>
          <wp:inline distT="0" distB="0" distL="114300" distR="114300">
            <wp:extent cx="2399665" cy="1501140"/>
            <wp:effectExtent l="0" t="0" r="13335" b="22860"/>
            <wp:docPr id="54" name="图片 54" descr="adh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adhd 2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399665" cy="1501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Regular" w:hAnsi="Arial Regular" w:cs="Arial Regular"/>
          <w:sz w:val="20"/>
          <w:szCs w:val="20"/>
        </w:rPr>
        <w:t xml:space="preserve">  </w:t>
      </w:r>
      <w:r>
        <w:t xml:space="preserve"> </w:t>
      </w:r>
      <w:r>
        <w:rPr>
          <w:rFonts w:hint="eastAsia"/>
        </w:rPr>
        <w:t xml:space="preserve">  </w:t>
      </w:r>
    </w:p>
    <w:p>
      <w:pPr>
        <w:rPr>
          <w:rFonts w:hint="eastAsia" w:ascii="Arial Regular" w:hAnsi="Arial Regular" w:cs="Arial Regular"/>
          <w:sz w:val="20"/>
          <w:szCs w:val="20"/>
        </w:rPr>
      </w:pPr>
      <w:r>
        <w:rPr>
          <w:rFonts w:hint="eastAsia"/>
        </w:rPr>
        <w:t>e</w:t>
      </w:r>
      <w:r>
        <w:rPr>
          <w:rFonts w:hint="default"/>
          <w:lang w:val="en-US"/>
        </w:rPr>
        <w:t>)</w:t>
      </w:r>
      <w:r>
        <w:rPr>
          <w:rFonts w:hint="eastAsia" w:ascii="Arial Regular" w:hAnsi="Arial Regular" w:cs="Arial Regular"/>
          <w:sz w:val="20"/>
          <w:szCs w:val="20"/>
        </w:rPr>
        <w:drawing>
          <wp:inline distT="0" distB="0" distL="114300" distR="114300">
            <wp:extent cx="2395855" cy="1439545"/>
            <wp:effectExtent l="0" t="0" r="17145" b="8255"/>
            <wp:docPr id="55" name="图片 55" descr="asdadh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asdadhd1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39585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Arial Regular" w:hAnsi="Arial Regular" w:cs="Arial Regular"/>
          <w:sz w:val="20"/>
          <w:szCs w:val="20"/>
        </w:rPr>
        <w:t xml:space="preserve"> f</w:t>
      </w:r>
      <w:r>
        <w:rPr>
          <w:rFonts w:hint="default" w:ascii="Arial Regular" w:hAnsi="Arial Regular" w:cs="Arial Regular"/>
          <w:sz w:val="20"/>
          <w:szCs w:val="20"/>
          <w:lang w:val="en-US"/>
        </w:rPr>
        <w:t>)</w:t>
      </w:r>
      <w:r>
        <w:rPr>
          <w:rFonts w:hint="eastAsia" w:ascii="Arial Regular" w:hAnsi="Arial Regular" w:cs="Arial Regular"/>
          <w:sz w:val="20"/>
          <w:szCs w:val="20"/>
        </w:rPr>
        <w:drawing>
          <wp:inline distT="0" distB="0" distL="114300" distR="114300">
            <wp:extent cx="2509520" cy="1564005"/>
            <wp:effectExtent l="0" t="0" r="5080" b="10795"/>
            <wp:docPr id="56" name="图片 56" descr="asdadh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asdadhd2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509520" cy="1564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Arial Regular" w:hAnsi="Arial Regular" w:cs="Arial Regular"/>
          <w:sz w:val="20"/>
          <w:szCs w:val="20"/>
        </w:rPr>
        <w:t xml:space="preserve"> </w:t>
      </w:r>
    </w:p>
    <w:p>
      <w:pPr>
        <w:rPr>
          <w:rFonts w:ascii="Times New Roman Regular" w:hAnsi="Times New Roman Regular" w:cs="Times New Roman Regular"/>
          <w:sz w:val="20"/>
          <w:szCs w:val="20"/>
        </w:rPr>
      </w:pPr>
      <w:r>
        <w:rPr>
          <w:rFonts w:ascii="Times New Roman Regular" w:hAnsi="Times New Roman Regular" w:cs="Times New Roman Regular"/>
          <w:sz w:val="20"/>
          <w:szCs w:val="20"/>
        </w:rPr>
        <w:t>Note: a (independent guideline) and b (integrated guidelines) represent the estimated prevalence trend of meeting 24-HMB guideline among youth with ASD (N=4,94</w:t>
      </w:r>
      <w:r>
        <w:rPr>
          <w:rFonts w:hint="default" w:ascii="Times New Roman Regular" w:hAnsi="Times New Roman Regular" w:cs="Times New Roman Regular"/>
          <w:sz w:val="20"/>
          <w:szCs w:val="20"/>
          <w:lang w:val="en-US"/>
        </w:rPr>
        <w:t>4</w:t>
      </w:r>
      <w:r>
        <w:rPr>
          <w:rFonts w:ascii="Times New Roman Regular" w:hAnsi="Times New Roman Regular" w:cs="Times New Roman Regular"/>
          <w:sz w:val="20"/>
          <w:szCs w:val="20"/>
        </w:rPr>
        <w:t>), c (independent guideline) and d (integrated guidelines) represent the estimated prevalence trend of meeting 24-HMB guidelines among youth with ADHD (N=1</w:t>
      </w:r>
      <w:r>
        <w:rPr>
          <w:rFonts w:hint="default" w:ascii="Times New Roman Regular" w:hAnsi="Times New Roman Regular" w:cs="Times New Roman Regular"/>
          <w:sz w:val="20"/>
          <w:szCs w:val="20"/>
          <w:lang w:val="en-US"/>
        </w:rPr>
        <w:t>9</w:t>
      </w:r>
      <w:r>
        <w:rPr>
          <w:rFonts w:ascii="Times New Roman Regular" w:hAnsi="Times New Roman Regular" w:cs="Times New Roman Regular"/>
          <w:sz w:val="20"/>
          <w:szCs w:val="20"/>
        </w:rPr>
        <w:t>,</w:t>
      </w:r>
      <w:r>
        <w:rPr>
          <w:rFonts w:hint="default" w:ascii="Times New Roman Regular" w:hAnsi="Times New Roman Regular" w:cs="Times New Roman Regular"/>
          <w:sz w:val="20"/>
          <w:szCs w:val="20"/>
          <w:lang w:val="en-US"/>
        </w:rPr>
        <w:t>3</w:t>
      </w:r>
      <w:r>
        <w:rPr>
          <w:rFonts w:ascii="Times New Roman Regular" w:hAnsi="Times New Roman Regular" w:cs="Times New Roman Regular"/>
          <w:sz w:val="20"/>
          <w:szCs w:val="20"/>
        </w:rPr>
        <w:t>0</w:t>
      </w:r>
      <w:r>
        <w:rPr>
          <w:rFonts w:hint="default" w:ascii="Times New Roman Regular" w:hAnsi="Times New Roman Regular" w:cs="Times New Roman Regular"/>
          <w:sz w:val="20"/>
          <w:szCs w:val="20"/>
          <w:lang w:val="en-US"/>
        </w:rPr>
        <w:t>1</w:t>
      </w:r>
      <w:r>
        <w:rPr>
          <w:rFonts w:ascii="Times New Roman Regular" w:hAnsi="Times New Roman Regular" w:cs="Times New Roman Regular"/>
          <w:sz w:val="20"/>
          <w:szCs w:val="20"/>
        </w:rPr>
        <w:t>), and e (independent guideline) and f (integrated guidelines) represent the estimated prevalence trend of meeting 24-HMB guidelines among youth with comorbidity of ASD and ADHD (N=2,5</w:t>
      </w:r>
      <w:r>
        <w:rPr>
          <w:rFonts w:hint="default" w:ascii="Times New Roman Regular" w:hAnsi="Times New Roman Regular" w:cs="Times New Roman Regular"/>
          <w:sz w:val="20"/>
          <w:szCs w:val="20"/>
          <w:lang w:val="en-US"/>
        </w:rPr>
        <w:t>98</w:t>
      </w:r>
      <w:r>
        <w:rPr>
          <w:rFonts w:ascii="Times New Roman Regular" w:hAnsi="Times New Roman Regular" w:cs="Times New Roman Regular"/>
          <w:sz w:val="20"/>
          <w:szCs w:val="20"/>
        </w:rPr>
        <w:t>). Figure a-f exhibited trends in categorical guidelines (single/integrated) over a span of 6 years,PA=physical activity; SL= sleep; ST=screen time; None= meeting none of the guidelines, and ALL = meeting PA + ST + SL guidelines.</w:t>
      </w:r>
    </w:p>
    <w:p>
      <w:pPr>
        <w:rPr>
          <w:rFonts w:ascii="Arial Regular" w:hAnsi="Arial Regular" w:cs="Arial Regular"/>
          <w:sz w:val="20"/>
          <w:szCs w:val="20"/>
        </w:rPr>
      </w:pPr>
    </w:p>
    <w:p>
      <w:pPr>
        <w:rPr>
          <w:rFonts w:hint="eastAsia" w:ascii="Arial Regular" w:hAnsi="Arial Regular" w:cs="Arial Regular"/>
          <w:sz w:val="20"/>
          <w:szCs w:val="20"/>
        </w:rPr>
      </w:pPr>
    </w:p>
    <w:p>
      <w:pPr>
        <w:rPr>
          <w:rFonts w:hint="eastAsia" w:ascii="Arial Regular" w:hAnsi="Arial Regular" w:cs="Arial Regular"/>
          <w:sz w:val="20"/>
          <w:szCs w:val="20"/>
        </w:rPr>
      </w:pPr>
    </w:p>
    <w:p>
      <w:pPr>
        <w:rPr>
          <w:rFonts w:hint="eastAsia" w:ascii="Arial Regular" w:hAnsi="Arial Regular" w:cs="Arial Regular"/>
          <w:sz w:val="20"/>
          <w:szCs w:val="20"/>
        </w:rPr>
      </w:pPr>
    </w:p>
    <w:p>
      <w:pPr>
        <w:rPr>
          <w:rFonts w:hint="eastAsia" w:ascii="Arial Regular" w:hAnsi="Arial Regular" w:cs="Arial Regular"/>
          <w:sz w:val="20"/>
          <w:szCs w:val="20"/>
        </w:rPr>
      </w:pPr>
      <w:bookmarkStart w:id="233" w:name="_GoBack"/>
      <w:bookmarkEnd w:id="233"/>
    </w:p>
    <w:p>
      <w:pPr>
        <w:rPr>
          <w:rFonts w:hint="eastAsia" w:ascii="Arial Regular" w:hAnsi="Arial Regular" w:cs="Arial Regular"/>
          <w:sz w:val="20"/>
          <w:szCs w:val="20"/>
        </w:rPr>
      </w:pPr>
    </w:p>
    <w:p>
      <w:pPr>
        <w:rPr>
          <w:rFonts w:hint="eastAsia" w:ascii="Arial Regular" w:hAnsi="Arial Regular" w:cs="Arial Regular"/>
          <w:sz w:val="20"/>
          <w:szCs w:val="20"/>
        </w:rPr>
      </w:pPr>
    </w:p>
    <w:p>
      <w:pPr>
        <w:rPr>
          <w:rFonts w:hint="eastAsia" w:ascii="Arial Regular" w:hAnsi="Arial Regular" w:cs="Arial Regular"/>
          <w:sz w:val="20"/>
          <w:szCs w:val="20"/>
        </w:rPr>
      </w:pPr>
    </w:p>
    <w:p>
      <w:pPr>
        <w:pStyle w:val="6"/>
        <w:rPr>
          <w:rFonts w:hint="default"/>
          <w:lang w:val="en-US"/>
        </w:rPr>
      </w:pPr>
      <w:bookmarkStart w:id="213" w:name="_Toc1811264442"/>
      <w:bookmarkStart w:id="214" w:name="_Toc268108289"/>
      <w:bookmarkStart w:id="215" w:name="_Toc2120082222"/>
      <w:bookmarkStart w:id="216" w:name="_Toc877651747"/>
      <w:r>
        <w:rPr>
          <w:rFonts w:hint="default"/>
          <w:lang w:val="en-US"/>
        </w:rPr>
        <w:t>Figure 2.3. Crude weighted trends in 24-HMB guidelines among youth with speech disorder, NSCH 2016-2021</w:t>
      </w:r>
      <w:bookmarkEnd w:id="213"/>
      <w:bookmarkEnd w:id="214"/>
      <w:bookmarkEnd w:id="215"/>
      <w:bookmarkEnd w:id="216"/>
    </w:p>
    <w:p>
      <w:pPr>
        <w:rPr>
          <w:rFonts w:hint="eastAsia" w:ascii="Arial Regular" w:hAnsi="Arial Regular" w:cs="Arial Regular"/>
          <w:sz w:val="20"/>
          <w:szCs w:val="20"/>
        </w:rPr>
      </w:pPr>
    </w:p>
    <w:p>
      <w:pPr>
        <w:rPr>
          <w:rFonts w:hint="default" w:ascii="Arial Regular" w:hAnsi="Arial Regular" w:cs="Arial Regular"/>
          <w:sz w:val="20"/>
          <w:szCs w:val="20"/>
          <w:lang w:val="en-US"/>
        </w:rPr>
      </w:pPr>
      <w:r>
        <w:rPr>
          <w:rFonts w:hint="eastAsia" w:ascii="Arial Regular" w:hAnsi="Arial Regular" w:cs="Arial Regular"/>
          <w:sz w:val="20"/>
          <w:szCs w:val="20"/>
        </w:rPr>
        <w:t>a</w:t>
      </w:r>
      <w:r>
        <w:rPr>
          <w:rFonts w:hint="default" w:ascii="Arial Regular" w:hAnsi="Arial Regular" w:cs="Arial Regular"/>
          <w:sz w:val="20"/>
          <w:szCs w:val="20"/>
          <w:lang w:val="en-US"/>
        </w:rPr>
        <w:t>)</w:t>
      </w:r>
      <w:r>
        <w:rPr>
          <w:rFonts w:hint="eastAsia" w:ascii="Arial Regular" w:hAnsi="Arial Regular" w:cs="Arial Regular"/>
          <w:sz w:val="20"/>
          <w:szCs w:val="20"/>
        </w:rPr>
        <w:drawing>
          <wp:inline distT="0" distB="0" distL="114300" distR="114300">
            <wp:extent cx="2324100" cy="1402080"/>
            <wp:effectExtent l="0" t="0" r="12700" b="20320"/>
            <wp:docPr id="57" name="图片 57" descr="speech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speech 1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1402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Arial Regular" w:hAnsi="Arial Regular" w:cs="Arial Regular"/>
          <w:sz w:val="20"/>
          <w:szCs w:val="20"/>
        </w:rPr>
        <w:t>b</w:t>
      </w:r>
      <w:r>
        <w:rPr>
          <w:rFonts w:hint="default" w:ascii="Arial Regular" w:hAnsi="Arial Regular" w:cs="Arial Regular"/>
          <w:sz w:val="20"/>
          <w:szCs w:val="20"/>
          <w:lang w:val="en-US"/>
        </w:rPr>
        <w:t>)</w:t>
      </w:r>
      <w:r>
        <w:rPr>
          <w:rFonts w:ascii="Arial Regular" w:hAnsi="Arial Regular" w:cs="Arial Regular"/>
          <w:sz w:val="20"/>
          <w:szCs w:val="20"/>
        </w:rPr>
        <w:drawing>
          <wp:inline distT="0" distB="0" distL="114300" distR="114300">
            <wp:extent cx="2433955" cy="1435735"/>
            <wp:effectExtent l="0" t="0" r="4445" b="12065"/>
            <wp:docPr id="58" name="图片 58" descr="speech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speech 2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433955" cy="1435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  <w:r>
        <w:rPr>
          <w:rFonts w:ascii="Times New Roman Regular" w:hAnsi="Times New Roman Regular" w:cs="Times New Roman Regular"/>
          <w:sz w:val="20"/>
          <w:szCs w:val="20"/>
        </w:rPr>
        <w:t>Note: a (independent guideline) and b (integrated guidelines) represent the estimated prevalence trend of meeting 24-HMB guideline among youth with speech disorder (N=11,9</w:t>
      </w:r>
      <w:r>
        <w:rPr>
          <w:rFonts w:hint="default" w:ascii="Times New Roman Regular" w:hAnsi="Times New Roman Regular" w:cs="Times New Roman Regular"/>
          <w:sz w:val="20"/>
          <w:szCs w:val="20"/>
          <w:lang w:val="en-US"/>
        </w:rPr>
        <w:t>48</w:t>
      </w:r>
      <w:r>
        <w:rPr>
          <w:rFonts w:ascii="Times New Roman Regular" w:hAnsi="Times New Roman Regular" w:cs="Times New Roman Regular"/>
          <w:sz w:val="20"/>
          <w:szCs w:val="20"/>
        </w:rPr>
        <w:t>), Figure a-b exhibited trends in categorical guidelines (single/integrated) over a span of 6 years, PA=physical activity; SL= sleep; ST=screen time; None= meeting none of the guidelines, and ALL = meeting PA + ST + SL guidelines.</w:t>
      </w:r>
    </w:p>
    <w:p>
      <w:pPr>
        <w:rPr>
          <w:rFonts w:ascii="Times New Roman Regular" w:hAnsi="Times New Roman Regular" w:cs="Times New Roman Regular"/>
          <w:sz w:val="24"/>
        </w:rPr>
      </w:pPr>
    </w:p>
    <w:p>
      <w:pPr>
        <w:rPr>
          <w:rFonts w:ascii="Arial Narrow" w:hAnsi="Arial Narrow" w:cs="Times New Roman Regular"/>
          <w:sz w:val="24"/>
        </w:rPr>
      </w:pPr>
    </w:p>
    <w:p>
      <w:pPr>
        <w:pStyle w:val="6"/>
        <w:rPr>
          <w:rFonts w:hint="default"/>
          <w:lang w:val="en-US"/>
        </w:rPr>
      </w:pPr>
      <w:bookmarkStart w:id="217" w:name="_Toc1340780469"/>
      <w:bookmarkStart w:id="218" w:name="_Toc1173234130"/>
      <w:bookmarkStart w:id="219" w:name="_Toc675321817"/>
      <w:bookmarkStart w:id="220" w:name="_Toc1775224233"/>
      <w:r>
        <w:rPr>
          <w:rFonts w:hint="default"/>
          <w:lang w:val="en-US"/>
        </w:rPr>
        <w:t>Figure 2.4. Crude weighted trends in 24-HMB guidelines among youth with learning disability, NSCH 2016-2021</w:t>
      </w:r>
      <w:bookmarkEnd w:id="217"/>
      <w:bookmarkEnd w:id="218"/>
      <w:bookmarkEnd w:id="219"/>
      <w:bookmarkEnd w:id="220"/>
    </w:p>
    <w:p>
      <w:pPr>
        <w:rPr>
          <w:rFonts w:ascii="Arial Narrow" w:hAnsi="Arial Narrow" w:cs="Times New Roman Regular"/>
          <w:sz w:val="24"/>
        </w:rPr>
      </w:pPr>
    </w:p>
    <w:p>
      <w:pPr>
        <w:rPr>
          <w:rFonts w:ascii="Arial Narrow" w:hAnsi="Arial Narrow" w:cs="Times New Roman Regular"/>
          <w:sz w:val="24"/>
        </w:rPr>
      </w:pPr>
    </w:p>
    <w:p>
      <w:pPr>
        <w:rPr>
          <w:rFonts w:hint="eastAsia" w:ascii="Arial Regular" w:hAnsi="Arial Regular" w:cs="Arial Regular"/>
          <w:sz w:val="20"/>
          <w:szCs w:val="20"/>
        </w:rPr>
      </w:pPr>
      <w:r>
        <w:rPr>
          <w:rFonts w:hint="eastAsia" w:ascii="Arial Regular" w:hAnsi="Arial Regular" w:cs="Arial Regular"/>
          <w:sz w:val="20"/>
          <w:szCs w:val="20"/>
        </w:rPr>
        <w:t>a</w:t>
      </w:r>
      <w:r>
        <w:rPr>
          <w:rFonts w:hint="default" w:ascii="Arial Regular" w:hAnsi="Arial Regular" w:cs="Arial Regular"/>
          <w:sz w:val="20"/>
          <w:szCs w:val="20"/>
          <w:lang w:val="en-US"/>
        </w:rPr>
        <w:t>)</w:t>
      </w:r>
      <w:r>
        <w:rPr>
          <w:rFonts w:hint="eastAsia" w:ascii="Arial Regular" w:hAnsi="Arial Regular" w:cs="Arial Regular"/>
          <w:sz w:val="20"/>
          <w:szCs w:val="20"/>
        </w:rPr>
        <w:drawing>
          <wp:inline distT="0" distB="0" distL="114300" distR="114300">
            <wp:extent cx="2372995" cy="1426210"/>
            <wp:effectExtent l="0" t="0" r="14605" b="21590"/>
            <wp:docPr id="59" name="图片 59" descr="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ld 1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372995" cy="142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Arial Regular" w:hAnsi="Arial Regular" w:cs="Arial Regular"/>
          <w:sz w:val="20"/>
          <w:szCs w:val="20"/>
        </w:rPr>
        <w:t xml:space="preserve">  b</w:t>
      </w:r>
      <w:r>
        <w:rPr>
          <w:rFonts w:hint="default" w:ascii="Arial Regular" w:hAnsi="Arial Regular" w:cs="Arial Regular"/>
          <w:sz w:val="20"/>
          <w:szCs w:val="20"/>
          <w:lang w:val="en-US"/>
        </w:rPr>
        <w:t>)</w:t>
      </w:r>
      <w:r>
        <w:drawing>
          <wp:inline distT="0" distB="0" distL="114300" distR="114300">
            <wp:extent cx="2461895" cy="1474470"/>
            <wp:effectExtent l="0" t="0" r="1905" b="24130"/>
            <wp:docPr id="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1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461895" cy="1474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Arial Regular" w:hAnsi="Arial Regular" w:cs="Arial Regular"/>
          <w:sz w:val="20"/>
          <w:szCs w:val="20"/>
        </w:rPr>
      </w:pPr>
    </w:p>
    <w:p>
      <w:pPr>
        <w:rPr>
          <w:rFonts w:hint="default" w:ascii="Times New Roman Regular" w:hAnsi="Times New Roman Regular" w:cs="Times New Roman Regular"/>
          <w:sz w:val="20"/>
          <w:szCs w:val="20"/>
          <w:lang w:val="en-US"/>
        </w:rPr>
      </w:pPr>
      <w:r>
        <w:rPr>
          <w:rFonts w:ascii="Times New Roman Regular" w:hAnsi="Times New Roman Regular" w:cs="Times New Roman Regular"/>
          <w:sz w:val="20"/>
          <w:szCs w:val="20"/>
        </w:rPr>
        <w:t>Note: a (independent guideline) and b (integrated guidelines) represent the estimated prevalence trend of meeting 24-HMB guideline among youth with learning disability (N=12,</w:t>
      </w:r>
      <w:r>
        <w:rPr>
          <w:rFonts w:hint="default" w:ascii="Times New Roman Regular" w:hAnsi="Times New Roman Regular" w:cs="Times New Roman Regular"/>
          <w:sz w:val="20"/>
          <w:szCs w:val="20"/>
          <w:lang w:val="en-US"/>
        </w:rPr>
        <w:t>932</w:t>
      </w:r>
      <w:r>
        <w:rPr>
          <w:rFonts w:ascii="Times New Roman Regular" w:hAnsi="Times New Roman Regular" w:cs="Times New Roman Regular"/>
          <w:sz w:val="20"/>
          <w:szCs w:val="20"/>
        </w:rPr>
        <w:t>), Figure a-b exhibited trends in categorical guidelines (single/integrated) over a span of 6 years, PA=physical activity; SL= sleep; ST=screen time; None= meeting none of the guidelines, and ALL = meeting PA + ST + SL guidelines</w:t>
      </w:r>
      <w:r>
        <w:rPr>
          <w:rFonts w:hint="default" w:ascii="Times New Roman Regular" w:hAnsi="Times New Roman Regular" w:cs="Times New Roman Regular"/>
          <w:sz w:val="20"/>
          <w:szCs w:val="20"/>
          <w:lang w:val="en-US"/>
        </w:rPr>
        <w:t>.</w:t>
      </w:r>
    </w:p>
    <w:p>
      <w:pPr>
        <w:rPr>
          <w:rFonts w:ascii="Arial Narrow" w:hAnsi="Arial Narrow"/>
        </w:rPr>
      </w:pPr>
    </w:p>
    <w:p>
      <w:pPr>
        <w:rPr>
          <w:rFonts w:ascii="Arial Narrow" w:hAnsi="Arial Narrow"/>
        </w:rPr>
      </w:pPr>
    </w:p>
    <w:p>
      <w:pPr>
        <w:rPr>
          <w:rFonts w:ascii="Arial Narrow" w:hAnsi="Arial Narrow"/>
        </w:rPr>
      </w:pPr>
    </w:p>
    <w:p>
      <w:pPr>
        <w:rPr>
          <w:rFonts w:ascii="Arial Narrow" w:hAnsi="Arial Narrow"/>
        </w:rPr>
      </w:pPr>
    </w:p>
    <w:p>
      <w:pPr>
        <w:rPr>
          <w:rFonts w:ascii="Arial Narrow" w:hAnsi="Arial Narrow"/>
        </w:rPr>
      </w:pPr>
    </w:p>
    <w:p>
      <w:pPr>
        <w:rPr>
          <w:rFonts w:ascii="Arial Narrow" w:hAnsi="Arial Narrow"/>
        </w:rPr>
      </w:pPr>
    </w:p>
    <w:p>
      <w:pPr>
        <w:pStyle w:val="6"/>
        <w:rPr>
          <w:rFonts w:hint="default"/>
          <w:lang w:val="en-US"/>
        </w:rPr>
      </w:pPr>
      <w:bookmarkStart w:id="221" w:name="_Toc951434512"/>
      <w:bookmarkStart w:id="222" w:name="_Toc682703924"/>
      <w:bookmarkStart w:id="223" w:name="_Toc351176156"/>
      <w:bookmarkStart w:id="224" w:name="_Toc1203376260"/>
      <w:r>
        <w:rPr>
          <w:rFonts w:hint="default"/>
          <w:lang w:val="en-US"/>
        </w:rPr>
        <w:t>Figure 2.5. Crude weighted trends in 24-HMB guidelines among youth with developmental delay, NSCH 2016-2021</w:t>
      </w:r>
      <w:bookmarkEnd w:id="221"/>
      <w:bookmarkEnd w:id="222"/>
      <w:bookmarkEnd w:id="223"/>
      <w:bookmarkEnd w:id="224"/>
    </w:p>
    <w:p>
      <w:pPr>
        <w:rPr>
          <w:rFonts w:ascii="Arial Narrow" w:hAnsi="Arial Narrow"/>
        </w:rPr>
      </w:pPr>
    </w:p>
    <w:p>
      <w:pPr>
        <w:numPr>
          <w:ilvl w:val="0"/>
          <w:numId w:val="10"/>
        </w:numPr>
        <w:rPr>
          <w:rFonts w:ascii="Arial Regular" w:hAnsi="Arial Regular" w:cs="Arial Regular"/>
          <w:sz w:val="20"/>
          <w:szCs w:val="20"/>
        </w:rPr>
      </w:pPr>
      <w:r>
        <w:rPr>
          <w:rFonts w:hint="eastAsia" w:ascii="Arial Regular" w:hAnsi="Arial Regular" w:cs="Arial Regular"/>
          <w:sz w:val="20"/>
          <w:szCs w:val="20"/>
        </w:rPr>
        <w:drawing>
          <wp:inline distT="0" distB="0" distL="114300" distR="114300">
            <wp:extent cx="2424430" cy="1463040"/>
            <wp:effectExtent l="0" t="0" r="13970" b="10160"/>
            <wp:docPr id="61" name="图片 61" descr="develo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develop 1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424430" cy="146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Arial Regular" w:hAnsi="Arial Regular" w:cs="Arial Regular"/>
          <w:sz w:val="20"/>
          <w:szCs w:val="20"/>
        </w:rPr>
        <w:t>b</w:t>
      </w:r>
      <w:r>
        <w:rPr>
          <w:rFonts w:hint="default" w:ascii="Arial Regular" w:hAnsi="Arial Regular" w:cs="Arial Regular"/>
          <w:sz w:val="20"/>
          <w:szCs w:val="20"/>
          <w:lang w:val="en-US"/>
        </w:rPr>
        <w:t>)</w:t>
      </w:r>
      <w:r>
        <w:rPr>
          <w:rFonts w:ascii="Arial Regular" w:hAnsi="Arial Regular" w:cs="Arial Regular"/>
          <w:sz w:val="20"/>
          <w:szCs w:val="20"/>
        </w:rPr>
        <w:drawing>
          <wp:inline distT="0" distB="0" distL="114300" distR="114300">
            <wp:extent cx="2434590" cy="1428750"/>
            <wp:effectExtent l="0" t="0" r="3810" b="19050"/>
            <wp:docPr id="63" name="图片 63" descr="develop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develop2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43459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 Regular" w:hAnsi="Times New Roman Regular" w:cs="Times New Roman Regular"/>
          <w:b/>
          <w:bCs/>
          <w:sz w:val="20"/>
          <w:szCs w:val="20"/>
          <w:lang w:val="en-US"/>
        </w:rPr>
      </w:pP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  <w:r>
        <w:rPr>
          <w:rFonts w:ascii="Times New Roman Regular" w:hAnsi="Times New Roman Regular" w:cs="Times New Roman Regular"/>
          <w:sz w:val="20"/>
          <w:szCs w:val="20"/>
        </w:rPr>
        <w:t>Note: a (independent guideline) and b (integrated guidelines) represent the estimated prevalence trend of meeting 24-HMB guideline among youth with developmental delay (N=10,</w:t>
      </w:r>
      <w:r>
        <w:rPr>
          <w:rFonts w:hint="default" w:ascii="Times New Roman Regular" w:hAnsi="Times New Roman Regular" w:cs="Times New Roman Regular"/>
          <w:sz w:val="20"/>
          <w:szCs w:val="20"/>
          <w:lang w:val="en-US"/>
        </w:rPr>
        <w:t>478</w:t>
      </w:r>
      <w:r>
        <w:rPr>
          <w:rFonts w:ascii="Times New Roman Regular" w:hAnsi="Times New Roman Regular" w:cs="Times New Roman Regular"/>
          <w:sz w:val="20"/>
          <w:szCs w:val="20"/>
        </w:rPr>
        <w:t>), Figure a-b exhibited trends in categorical guidelines (single/integrated) over a span of 6 years, PA=physical activity; SL= sleep; ST=screen time; None= meeting none of the guidelines, and ALL = meeting PA + ST + SL guidelines.</w:t>
      </w:r>
    </w:p>
    <w:p>
      <w:pPr>
        <w:rPr>
          <w:rFonts w:ascii="Arial Narrow" w:hAnsi="Arial Narrow"/>
          <w:sz w:val="24"/>
        </w:rPr>
      </w:pPr>
    </w:p>
    <w:p>
      <w:pPr>
        <w:pStyle w:val="6"/>
        <w:rPr>
          <w:rFonts w:hint="default"/>
          <w:lang w:val="en-US"/>
        </w:rPr>
      </w:pPr>
      <w:bookmarkStart w:id="225" w:name="_Toc932591936"/>
      <w:bookmarkStart w:id="226" w:name="_Toc596607622"/>
      <w:bookmarkStart w:id="227" w:name="_Toc199724747"/>
      <w:bookmarkStart w:id="228" w:name="_Toc143814374"/>
      <w:r>
        <w:rPr>
          <w:rFonts w:hint="default"/>
          <w:lang w:val="en-US"/>
        </w:rPr>
        <w:t>Figure 2.6. Crude weighted trends in 24-HMB guidelines among youth with behavior problem, NSCH 2016-2021</w:t>
      </w:r>
      <w:bookmarkEnd w:id="225"/>
      <w:bookmarkEnd w:id="226"/>
      <w:bookmarkEnd w:id="227"/>
      <w:bookmarkEnd w:id="228"/>
    </w:p>
    <w:p>
      <w:pPr>
        <w:rPr>
          <w:rFonts w:ascii="Arial Narrow" w:hAnsi="Arial Narrow"/>
          <w:sz w:val="24"/>
        </w:rPr>
      </w:pPr>
    </w:p>
    <w:p>
      <w:pPr>
        <w:numPr>
          <w:ilvl w:val="0"/>
          <w:numId w:val="11"/>
        </w:numPr>
        <w:rPr>
          <w:rFonts w:ascii="Arial Regular" w:hAnsi="Arial Regular" w:cs="Arial Regular"/>
          <w:sz w:val="20"/>
          <w:szCs w:val="20"/>
        </w:rPr>
      </w:pPr>
      <w:r>
        <w:rPr>
          <w:rFonts w:hint="eastAsia" w:ascii="Arial Regular" w:hAnsi="Arial Regular" w:cs="Arial Regular"/>
          <w:sz w:val="20"/>
          <w:szCs w:val="20"/>
        </w:rPr>
        <w:drawing>
          <wp:inline distT="0" distB="0" distL="114300" distR="114300">
            <wp:extent cx="2280285" cy="1375410"/>
            <wp:effectExtent l="0" t="0" r="5715" b="21590"/>
            <wp:docPr id="66" name="图片 66" descr="behavior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behavior 1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280285" cy="1375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Arial Regular" w:hAnsi="Arial Regular" w:cs="Arial Regular"/>
          <w:sz w:val="20"/>
          <w:szCs w:val="20"/>
        </w:rPr>
        <w:t>b</w:t>
      </w:r>
      <w:r>
        <w:rPr>
          <w:rFonts w:hint="default" w:ascii="Arial Regular" w:hAnsi="Arial Regular" w:cs="Arial Regular"/>
          <w:sz w:val="20"/>
          <w:szCs w:val="20"/>
          <w:lang w:val="en-US"/>
        </w:rPr>
        <w:t>)</w:t>
      </w:r>
      <w:r>
        <w:rPr>
          <w:rFonts w:ascii="Arial Regular" w:hAnsi="Arial Regular" w:cs="Arial Regular"/>
          <w:sz w:val="20"/>
          <w:szCs w:val="20"/>
        </w:rPr>
        <w:drawing>
          <wp:inline distT="0" distB="0" distL="114300" distR="114300">
            <wp:extent cx="2458720" cy="1390650"/>
            <wp:effectExtent l="0" t="0" r="5080" b="6350"/>
            <wp:docPr id="75" name="图片 75" descr="behavior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 descr="behavior 2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45872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 Regular" w:hAnsi="Times New Roman Regular" w:cs="Times New Roman Regular"/>
          <w:sz w:val="20"/>
          <w:szCs w:val="20"/>
        </w:rPr>
      </w:pPr>
      <w:r>
        <w:rPr>
          <w:rFonts w:ascii="Times New Roman Regular" w:hAnsi="Times New Roman Regular" w:cs="Times New Roman Regular"/>
          <w:sz w:val="20"/>
          <w:szCs w:val="20"/>
        </w:rPr>
        <w:t>Note: a (independent guideline) and b (integrated guidelines) represent the estimated prevalence trend of meeting 24-HMB guideline among youth with behavior problem population (N=14,</w:t>
      </w:r>
      <w:r>
        <w:rPr>
          <w:rFonts w:hint="default" w:ascii="Times New Roman Regular" w:hAnsi="Times New Roman Regular" w:cs="Times New Roman Regular"/>
          <w:sz w:val="20"/>
          <w:szCs w:val="20"/>
          <w:lang w:val="en-US"/>
        </w:rPr>
        <w:t>923</w:t>
      </w:r>
      <w:r>
        <w:rPr>
          <w:rFonts w:ascii="Times New Roman Regular" w:hAnsi="Times New Roman Regular" w:cs="Times New Roman Regular"/>
          <w:sz w:val="20"/>
          <w:szCs w:val="20"/>
        </w:rPr>
        <w:t>) , Figure a-b exhibited trends in categorical guidelines (single/integrated) over a span of 6 years, PA=physical activity; SL= sleep; ST=screen time; None= meeting none of the guidelines, and ALL = meeting PA + ST + SL guidelines.</w:t>
      </w:r>
    </w:p>
    <w:p>
      <w:pPr>
        <w:rPr>
          <w:rFonts w:ascii="Times New Roman Regular" w:hAnsi="Times New Roman Regular" w:cs="Times New Roman Regular"/>
          <w:sz w:val="20"/>
          <w:szCs w:val="20"/>
        </w:rPr>
      </w:pP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pStyle w:val="6"/>
        <w:rPr>
          <w:rFonts w:hint="default"/>
          <w:lang w:val="en-US"/>
        </w:rPr>
      </w:pPr>
      <w:bookmarkStart w:id="229" w:name="_Toc1737012546"/>
      <w:bookmarkStart w:id="230" w:name="_Toc256882568"/>
      <w:bookmarkStart w:id="231" w:name="_Toc583155111"/>
      <w:bookmarkStart w:id="232" w:name="_Toc1169080943"/>
      <w:r>
        <w:rPr>
          <w:rFonts w:hint="default"/>
          <w:lang w:val="en-US"/>
        </w:rPr>
        <w:t>Figure 2.7. Crude weighted trends in 24-HMB guidelines among youth with brain injury, NSCH 2016-2021</w:t>
      </w:r>
      <w:bookmarkEnd w:id="229"/>
      <w:bookmarkEnd w:id="230"/>
      <w:bookmarkEnd w:id="231"/>
      <w:bookmarkEnd w:id="232"/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numPr>
          <w:ilvl w:val="0"/>
          <w:numId w:val="12"/>
        </w:numPr>
        <w:rPr>
          <w:rFonts w:ascii="Arial Regular" w:hAnsi="Arial Regular" w:cs="Arial Regular"/>
          <w:sz w:val="20"/>
          <w:szCs w:val="20"/>
        </w:rPr>
      </w:pPr>
      <w:r>
        <w:rPr>
          <w:rFonts w:ascii="Arial Regular" w:hAnsi="Arial Regular" w:cs="Arial Regular"/>
          <w:sz w:val="20"/>
          <w:szCs w:val="20"/>
        </w:rPr>
        <w:drawing>
          <wp:inline distT="0" distB="0" distL="114300" distR="114300">
            <wp:extent cx="2312670" cy="1395095"/>
            <wp:effectExtent l="0" t="0" r="24130" b="1905"/>
            <wp:docPr id="94" name="图片 94" descr="bi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 descr="bi 1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312670" cy="139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Regular" w:hAnsi="Arial Regular" w:cs="Arial Regular"/>
          <w:sz w:val="20"/>
          <w:szCs w:val="20"/>
        </w:rPr>
        <w:t>b</w:t>
      </w:r>
      <w:r>
        <w:rPr>
          <w:rFonts w:hint="default" w:ascii="Arial Regular" w:hAnsi="Arial Regular" w:cs="Arial Regular"/>
          <w:sz w:val="20"/>
          <w:szCs w:val="20"/>
          <w:lang w:val="en-US"/>
        </w:rPr>
        <w:t>)</w:t>
      </w:r>
      <w:r>
        <w:rPr>
          <w:rFonts w:ascii="Arial Regular" w:hAnsi="Arial Regular" w:cs="Arial Regular"/>
          <w:sz w:val="20"/>
          <w:szCs w:val="20"/>
        </w:rPr>
        <w:drawing>
          <wp:inline distT="0" distB="0" distL="114300" distR="114300">
            <wp:extent cx="2571750" cy="1454150"/>
            <wp:effectExtent l="0" t="0" r="19050" b="19050"/>
            <wp:docPr id="95" name="图片 95" descr="bi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 descr="bi 2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145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 Regular" w:hAnsi="Times New Roman Regular" w:cs="Times New Roman Regular"/>
          <w:sz w:val="20"/>
          <w:szCs w:val="20"/>
        </w:rPr>
      </w:pPr>
    </w:p>
    <w:p>
      <w:pPr>
        <w:rPr>
          <w:rFonts w:hint="default" w:ascii="Times New Roman Regular" w:hAnsi="Times New Roman Regular" w:cs="Times New Roman Regular"/>
          <w:sz w:val="20"/>
          <w:szCs w:val="20"/>
        </w:rPr>
      </w:pPr>
      <w:r>
        <w:rPr>
          <w:rFonts w:ascii="Times New Roman Regular" w:hAnsi="Times New Roman Regular" w:cs="Times New Roman Regular"/>
          <w:sz w:val="20"/>
          <w:szCs w:val="20"/>
        </w:rPr>
        <w:t>Note: a (independent guideline) and b (integrated guidelines) represent the estimated prevalence trend of meeting 24-HMB guideline among youth with brain injury (N=9,</w:t>
      </w:r>
      <w:r>
        <w:rPr>
          <w:rFonts w:hint="default" w:ascii="Times New Roman Regular" w:hAnsi="Times New Roman Regular" w:cs="Times New Roman Regular"/>
          <w:sz w:val="20"/>
          <w:szCs w:val="20"/>
          <w:lang w:val="en-US"/>
        </w:rPr>
        <w:t>382</w:t>
      </w:r>
      <w:r>
        <w:rPr>
          <w:rFonts w:ascii="Times New Roman Regular" w:hAnsi="Times New Roman Regular" w:cs="Times New Roman Regular"/>
          <w:sz w:val="20"/>
          <w:szCs w:val="20"/>
        </w:rPr>
        <w:t>), Figure a-b exhibited trends in categorical guidelines (single/integrated) over a span of 6 years, PA=physical activity; SL= sleep; ST=screen time; None= meeting none of the guidelines, and ALL = meeting PA + ST + SL guidelines.</w:t>
      </w:r>
    </w:p>
    <w:p>
      <w:pPr>
        <w:rPr>
          <w:rFonts w:hint="eastAsia" w:ascii="Arial Regular" w:hAnsi="Arial Regular" w:cs="Arial Regular"/>
          <w:sz w:val="20"/>
          <w:szCs w:val="20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Narrow Regular">
    <w:panose1 w:val="020B0606020202030204"/>
    <w:charset w:val="00"/>
    <w:family w:val="auto"/>
    <w:pitch w:val="default"/>
    <w:sig w:usb0="00000000" w:usb1="00000000" w:usb2="00000000" w:usb3="00000000" w:csb0="00000000" w:csb1="00000000"/>
  </w:font>
  <w:font w:name="Arial Regular"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Arial Bold"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swiss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7" name="文本框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BYA&#10;AABkcnMvUEsBAhQAFAAAAAgAh07iQLNJWO7QAAAABQEAAA8AAAAAAAAAAQAgAAAAOAAAAGRycy9k&#10;b3ducmV2LnhtbFBLAQIUABQAAAAIAIdO4kArtLilLQIAAFcEAAAOAAAAAAAAAAEAIAAAADUBAABk&#10;cnMvZTJvRG9jLnhtbFBLBQYAAAAABgAGAFkBAADU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BE89BD"/>
    <w:multiLevelType w:val="singleLevel"/>
    <w:tmpl w:val="97BE89BD"/>
    <w:lvl w:ilvl="0" w:tentative="0">
      <w:start w:val="1"/>
      <w:numFmt w:val="decimal"/>
      <w:suff w:val="space"/>
      <w:lvlText w:val="%1-"/>
      <w:lvlJc w:val="left"/>
    </w:lvl>
  </w:abstractNum>
  <w:abstractNum w:abstractNumId="1">
    <w:nsid w:val="B0FED55D"/>
    <w:multiLevelType w:val="singleLevel"/>
    <w:tmpl w:val="B0FED55D"/>
    <w:lvl w:ilvl="0" w:tentative="0">
      <w:start w:val="1"/>
      <w:numFmt w:val="decimal"/>
      <w:suff w:val="space"/>
      <w:lvlText w:val="%1-"/>
      <w:lvlJc w:val="left"/>
    </w:lvl>
  </w:abstractNum>
  <w:abstractNum w:abstractNumId="2">
    <w:nsid w:val="D7F9EAFB"/>
    <w:multiLevelType w:val="singleLevel"/>
    <w:tmpl w:val="D7F9EAFB"/>
    <w:lvl w:ilvl="0" w:tentative="0">
      <w:start w:val="1"/>
      <w:numFmt w:val="decimal"/>
      <w:suff w:val="space"/>
      <w:lvlText w:val="%1-"/>
      <w:lvlJc w:val="left"/>
    </w:lvl>
  </w:abstractNum>
  <w:abstractNum w:abstractNumId="3">
    <w:nsid w:val="D7FDF395"/>
    <w:multiLevelType w:val="singleLevel"/>
    <w:tmpl w:val="D7FDF395"/>
    <w:lvl w:ilvl="0" w:tentative="0">
      <w:start w:val="1"/>
      <w:numFmt w:val="lowerLetter"/>
      <w:lvlText w:val="%1)"/>
      <w:lvlJc w:val="left"/>
      <w:pPr>
        <w:tabs>
          <w:tab w:val="left" w:pos="312"/>
        </w:tabs>
      </w:pPr>
    </w:lvl>
  </w:abstractNum>
  <w:abstractNum w:abstractNumId="4">
    <w:nsid w:val="DDFFDB25"/>
    <w:multiLevelType w:val="singleLevel"/>
    <w:tmpl w:val="DDFFDB25"/>
    <w:lvl w:ilvl="0" w:tentative="0">
      <w:start w:val="1"/>
      <w:numFmt w:val="lowerLetter"/>
      <w:lvlText w:val="%1)"/>
      <w:lvlJc w:val="left"/>
      <w:pPr>
        <w:tabs>
          <w:tab w:val="left" w:pos="312"/>
        </w:tabs>
      </w:pPr>
    </w:lvl>
  </w:abstractNum>
  <w:abstractNum w:abstractNumId="5">
    <w:nsid w:val="E77CC8FE"/>
    <w:multiLevelType w:val="singleLevel"/>
    <w:tmpl w:val="E77CC8FE"/>
    <w:lvl w:ilvl="0" w:tentative="0">
      <w:start w:val="1"/>
      <w:numFmt w:val="decimal"/>
      <w:suff w:val="space"/>
      <w:lvlText w:val="%1-"/>
      <w:lvlJc w:val="left"/>
    </w:lvl>
  </w:abstractNum>
  <w:abstractNum w:abstractNumId="6">
    <w:nsid w:val="FDCAF8D0"/>
    <w:multiLevelType w:val="singleLevel"/>
    <w:tmpl w:val="FDCAF8D0"/>
    <w:lvl w:ilvl="0" w:tentative="0">
      <w:start w:val="1"/>
      <w:numFmt w:val="decimal"/>
      <w:suff w:val="space"/>
      <w:lvlText w:val="%1-"/>
      <w:lvlJc w:val="left"/>
    </w:lvl>
  </w:abstractNum>
  <w:abstractNum w:abstractNumId="7">
    <w:nsid w:val="37FC0D4A"/>
    <w:multiLevelType w:val="singleLevel"/>
    <w:tmpl w:val="37FC0D4A"/>
    <w:lvl w:ilvl="0" w:tentative="0">
      <w:start w:val="1"/>
      <w:numFmt w:val="decimal"/>
      <w:suff w:val="space"/>
      <w:lvlText w:val="%1-"/>
      <w:lvlJc w:val="left"/>
    </w:lvl>
  </w:abstractNum>
  <w:abstractNum w:abstractNumId="8">
    <w:nsid w:val="5FEFE783"/>
    <w:multiLevelType w:val="singleLevel"/>
    <w:tmpl w:val="5FEFE783"/>
    <w:lvl w:ilvl="0" w:tentative="0">
      <w:start w:val="1"/>
      <w:numFmt w:val="decimal"/>
      <w:suff w:val="space"/>
      <w:lvlText w:val="%1-"/>
      <w:lvlJc w:val="left"/>
    </w:lvl>
  </w:abstractNum>
  <w:abstractNum w:abstractNumId="9">
    <w:nsid w:val="7BFBBD79"/>
    <w:multiLevelType w:val="singleLevel"/>
    <w:tmpl w:val="7BFBBD79"/>
    <w:lvl w:ilvl="0" w:tentative="0">
      <w:start w:val="1"/>
      <w:numFmt w:val="lowerLetter"/>
      <w:lvlText w:val="%1)"/>
      <w:lvlJc w:val="left"/>
      <w:pPr>
        <w:tabs>
          <w:tab w:val="left" w:pos="312"/>
        </w:tabs>
      </w:pPr>
    </w:lvl>
  </w:abstractNum>
  <w:abstractNum w:abstractNumId="10">
    <w:nsid w:val="7F7661B4"/>
    <w:multiLevelType w:val="singleLevel"/>
    <w:tmpl w:val="7F7661B4"/>
    <w:lvl w:ilvl="0" w:tentative="0">
      <w:start w:val="1"/>
      <w:numFmt w:val="decimal"/>
      <w:suff w:val="space"/>
      <w:lvlText w:val="%1-"/>
      <w:lvlJc w:val="left"/>
    </w:lvl>
  </w:abstractNum>
  <w:abstractNum w:abstractNumId="11">
    <w:nsid w:val="7FFF0E20"/>
    <w:multiLevelType w:val="singleLevel"/>
    <w:tmpl w:val="7FFF0E20"/>
    <w:lvl w:ilvl="0" w:tentative="0">
      <w:start w:val="1"/>
      <w:numFmt w:val="decimal"/>
      <w:suff w:val="space"/>
      <w:lvlText w:val="%1-"/>
      <w:lvlJc w:val="left"/>
    </w:lvl>
  </w:abstractNum>
  <w:num w:numId="1">
    <w:abstractNumId w:val="1"/>
  </w:num>
  <w:num w:numId="2">
    <w:abstractNumId w:val="2"/>
  </w:num>
  <w:num w:numId="3">
    <w:abstractNumId w:val="10"/>
  </w:num>
  <w:num w:numId="4">
    <w:abstractNumId w:val="5"/>
  </w:num>
  <w:num w:numId="5">
    <w:abstractNumId w:val="7"/>
  </w:num>
  <w:num w:numId="6">
    <w:abstractNumId w:val="8"/>
  </w:num>
  <w:num w:numId="7">
    <w:abstractNumId w:val="6"/>
  </w:num>
  <w:num w:numId="8">
    <w:abstractNumId w:val="11"/>
  </w:num>
  <w:num w:numId="9">
    <w:abstractNumId w:val="0"/>
  </w:num>
  <w:num w:numId="10">
    <w:abstractNumId w:val="4"/>
  </w:num>
  <w:num w:numId="11">
    <w:abstractNumId w:val="3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3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FFE6F04E"/>
    <w:rsid w:val="000739C8"/>
    <w:rsid w:val="000B60C6"/>
    <w:rsid w:val="000D1DA9"/>
    <w:rsid w:val="000F39D4"/>
    <w:rsid w:val="001263DA"/>
    <w:rsid w:val="001334FA"/>
    <w:rsid w:val="001B0D64"/>
    <w:rsid w:val="00372BCE"/>
    <w:rsid w:val="004E170F"/>
    <w:rsid w:val="004F7A15"/>
    <w:rsid w:val="005B2E4F"/>
    <w:rsid w:val="00656741"/>
    <w:rsid w:val="00673BD3"/>
    <w:rsid w:val="00775E23"/>
    <w:rsid w:val="007B360C"/>
    <w:rsid w:val="00867CFB"/>
    <w:rsid w:val="00945FBD"/>
    <w:rsid w:val="00A45913"/>
    <w:rsid w:val="00A97401"/>
    <w:rsid w:val="00B360EC"/>
    <w:rsid w:val="00C73270"/>
    <w:rsid w:val="00D7138B"/>
    <w:rsid w:val="00DD24C0"/>
    <w:rsid w:val="00EC34E8"/>
    <w:rsid w:val="00ED1937"/>
    <w:rsid w:val="00F53A93"/>
    <w:rsid w:val="00FE3B58"/>
    <w:rsid w:val="17DEFD98"/>
    <w:rsid w:val="1DD78834"/>
    <w:rsid w:val="1DFBC332"/>
    <w:rsid w:val="1E6F3C1B"/>
    <w:rsid w:val="1E7F795A"/>
    <w:rsid w:val="1FEF3B12"/>
    <w:rsid w:val="1FF6CCDA"/>
    <w:rsid w:val="1FFB405F"/>
    <w:rsid w:val="1FFF0EAF"/>
    <w:rsid w:val="1FFFEBA3"/>
    <w:rsid w:val="2B7FB4AE"/>
    <w:rsid w:val="2CAF5988"/>
    <w:rsid w:val="2E7FB5C7"/>
    <w:rsid w:val="33DF0268"/>
    <w:rsid w:val="35C398CE"/>
    <w:rsid w:val="39FEB5FD"/>
    <w:rsid w:val="3DCA52F8"/>
    <w:rsid w:val="3DF86D56"/>
    <w:rsid w:val="3ECF3A8D"/>
    <w:rsid w:val="3F2B05B6"/>
    <w:rsid w:val="4FA7DAF2"/>
    <w:rsid w:val="5496A017"/>
    <w:rsid w:val="55BFBC7A"/>
    <w:rsid w:val="56ED3747"/>
    <w:rsid w:val="58FFFE06"/>
    <w:rsid w:val="59BF07A1"/>
    <w:rsid w:val="59FC68BF"/>
    <w:rsid w:val="5DDB9CFF"/>
    <w:rsid w:val="5E3D0323"/>
    <w:rsid w:val="5ECB0AF8"/>
    <w:rsid w:val="5FBEDF51"/>
    <w:rsid w:val="5FBFE8B7"/>
    <w:rsid w:val="62FFA1A1"/>
    <w:rsid w:val="648FFC5D"/>
    <w:rsid w:val="64CFB732"/>
    <w:rsid w:val="66F7C4CC"/>
    <w:rsid w:val="697F2F26"/>
    <w:rsid w:val="6BBBA138"/>
    <w:rsid w:val="6BEE789B"/>
    <w:rsid w:val="6BEE7CC1"/>
    <w:rsid w:val="6DFF1013"/>
    <w:rsid w:val="6F2FF4B7"/>
    <w:rsid w:val="6F3C61C2"/>
    <w:rsid w:val="6F7632F7"/>
    <w:rsid w:val="6F7EF2B9"/>
    <w:rsid w:val="6F7F85EB"/>
    <w:rsid w:val="6FA5B08D"/>
    <w:rsid w:val="6FAB45E3"/>
    <w:rsid w:val="6FBF69B6"/>
    <w:rsid w:val="6FE68A75"/>
    <w:rsid w:val="727F780F"/>
    <w:rsid w:val="72FF9A41"/>
    <w:rsid w:val="737AE51F"/>
    <w:rsid w:val="74BC9CFB"/>
    <w:rsid w:val="76FFFFCA"/>
    <w:rsid w:val="772D4A0C"/>
    <w:rsid w:val="77FF3E94"/>
    <w:rsid w:val="78DD8F89"/>
    <w:rsid w:val="79BEBFF4"/>
    <w:rsid w:val="79EECC9F"/>
    <w:rsid w:val="7ADF94D2"/>
    <w:rsid w:val="7BF76C98"/>
    <w:rsid w:val="7BFF4D9F"/>
    <w:rsid w:val="7BFF71EF"/>
    <w:rsid w:val="7D3E1515"/>
    <w:rsid w:val="7D3ED1DD"/>
    <w:rsid w:val="7D756867"/>
    <w:rsid w:val="7DBB130B"/>
    <w:rsid w:val="7DFB38A5"/>
    <w:rsid w:val="7DFFD9D5"/>
    <w:rsid w:val="7E8CB75D"/>
    <w:rsid w:val="7EB79BE9"/>
    <w:rsid w:val="7EBE3BE4"/>
    <w:rsid w:val="7ED70D0A"/>
    <w:rsid w:val="7EF7EAEB"/>
    <w:rsid w:val="7EFDBEF3"/>
    <w:rsid w:val="7F2F2139"/>
    <w:rsid w:val="7F7754E0"/>
    <w:rsid w:val="7FA41CEA"/>
    <w:rsid w:val="7FAF8927"/>
    <w:rsid w:val="7FAFED7E"/>
    <w:rsid w:val="7FB20874"/>
    <w:rsid w:val="7FBB4214"/>
    <w:rsid w:val="7FD6FDE3"/>
    <w:rsid w:val="7FDA951E"/>
    <w:rsid w:val="7FEF042D"/>
    <w:rsid w:val="7FFB9D5C"/>
    <w:rsid w:val="7FFDE223"/>
    <w:rsid w:val="7FFE0C6F"/>
    <w:rsid w:val="7FFFDE91"/>
    <w:rsid w:val="8A1ECD2E"/>
    <w:rsid w:val="8BFD895E"/>
    <w:rsid w:val="8D379BFF"/>
    <w:rsid w:val="95FCFC66"/>
    <w:rsid w:val="97FC3856"/>
    <w:rsid w:val="AF5F05E3"/>
    <w:rsid w:val="AFDBB72F"/>
    <w:rsid w:val="AFE97704"/>
    <w:rsid w:val="AFFD4AB8"/>
    <w:rsid w:val="B79E14BD"/>
    <w:rsid w:val="B7FD95F7"/>
    <w:rsid w:val="BA7FE449"/>
    <w:rsid w:val="BBB9E98A"/>
    <w:rsid w:val="BBF3CE85"/>
    <w:rsid w:val="BECEA647"/>
    <w:rsid w:val="BEFD5E8E"/>
    <w:rsid w:val="BF31338D"/>
    <w:rsid w:val="BF5AD052"/>
    <w:rsid w:val="BF6D56D8"/>
    <w:rsid w:val="BFCF1982"/>
    <w:rsid w:val="CDB605AD"/>
    <w:rsid w:val="CFD74B97"/>
    <w:rsid w:val="D1FB1438"/>
    <w:rsid w:val="D2FF9231"/>
    <w:rsid w:val="D9BD9AC0"/>
    <w:rsid w:val="DBFD791E"/>
    <w:rsid w:val="DBFEF385"/>
    <w:rsid w:val="DBFFB447"/>
    <w:rsid w:val="DD3E1755"/>
    <w:rsid w:val="DDFF5DFE"/>
    <w:rsid w:val="DEFDD740"/>
    <w:rsid w:val="DF1529D1"/>
    <w:rsid w:val="DF833E8A"/>
    <w:rsid w:val="DFBE0D82"/>
    <w:rsid w:val="DFEF0092"/>
    <w:rsid w:val="DFFE67AE"/>
    <w:rsid w:val="DFFFBA5B"/>
    <w:rsid w:val="E2BF26DA"/>
    <w:rsid w:val="E32799EA"/>
    <w:rsid w:val="E6D74DEF"/>
    <w:rsid w:val="E7F7054F"/>
    <w:rsid w:val="EAF4D2EC"/>
    <w:rsid w:val="EBA59A05"/>
    <w:rsid w:val="EBBF5490"/>
    <w:rsid w:val="EBFFE8FE"/>
    <w:rsid w:val="EEB6A9B5"/>
    <w:rsid w:val="EFEECA10"/>
    <w:rsid w:val="EFFD4BAF"/>
    <w:rsid w:val="EFFF288F"/>
    <w:rsid w:val="EFFFD7D0"/>
    <w:rsid w:val="EFFFD8D6"/>
    <w:rsid w:val="F1FA912C"/>
    <w:rsid w:val="F3FF173E"/>
    <w:rsid w:val="F5EFA177"/>
    <w:rsid w:val="F675D907"/>
    <w:rsid w:val="F6BD8D94"/>
    <w:rsid w:val="F6BFFF19"/>
    <w:rsid w:val="F6EEA70B"/>
    <w:rsid w:val="F6F769EF"/>
    <w:rsid w:val="F7B83D60"/>
    <w:rsid w:val="F7BF7C8C"/>
    <w:rsid w:val="F9AB90E9"/>
    <w:rsid w:val="F9F7AA7C"/>
    <w:rsid w:val="FB577DB8"/>
    <w:rsid w:val="FBBDEB5B"/>
    <w:rsid w:val="FBDBC072"/>
    <w:rsid w:val="FBDEDD3B"/>
    <w:rsid w:val="FBEF6D49"/>
    <w:rsid w:val="FBFD4E03"/>
    <w:rsid w:val="FBFE7166"/>
    <w:rsid w:val="FDA687D0"/>
    <w:rsid w:val="FDEF0D4F"/>
    <w:rsid w:val="FDFB3ABE"/>
    <w:rsid w:val="FDFFDFB9"/>
    <w:rsid w:val="FEDBB67D"/>
    <w:rsid w:val="FEF7432B"/>
    <w:rsid w:val="FEF789F3"/>
    <w:rsid w:val="FF67E9A2"/>
    <w:rsid w:val="FF6FCE08"/>
    <w:rsid w:val="FF8B50F7"/>
    <w:rsid w:val="FF9FC509"/>
    <w:rsid w:val="FFDDF32B"/>
    <w:rsid w:val="FFE6F04E"/>
    <w:rsid w:val="FFE7FCAF"/>
    <w:rsid w:val="FFED9AC7"/>
    <w:rsid w:val="FFEFBF59"/>
    <w:rsid w:val="FFF7CF36"/>
    <w:rsid w:val="FFFBF371"/>
    <w:rsid w:val="FFFCF288"/>
    <w:rsid w:val="FFFDE5B4"/>
    <w:rsid w:val="FFFECAF2"/>
    <w:rsid w:val="FFFF1B79"/>
    <w:rsid w:val="FFFF7B39"/>
    <w:rsid w:val="FFFF9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paragraph" w:styleId="3">
    <w:name w:val="heading 5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4"/>
    </w:pPr>
    <w:rPr>
      <w:b/>
      <w:sz w:val="28"/>
    </w:rPr>
  </w:style>
  <w:style w:type="paragraph" w:styleId="4">
    <w:name w:val="heading 6"/>
    <w:basedOn w:val="1"/>
    <w:next w:val="1"/>
    <w:unhideWhenUsed/>
    <w:qFormat/>
    <w:uiPriority w:val="0"/>
    <w:pPr>
      <w:keepNext/>
      <w:keepLines/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paragraph" w:styleId="5">
    <w:name w:val="heading 7"/>
    <w:basedOn w:val="1"/>
    <w:next w:val="1"/>
    <w:unhideWhenUsed/>
    <w:qFormat/>
    <w:uiPriority w:val="0"/>
    <w:pPr>
      <w:keepNext/>
      <w:keepLines/>
      <w:spacing w:before="240" w:after="64" w:line="317" w:lineRule="auto"/>
      <w:outlineLvl w:val="6"/>
    </w:pPr>
    <w:rPr>
      <w:b/>
      <w:sz w:val="24"/>
    </w:rPr>
  </w:style>
  <w:style w:type="paragraph" w:styleId="6">
    <w:name w:val="heading 8"/>
    <w:basedOn w:val="1"/>
    <w:next w:val="1"/>
    <w:unhideWhenUsed/>
    <w:qFormat/>
    <w:uiPriority w:val="0"/>
    <w:pPr>
      <w:keepNext/>
      <w:keepLines/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7">
    <w:name w:val="heading 9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8"/>
    </w:pPr>
    <w:rPr>
      <w:rFonts w:ascii="Arial" w:hAnsi="Arial" w:eastAsia="黑体"/>
      <w:sz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qFormat/>
    <w:uiPriority w:val="0"/>
    <w:pPr>
      <w:ind w:left="2520" w:leftChars="1200"/>
    </w:pPr>
  </w:style>
  <w:style w:type="paragraph" w:styleId="9">
    <w:name w:val="annotation text"/>
    <w:basedOn w:val="1"/>
    <w:link w:val="25"/>
    <w:qFormat/>
    <w:uiPriority w:val="0"/>
    <w:pPr>
      <w:jc w:val="left"/>
    </w:pPr>
  </w:style>
  <w:style w:type="paragraph" w:styleId="10">
    <w:name w:val="toc 8"/>
    <w:basedOn w:val="1"/>
    <w:next w:val="1"/>
    <w:qFormat/>
    <w:uiPriority w:val="0"/>
    <w:pPr>
      <w:ind w:left="2940" w:leftChars="1400"/>
    </w:pPr>
  </w:style>
  <w:style w:type="paragraph" w:styleId="11">
    <w:name w:val="Balloon Text"/>
    <w:basedOn w:val="1"/>
    <w:link w:val="24"/>
    <w:qFormat/>
    <w:uiPriority w:val="0"/>
    <w:rPr>
      <w:sz w:val="18"/>
      <w:szCs w:val="18"/>
    </w:rPr>
  </w:style>
  <w:style w:type="paragraph" w:styleId="12">
    <w:name w:val="footer"/>
    <w:basedOn w:val="1"/>
    <w:link w:val="3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qFormat/>
    <w:uiPriority w:val="39"/>
  </w:style>
  <w:style w:type="paragraph" w:styleId="15">
    <w:name w:val="toc 6"/>
    <w:basedOn w:val="1"/>
    <w:next w:val="1"/>
    <w:qFormat/>
    <w:uiPriority w:val="0"/>
    <w:pPr>
      <w:ind w:left="2100" w:leftChars="1000"/>
    </w:pPr>
  </w:style>
  <w:style w:type="paragraph" w:styleId="16">
    <w:name w:val="toc 9"/>
    <w:basedOn w:val="1"/>
    <w:next w:val="1"/>
    <w:qFormat/>
    <w:uiPriority w:val="0"/>
    <w:pPr>
      <w:ind w:left="3360" w:leftChars="1600"/>
    </w:pPr>
  </w:style>
  <w:style w:type="paragraph" w:styleId="17">
    <w:name w:val="annotation subject"/>
    <w:basedOn w:val="9"/>
    <w:next w:val="9"/>
    <w:link w:val="26"/>
    <w:qFormat/>
    <w:uiPriority w:val="0"/>
    <w:rPr>
      <w:b/>
      <w:bCs/>
    </w:rPr>
  </w:style>
  <w:style w:type="table" w:styleId="19">
    <w:name w:val="Table Grid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0"/>
    <w:qFormat/>
    <w:uiPriority w:val="0"/>
  </w:style>
  <w:style w:type="character" w:styleId="22">
    <w:name w:val="Hyperlink"/>
    <w:basedOn w:val="20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unhideWhenUsed/>
    <w:qFormat/>
    <w:uiPriority w:val="99"/>
    <w:rPr>
      <w:sz w:val="21"/>
      <w:szCs w:val="21"/>
    </w:rPr>
  </w:style>
  <w:style w:type="character" w:customStyle="1" w:styleId="24">
    <w:name w:val="批注框文本 字符"/>
    <w:basedOn w:val="20"/>
    <w:link w:val="11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5">
    <w:name w:val="批注文字 字符"/>
    <w:basedOn w:val="20"/>
    <w:link w:val="9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6">
    <w:name w:val="批注主题 字符"/>
    <w:basedOn w:val="25"/>
    <w:link w:val="17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paragraph" w:customStyle="1" w:styleId="27">
    <w:name w:val="Revision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8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9">
    <w:name w:val="修订2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30">
    <w:name w:val="页脚 字符"/>
    <w:basedOn w:val="20"/>
    <w:link w:val="1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1">
    <w:name w:val="页眉 字符"/>
    <w:basedOn w:val="20"/>
    <w:link w:val="1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32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33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6" Type="http://schemas.openxmlformats.org/officeDocument/2006/relationships/fontTable" Target="fontTable.xml"/><Relationship Id="rId55" Type="http://schemas.openxmlformats.org/officeDocument/2006/relationships/numbering" Target="numbering.xml"/><Relationship Id="rId54" Type="http://schemas.openxmlformats.org/officeDocument/2006/relationships/customXml" Target="../customXml/item1.xml"/><Relationship Id="rId53" Type="http://schemas.openxmlformats.org/officeDocument/2006/relationships/image" Target="media/image46.jpeg"/><Relationship Id="rId52" Type="http://schemas.openxmlformats.org/officeDocument/2006/relationships/image" Target="media/image45.jpeg"/><Relationship Id="rId51" Type="http://schemas.openxmlformats.org/officeDocument/2006/relationships/image" Target="media/image44.jpeg"/><Relationship Id="rId50" Type="http://schemas.openxmlformats.org/officeDocument/2006/relationships/image" Target="media/image43.jpeg"/><Relationship Id="rId5" Type="http://schemas.openxmlformats.org/officeDocument/2006/relationships/footer" Target="footer1.xml"/><Relationship Id="rId49" Type="http://schemas.openxmlformats.org/officeDocument/2006/relationships/image" Target="media/image42.jpeg"/><Relationship Id="rId48" Type="http://schemas.openxmlformats.org/officeDocument/2006/relationships/image" Target="media/image41.jpeg"/><Relationship Id="rId47" Type="http://schemas.openxmlformats.org/officeDocument/2006/relationships/image" Target="media/image40.png"/><Relationship Id="rId46" Type="http://schemas.openxmlformats.org/officeDocument/2006/relationships/image" Target="media/image39.jpeg"/><Relationship Id="rId45" Type="http://schemas.openxmlformats.org/officeDocument/2006/relationships/image" Target="media/image38.jpeg"/><Relationship Id="rId44" Type="http://schemas.openxmlformats.org/officeDocument/2006/relationships/image" Target="media/image37.jpeg"/><Relationship Id="rId43" Type="http://schemas.openxmlformats.org/officeDocument/2006/relationships/image" Target="media/image36.jpeg"/><Relationship Id="rId42" Type="http://schemas.openxmlformats.org/officeDocument/2006/relationships/image" Target="media/image35.jpeg"/><Relationship Id="rId41" Type="http://schemas.openxmlformats.org/officeDocument/2006/relationships/image" Target="media/image34.jpeg"/><Relationship Id="rId40" Type="http://schemas.openxmlformats.org/officeDocument/2006/relationships/image" Target="media/image33.jpeg"/><Relationship Id="rId4" Type="http://schemas.openxmlformats.org/officeDocument/2006/relationships/endnotes" Target="endnotes.xml"/><Relationship Id="rId39" Type="http://schemas.openxmlformats.org/officeDocument/2006/relationships/image" Target="media/image32.jpeg"/><Relationship Id="rId38" Type="http://schemas.openxmlformats.org/officeDocument/2006/relationships/image" Target="media/image31.jpeg"/><Relationship Id="rId37" Type="http://schemas.openxmlformats.org/officeDocument/2006/relationships/image" Target="media/image30.jpeg"/><Relationship Id="rId36" Type="http://schemas.openxmlformats.org/officeDocument/2006/relationships/image" Target="media/image29.jpeg"/><Relationship Id="rId35" Type="http://schemas.openxmlformats.org/officeDocument/2006/relationships/image" Target="media/image28.jpeg"/><Relationship Id="rId34" Type="http://schemas.openxmlformats.org/officeDocument/2006/relationships/image" Target="media/image27.jpeg"/><Relationship Id="rId33" Type="http://schemas.openxmlformats.org/officeDocument/2006/relationships/image" Target="media/image26.jpeg"/><Relationship Id="rId32" Type="http://schemas.openxmlformats.org/officeDocument/2006/relationships/image" Target="media/image25.jpeg"/><Relationship Id="rId31" Type="http://schemas.openxmlformats.org/officeDocument/2006/relationships/image" Target="media/image24.jpeg"/><Relationship Id="rId30" Type="http://schemas.openxmlformats.org/officeDocument/2006/relationships/image" Target="media/image23.jpeg"/><Relationship Id="rId3" Type="http://schemas.openxmlformats.org/officeDocument/2006/relationships/footnotes" Target="footnotes.xml"/><Relationship Id="rId29" Type="http://schemas.openxmlformats.org/officeDocument/2006/relationships/image" Target="media/image22.jpeg"/><Relationship Id="rId28" Type="http://schemas.openxmlformats.org/officeDocument/2006/relationships/image" Target="media/image21.jpeg"/><Relationship Id="rId27" Type="http://schemas.openxmlformats.org/officeDocument/2006/relationships/image" Target="media/image20.jpeg"/><Relationship Id="rId26" Type="http://schemas.openxmlformats.org/officeDocument/2006/relationships/image" Target="media/image19.jpeg"/><Relationship Id="rId25" Type="http://schemas.openxmlformats.org/officeDocument/2006/relationships/image" Target="media/image18.jpeg"/><Relationship Id="rId24" Type="http://schemas.openxmlformats.org/officeDocument/2006/relationships/image" Target="media/image17.jpeg"/><Relationship Id="rId23" Type="http://schemas.openxmlformats.org/officeDocument/2006/relationships/image" Target="media/image16.jpeg"/><Relationship Id="rId22" Type="http://schemas.openxmlformats.org/officeDocument/2006/relationships/image" Target="media/image15.jpeg"/><Relationship Id="rId21" Type="http://schemas.openxmlformats.org/officeDocument/2006/relationships/image" Target="media/image14.jpeg"/><Relationship Id="rId20" Type="http://schemas.openxmlformats.org/officeDocument/2006/relationships/image" Target="media/image13.jpeg"/><Relationship Id="rId2" Type="http://schemas.openxmlformats.org/officeDocument/2006/relationships/settings" Target="settings.xml"/><Relationship Id="rId19" Type="http://schemas.openxmlformats.org/officeDocument/2006/relationships/image" Target="media/image12.jpeg"/><Relationship Id="rId18" Type="http://schemas.openxmlformats.org/officeDocument/2006/relationships/image" Target="media/image11.jpeg"/><Relationship Id="rId17" Type="http://schemas.openxmlformats.org/officeDocument/2006/relationships/image" Target="media/image10.jpeg"/><Relationship Id="rId16" Type="http://schemas.openxmlformats.org/officeDocument/2006/relationships/image" Target="media/image9.jpeg"/><Relationship Id="rId15" Type="http://schemas.openxmlformats.org/officeDocument/2006/relationships/image" Target="media/image8.jpeg"/><Relationship Id="rId14" Type="http://schemas.openxmlformats.org/officeDocument/2006/relationships/image" Target="media/image7.jpeg"/><Relationship Id="rId13" Type="http://schemas.openxmlformats.org/officeDocument/2006/relationships/image" Target="media/image6.jpeg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36</Pages>
  <Words>7038</Words>
  <Characters>40120</Characters>
  <Lines>334</Lines>
  <Paragraphs>94</Paragraphs>
  <TotalTime>29</TotalTime>
  <ScaleCrop>false</ScaleCrop>
  <LinksUpToDate>false</LinksUpToDate>
  <CharactersWithSpaces>47064</CharactersWithSpaces>
  <Application>WPS Office_6.0.2.8225_F1E327BC-269C-435d-A152-05C5408002CA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2023-11-21T15:12:00Z</dcterms:created>
  <dc:creator>Sangye</dc:creator>
  <cp:lastModifiedBy>meijun</cp:lastModifiedBy>
  <dcterms:modified xsi:type="dcterms:W3CDTF">2024-03-04T19:02:15Z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2052-6.0.2.8225</vt:lpwstr>
  </property>
  <property fmtid="{D5CDD505-2E9C-101B-9397-08002B2CF9AE}" pid="3" name="ICV">
    <vt:lpwstr>16213B0BBD08E8FCBD91E565C5C973A2_43</vt:lpwstr>
  </property>
</Properties>
</file>