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3C6A8" w14:textId="77777777" w:rsidR="008463B1" w:rsidRPr="00E5541A" w:rsidRDefault="008463B1" w:rsidP="008463B1">
      <w:pPr>
        <w:pStyle w:val="Caption"/>
        <w:rPr>
          <w:rFonts w:cstheme="minorHAnsi"/>
          <w:lang w:val="en-US"/>
        </w:rPr>
      </w:pPr>
      <w:r w:rsidRPr="00D7331F">
        <w:rPr>
          <w:lang w:val="en-US"/>
        </w:rPr>
        <w:t xml:space="preserve">Table 3 </w:t>
      </w:r>
      <w:r w:rsidRPr="00EE2E73">
        <w:rPr>
          <w:rFonts w:cstheme="minorHAnsi"/>
          <w:lang w:val="en-US"/>
        </w:rPr>
        <w:t xml:space="preserve">Adapted </w:t>
      </w:r>
      <w:r w:rsidRPr="00EB5CEE">
        <w:rPr>
          <w:rFonts w:cstheme="minorHAnsi"/>
          <w:lang w:val="en-US"/>
        </w:rPr>
        <w:t xml:space="preserve">“Patient Care and Clinical Pharmacy Skills” domain of European Common Training Framework (CTF) </w:t>
      </w:r>
      <w:r w:rsidRPr="00EE2E73">
        <w:rPr>
          <w:rFonts w:cstheme="minorHAnsi"/>
          <w:lang w:val="en-US"/>
        </w:rPr>
        <w:t xml:space="preserve">for the national </w:t>
      </w:r>
      <w:r>
        <w:rPr>
          <w:rFonts w:cstheme="minorHAnsi"/>
          <w:lang w:val="en-US"/>
        </w:rPr>
        <w:t xml:space="preserve">hospital </w:t>
      </w:r>
      <w:r w:rsidRPr="00EE2E73">
        <w:rPr>
          <w:rFonts w:cstheme="minorHAnsi"/>
          <w:lang w:val="en-US"/>
        </w:rPr>
        <w:t>clinical pharmacy context of Austria</w:t>
      </w:r>
    </w:p>
    <w:tbl>
      <w:tblPr>
        <w:tblW w:w="14287" w:type="dxa"/>
        <w:tblCellMar>
          <w:left w:w="70" w:type="dxa"/>
          <w:right w:w="70" w:type="dxa"/>
        </w:tblCellMar>
        <w:tblLook w:val="04A0" w:firstRow="1" w:lastRow="0" w:firstColumn="1" w:lastColumn="0" w:noHBand="0" w:noVBand="1"/>
      </w:tblPr>
      <w:tblGrid>
        <w:gridCol w:w="292"/>
        <w:gridCol w:w="1351"/>
        <w:gridCol w:w="1328"/>
        <w:gridCol w:w="396"/>
        <w:gridCol w:w="1921"/>
        <w:gridCol w:w="704"/>
        <w:gridCol w:w="8296"/>
      </w:tblGrid>
      <w:tr w:rsidR="008463B1" w:rsidRPr="00284B1F" w14:paraId="7C5F0A11" w14:textId="77777777" w:rsidTr="006E4B62">
        <w:trPr>
          <w:trHeight w:val="300"/>
        </w:trPr>
        <w:tc>
          <w:tcPr>
            <w:tcW w:w="14287" w:type="dxa"/>
            <w:gridSpan w:val="7"/>
            <w:tcBorders>
              <w:top w:val="nil"/>
              <w:left w:val="nil"/>
              <w:bottom w:val="nil"/>
              <w:right w:val="nil"/>
            </w:tcBorders>
            <w:shd w:val="clear" w:color="000000" w:fill="E2EFDA"/>
            <w:noWrap/>
            <w:vAlign w:val="center"/>
            <w:hideMark/>
          </w:tcPr>
          <w:p w14:paraId="4D98DCE5" w14:textId="77777777" w:rsidR="008463B1" w:rsidRPr="00A420D3" w:rsidRDefault="008463B1" w:rsidP="006E4B62">
            <w:pPr>
              <w:spacing w:after="0" w:line="240" w:lineRule="auto"/>
              <w:jc w:val="center"/>
              <w:rPr>
                <w:rFonts w:ascii="Arial" w:eastAsia="Times New Roman" w:hAnsi="Arial" w:cs="Arial"/>
                <w:b/>
                <w:bCs/>
                <w:color w:val="000000"/>
                <w:sz w:val="18"/>
                <w:szCs w:val="18"/>
                <w:lang w:val="en-US" w:eastAsia="de-AT"/>
              </w:rPr>
            </w:pPr>
            <w:r w:rsidRPr="00A420D3">
              <w:rPr>
                <w:rFonts w:ascii="Arial" w:eastAsia="Times New Roman" w:hAnsi="Arial" w:cs="Arial"/>
                <w:b/>
                <w:bCs/>
                <w:color w:val="000000"/>
                <w:sz w:val="18"/>
                <w:szCs w:val="18"/>
                <w:lang w:val="en-US" w:eastAsia="de-AT"/>
              </w:rPr>
              <w:t>Patient care and clinical pharmacy skills competencies</w:t>
            </w:r>
          </w:p>
        </w:tc>
      </w:tr>
      <w:tr w:rsidR="008463B1" w:rsidRPr="00A420D3" w14:paraId="1BEF57CE" w14:textId="77777777" w:rsidTr="006E4B62">
        <w:trPr>
          <w:trHeight w:val="300"/>
        </w:trPr>
        <w:tc>
          <w:tcPr>
            <w:tcW w:w="1642" w:type="dxa"/>
            <w:gridSpan w:val="2"/>
            <w:tcBorders>
              <w:top w:val="nil"/>
              <w:left w:val="nil"/>
              <w:bottom w:val="nil"/>
              <w:right w:val="nil"/>
            </w:tcBorders>
            <w:shd w:val="clear" w:color="000000" w:fill="DDEBF7"/>
            <w:noWrap/>
            <w:vAlign w:val="center"/>
            <w:hideMark/>
          </w:tcPr>
          <w:p w14:paraId="651215F3" w14:textId="77777777" w:rsidR="008463B1" w:rsidRPr="00A420D3" w:rsidRDefault="008463B1" w:rsidP="006E4B62">
            <w:pPr>
              <w:spacing w:after="0" w:line="240" w:lineRule="auto"/>
              <w:jc w:val="center"/>
              <w:rPr>
                <w:rFonts w:ascii="Arial" w:eastAsia="Times New Roman" w:hAnsi="Arial" w:cs="Arial"/>
                <w:b/>
                <w:bCs/>
                <w:color w:val="000000"/>
                <w:sz w:val="18"/>
                <w:szCs w:val="18"/>
                <w:lang w:eastAsia="de-AT"/>
              </w:rPr>
            </w:pPr>
            <w:r w:rsidRPr="00A420D3">
              <w:rPr>
                <w:rFonts w:ascii="Arial" w:eastAsia="Times New Roman" w:hAnsi="Arial" w:cs="Arial"/>
                <w:b/>
                <w:bCs/>
                <w:color w:val="000000"/>
                <w:sz w:val="18"/>
                <w:szCs w:val="18"/>
                <w:lang w:eastAsia="de-AT"/>
              </w:rPr>
              <w:t>Competencies</w:t>
            </w:r>
          </w:p>
        </w:tc>
        <w:tc>
          <w:tcPr>
            <w:tcW w:w="1328" w:type="dxa"/>
            <w:tcBorders>
              <w:top w:val="nil"/>
              <w:left w:val="nil"/>
              <w:bottom w:val="nil"/>
              <w:right w:val="nil"/>
            </w:tcBorders>
            <w:shd w:val="clear" w:color="000000" w:fill="DDEBF7"/>
            <w:noWrap/>
            <w:vAlign w:val="center"/>
            <w:hideMark/>
          </w:tcPr>
          <w:p w14:paraId="01E0FB26" w14:textId="77777777" w:rsidR="008463B1" w:rsidRPr="00A420D3" w:rsidRDefault="008463B1" w:rsidP="006E4B62">
            <w:pPr>
              <w:spacing w:after="0" w:line="240" w:lineRule="auto"/>
              <w:jc w:val="center"/>
              <w:rPr>
                <w:rFonts w:ascii="Arial" w:eastAsia="Times New Roman" w:hAnsi="Arial" w:cs="Arial"/>
                <w:b/>
                <w:bCs/>
                <w:color w:val="000000"/>
                <w:sz w:val="18"/>
                <w:szCs w:val="18"/>
                <w:lang w:eastAsia="de-AT"/>
              </w:rPr>
            </w:pPr>
            <w:r w:rsidRPr="00A420D3">
              <w:rPr>
                <w:rFonts w:ascii="Arial" w:eastAsia="Times New Roman" w:hAnsi="Arial" w:cs="Arial"/>
                <w:b/>
                <w:bCs/>
                <w:color w:val="000000"/>
                <w:sz w:val="18"/>
                <w:szCs w:val="18"/>
                <w:lang w:eastAsia="de-AT"/>
              </w:rPr>
              <w:t>Attitude</w:t>
            </w:r>
          </w:p>
        </w:tc>
        <w:tc>
          <w:tcPr>
            <w:tcW w:w="2317" w:type="dxa"/>
            <w:gridSpan w:val="2"/>
            <w:tcBorders>
              <w:top w:val="nil"/>
              <w:left w:val="nil"/>
              <w:bottom w:val="nil"/>
              <w:right w:val="nil"/>
            </w:tcBorders>
            <w:shd w:val="clear" w:color="000000" w:fill="DDEBF7"/>
            <w:noWrap/>
            <w:vAlign w:val="center"/>
            <w:hideMark/>
          </w:tcPr>
          <w:p w14:paraId="2F0F9B8D" w14:textId="77777777" w:rsidR="008463B1" w:rsidRPr="00A420D3" w:rsidRDefault="008463B1" w:rsidP="006E4B62">
            <w:pPr>
              <w:spacing w:after="0" w:line="240" w:lineRule="auto"/>
              <w:jc w:val="center"/>
              <w:rPr>
                <w:rFonts w:ascii="Arial" w:eastAsia="Times New Roman" w:hAnsi="Arial" w:cs="Arial"/>
                <w:b/>
                <w:bCs/>
                <w:color w:val="000000"/>
                <w:sz w:val="18"/>
                <w:szCs w:val="18"/>
                <w:lang w:eastAsia="de-AT"/>
              </w:rPr>
            </w:pPr>
            <w:r w:rsidRPr="00A420D3">
              <w:rPr>
                <w:rFonts w:ascii="Arial" w:eastAsia="Times New Roman" w:hAnsi="Arial" w:cs="Arial"/>
                <w:b/>
                <w:bCs/>
                <w:color w:val="000000"/>
                <w:sz w:val="18"/>
                <w:szCs w:val="18"/>
                <w:lang w:eastAsia="de-AT"/>
              </w:rPr>
              <w:t>Knowledge</w:t>
            </w:r>
          </w:p>
        </w:tc>
        <w:tc>
          <w:tcPr>
            <w:tcW w:w="9000" w:type="dxa"/>
            <w:gridSpan w:val="2"/>
            <w:tcBorders>
              <w:top w:val="nil"/>
              <w:left w:val="nil"/>
              <w:bottom w:val="nil"/>
              <w:right w:val="nil"/>
            </w:tcBorders>
            <w:shd w:val="clear" w:color="000000" w:fill="DDEBF7"/>
            <w:noWrap/>
            <w:vAlign w:val="center"/>
            <w:hideMark/>
          </w:tcPr>
          <w:p w14:paraId="04CF334A" w14:textId="77777777" w:rsidR="008463B1" w:rsidRPr="00A420D3" w:rsidRDefault="008463B1" w:rsidP="006E4B62">
            <w:pPr>
              <w:spacing w:after="0" w:line="240" w:lineRule="auto"/>
              <w:jc w:val="center"/>
              <w:rPr>
                <w:rFonts w:ascii="Arial" w:eastAsia="Times New Roman" w:hAnsi="Arial" w:cs="Arial"/>
                <w:b/>
                <w:bCs/>
                <w:color w:val="000000"/>
                <w:sz w:val="18"/>
                <w:szCs w:val="18"/>
                <w:lang w:eastAsia="de-AT"/>
              </w:rPr>
            </w:pPr>
            <w:r w:rsidRPr="00A420D3">
              <w:rPr>
                <w:rFonts w:ascii="Arial" w:eastAsia="Times New Roman" w:hAnsi="Arial" w:cs="Arial"/>
                <w:b/>
                <w:bCs/>
                <w:color w:val="000000"/>
                <w:sz w:val="18"/>
                <w:szCs w:val="18"/>
                <w:lang w:eastAsia="de-AT"/>
              </w:rPr>
              <w:t>Behaviour Competencies</w:t>
            </w:r>
          </w:p>
        </w:tc>
      </w:tr>
      <w:tr w:rsidR="008463B1" w:rsidRPr="00284B1F" w14:paraId="72352449" w14:textId="77777777" w:rsidTr="006E4B62">
        <w:trPr>
          <w:trHeight w:val="968"/>
        </w:trPr>
        <w:tc>
          <w:tcPr>
            <w:tcW w:w="292" w:type="dxa"/>
            <w:tcBorders>
              <w:top w:val="nil"/>
              <w:left w:val="nil"/>
              <w:bottom w:val="nil"/>
              <w:right w:val="nil"/>
            </w:tcBorders>
            <w:shd w:val="clear" w:color="000000" w:fill="F2F2F2"/>
            <w:noWrap/>
            <w:hideMark/>
          </w:tcPr>
          <w:p w14:paraId="48083CF9"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1.</w:t>
            </w:r>
          </w:p>
        </w:tc>
        <w:tc>
          <w:tcPr>
            <w:tcW w:w="1350" w:type="dxa"/>
            <w:tcBorders>
              <w:top w:val="nil"/>
              <w:left w:val="nil"/>
              <w:bottom w:val="nil"/>
              <w:right w:val="nil"/>
            </w:tcBorders>
            <w:shd w:val="clear" w:color="000000" w:fill="F2F2F2"/>
            <w:hideMark/>
          </w:tcPr>
          <w:p w14:paraId="7F17ECB4"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Patient consultation</w:t>
            </w:r>
          </w:p>
        </w:tc>
        <w:tc>
          <w:tcPr>
            <w:tcW w:w="1328" w:type="dxa"/>
            <w:tcBorders>
              <w:top w:val="nil"/>
              <w:left w:val="nil"/>
              <w:bottom w:val="nil"/>
              <w:right w:val="nil"/>
            </w:tcBorders>
            <w:shd w:val="clear" w:color="000000" w:fill="F2F2F2"/>
            <w:hideMark/>
          </w:tcPr>
          <w:p w14:paraId="53E0A3D6"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Patient oriented and safety attentive, reliable and confident</w:t>
            </w:r>
          </w:p>
        </w:tc>
        <w:tc>
          <w:tcPr>
            <w:tcW w:w="396" w:type="dxa"/>
            <w:tcBorders>
              <w:top w:val="nil"/>
              <w:left w:val="nil"/>
              <w:bottom w:val="nil"/>
              <w:right w:val="nil"/>
            </w:tcBorders>
            <w:shd w:val="clear" w:color="000000" w:fill="F2F2F2"/>
            <w:hideMark/>
          </w:tcPr>
          <w:p w14:paraId="6BFA18B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w:t>
            </w:r>
          </w:p>
        </w:tc>
        <w:tc>
          <w:tcPr>
            <w:tcW w:w="1921" w:type="dxa"/>
            <w:tcBorders>
              <w:top w:val="nil"/>
              <w:left w:val="nil"/>
              <w:bottom w:val="nil"/>
              <w:right w:val="nil"/>
            </w:tcBorders>
            <w:shd w:val="clear" w:color="000000" w:fill="F2F2F2"/>
            <w:hideMark/>
          </w:tcPr>
          <w:p w14:paraId="749210D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Patient assessment</w:t>
            </w:r>
          </w:p>
        </w:tc>
        <w:tc>
          <w:tcPr>
            <w:tcW w:w="704" w:type="dxa"/>
            <w:tcBorders>
              <w:top w:val="nil"/>
              <w:left w:val="nil"/>
              <w:bottom w:val="nil"/>
              <w:right w:val="nil"/>
            </w:tcBorders>
            <w:shd w:val="clear" w:color="000000" w:fill="F2F2F2"/>
            <w:noWrap/>
            <w:hideMark/>
          </w:tcPr>
          <w:p w14:paraId="229E1B7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1.1.1</w:t>
            </w:r>
          </w:p>
        </w:tc>
        <w:tc>
          <w:tcPr>
            <w:tcW w:w="8296" w:type="dxa"/>
            <w:tcBorders>
              <w:top w:val="nil"/>
              <w:left w:val="nil"/>
              <w:bottom w:val="nil"/>
              <w:right w:val="nil"/>
            </w:tcBorders>
            <w:shd w:val="clear" w:color="000000" w:fill="F2F2F2"/>
            <w:hideMark/>
          </w:tcPr>
          <w:p w14:paraId="268FB59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Can take a health status and medication history directly from the patient where this is possible, or using medical records or other </w:t>
            </w:r>
            <w:r w:rsidRPr="00A420D3">
              <w:rPr>
                <w:rFonts w:ascii="Arial" w:eastAsia="Times New Roman" w:hAnsi="Arial" w:cs="Arial"/>
                <w:sz w:val="18"/>
                <w:szCs w:val="18"/>
                <w:lang w:val="en-GB" w:eastAsia="de-AT"/>
              </w:rPr>
              <w:t>relevant</w:t>
            </w:r>
            <w:r w:rsidRPr="00A420D3">
              <w:rPr>
                <w:rFonts w:ascii="Arial" w:eastAsia="Times New Roman" w:hAnsi="Arial" w:cs="Arial"/>
                <w:sz w:val="18"/>
                <w:szCs w:val="18"/>
                <w:lang w:val="en-US" w:eastAsia="de-AT"/>
              </w:rPr>
              <w:t xml:space="preserve"> information sources as appropriate, to identify conditions, symptoms and the specific needs of individual patients.</w:t>
            </w:r>
          </w:p>
        </w:tc>
      </w:tr>
      <w:tr w:rsidR="008463B1" w:rsidRPr="00284B1F" w14:paraId="35B22E67" w14:textId="77777777" w:rsidTr="006E4B62">
        <w:trPr>
          <w:trHeight w:val="300"/>
        </w:trPr>
        <w:tc>
          <w:tcPr>
            <w:tcW w:w="292" w:type="dxa"/>
            <w:tcBorders>
              <w:top w:val="nil"/>
              <w:left w:val="nil"/>
              <w:bottom w:val="nil"/>
              <w:right w:val="nil"/>
            </w:tcBorders>
            <w:shd w:val="clear" w:color="000000" w:fill="F2F2F2"/>
            <w:noWrap/>
            <w:vAlign w:val="bottom"/>
            <w:hideMark/>
          </w:tcPr>
          <w:p w14:paraId="7BBDEF9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09D636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0FC11E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1147CBCC"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0A6214C6"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6FC3A43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1.1.2</w:t>
            </w:r>
          </w:p>
        </w:tc>
        <w:tc>
          <w:tcPr>
            <w:tcW w:w="8296" w:type="dxa"/>
            <w:tcBorders>
              <w:top w:val="nil"/>
              <w:left w:val="nil"/>
              <w:bottom w:val="nil"/>
              <w:right w:val="nil"/>
            </w:tcBorders>
            <w:shd w:val="clear" w:color="000000" w:fill="F2F2F2"/>
            <w:noWrap/>
            <w:hideMark/>
          </w:tcPr>
          <w:p w14:paraId="3F803D0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retrieve all appropriate, relevant and available information about patients’ health, social status and ethnic background from different sources.</w:t>
            </w:r>
          </w:p>
        </w:tc>
      </w:tr>
      <w:tr w:rsidR="008463B1" w:rsidRPr="00284B1F" w14:paraId="0D4EC15D" w14:textId="77777777" w:rsidTr="006E4B62">
        <w:trPr>
          <w:trHeight w:val="510"/>
        </w:trPr>
        <w:tc>
          <w:tcPr>
            <w:tcW w:w="292" w:type="dxa"/>
            <w:tcBorders>
              <w:top w:val="nil"/>
              <w:left w:val="nil"/>
              <w:bottom w:val="nil"/>
              <w:right w:val="nil"/>
            </w:tcBorders>
            <w:shd w:val="clear" w:color="000000" w:fill="F2F2F2"/>
            <w:noWrap/>
            <w:vAlign w:val="bottom"/>
            <w:hideMark/>
          </w:tcPr>
          <w:p w14:paraId="0FAAFEB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2DFB398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9DBCC7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203F9679"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427C5DFF"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382EE8C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1.1.3</w:t>
            </w:r>
          </w:p>
        </w:tc>
        <w:tc>
          <w:tcPr>
            <w:tcW w:w="8296" w:type="dxa"/>
            <w:tcBorders>
              <w:top w:val="nil"/>
              <w:left w:val="nil"/>
              <w:bottom w:val="nil"/>
              <w:right w:val="nil"/>
            </w:tcBorders>
            <w:shd w:val="clear" w:color="000000" w:fill="F2F2F2"/>
            <w:hideMark/>
          </w:tcPr>
          <w:p w14:paraId="7AA4549B"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Knows how basic physical health examinations are performed (for example: blood pressure, body mass index), can interpret and respond appropriately to such data, and when required can carry out relevant components of basic physical examination.</w:t>
            </w:r>
          </w:p>
        </w:tc>
      </w:tr>
      <w:tr w:rsidR="008463B1" w:rsidRPr="00284B1F" w14:paraId="4554BD6C" w14:textId="77777777" w:rsidTr="006E4B62">
        <w:trPr>
          <w:trHeight w:val="495"/>
        </w:trPr>
        <w:tc>
          <w:tcPr>
            <w:tcW w:w="292" w:type="dxa"/>
            <w:tcBorders>
              <w:top w:val="nil"/>
              <w:left w:val="nil"/>
              <w:bottom w:val="nil"/>
              <w:right w:val="nil"/>
            </w:tcBorders>
            <w:shd w:val="clear" w:color="000000" w:fill="F2F2F2"/>
            <w:noWrap/>
            <w:vAlign w:val="bottom"/>
            <w:hideMark/>
          </w:tcPr>
          <w:p w14:paraId="215CB46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C82707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33209DC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0550D4F3"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09062DF8"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4D1E45B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1.1.4</w:t>
            </w:r>
          </w:p>
        </w:tc>
        <w:tc>
          <w:tcPr>
            <w:tcW w:w="8296" w:type="dxa"/>
            <w:tcBorders>
              <w:top w:val="nil"/>
              <w:left w:val="nil"/>
              <w:bottom w:val="nil"/>
              <w:right w:val="nil"/>
            </w:tcBorders>
            <w:shd w:val="clear" w:color="000000" w:fill="F2F2F2"/>
            <w:hideMark/>
          </w:tcPr>
          <w:p w14:paraId="1D64F697"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document an accurate and comprehensive medication history (including medical devices, if appropriate), including information about adherence, adverse effects, and outcomes.</w:t>
            </w:r>
          </w:p>
        </w:tc>
      </w:tr>
      <w:tr w:rsidR="008463B1" w:rsidRPr="00284B1F" w14:paraId="5F087DF5" w14:textId="77777777" w:rsidTr="006E4B62">
        <w:trPr>
          <w:trHeight w:val="300"/>
        </w:trPr>
        <w:tc>
          <w:tcPr>
            <w:tcW w:w="292" w:type="dxa"/>
            <w:tcBorders>
              <w:top w:val="nil"/>
              <w:left w:val="nil"/>
              <w:bottom w:val="nil"/>
              <w:right w:val="nil"/>
            </w:tcBorders>
            <w:shd w:val="clear" w:color="000000" w:fill="F2F2F2"/>
            <w:noWrap/>
            <w:vAlign w:val="bottom"/>
            <w:hideMark/>
          </w:tcPr>
          <w:p w14:paraId="5EF3A56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41D8A6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3C547D4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10569BB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65A027D9"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4C25996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1.1.5</w:t>
            </w:r>
          </w:p>
        </w:tc>
        <w:tc>
          <w:tcPr>
            <w:tcW w:w="8296" w:type="dxa"/>
            <w:tcBorders>
              <w:top w:val="nil"/>
              <w:left w:val="nil"/>
              <w:bottom w:val="nil"/>
              <w:right w:val="nil"/>
            </w:tcBorders>
            <w:shd w:val="clear" w:color="000000" w:fill="F2F2F2"/>
            <w:hideMark/>
          </w:tcPr>
          <w:p w14:paraId="597B01F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Discuss and agree with patients the appropriate use of medicines, taking into account patients</w:t>
            </w:r>
            <w:r>
              <w:rPr>
                <w:rFonts w:ascii="Arial" w:eastAsia="Times New Roman" w:hAnsi="Arial" w:cs="Arial"/>
                <w:sz w:val="18"/>
                <w:szCs w:val="18"/>
                <w:lang w:val="en-US" w:eastAsia="de-AT"/>
              </w:rPr>
              <w:t>’</w:t>
            </w:r>
            <w:r w:rsidRPr="00A420D3">
              <w:rPr>
                <w:rFonts w:ascii="Arial" w:eastAsia="Times New Roman" w:hAnsi="Arial" w:cs="Arial"/>
                <w:sz w:val="18"/>
                <w:szCs w:val="18"/>
                <w:lang w:val="en-US" w:eastAsia="de-AT"/>
              </w:rPr>
              <w:t xml:space="preserve"> preferences.</w:t>
            </w:r>
          </w:p>
        </w:tc>
      </w:tr>
      <w:tr w:rsidR="008463B1" w:rsidRPr="00284B1F" w14:paraId="5A4F14FA" w14:textId="77777777" w:rsidTr="006E4B62">
        <w:trPr>
          <w:trHeight w:val="480"/>
        </w:trPr>
        <w:tc>
          <w:tcPr>
            <w:tcW w:w="292" w:type="dxa"/>
            <w:tcBorders>
              <w:top w:val="nil"/>
              <w:left w:val="nil"/>
              <w:bottom w:val="nil"/>
              <w:right w:val="nil"/>
            </w:tcBorders>
            <w:shd w:val="clear" w:color="000000" w:fill="F2F2F2"/>
            <w:noWrap/>
            <w:vAlign w:val="bottom"/>
            <w:hideMark/>
          </w:tcPr>
          <w:p w14:paraId="63D5168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00CE939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0019B9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28BADA7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1.2</w:t>
            </w:r>
          </w:p>
        </w:tc>
        <w:tc>
          <w:tcPr>
            <w:tcW w:w="1921" w:type="dxa"/>
            <w:tcBorders>
              <w:top w:val="nil"/>
              <w:left w:val="nil"/>
              <w:bottom w:val="nil"/>
              <w:right w:val="nil"/>
            </w:tcBorders>
            <w:shd w:val="clear" w:color="000000" w:fill="F2F2F2"/>
            <w:hideMark/>
          </w:tcPr>
          <w:p w14:paraId="235C71DF" w14:textId="77777777" w:rsidR="008463B1"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 xml:space="preserve">Patient consent </w:t>
            </w:r>
          </w:p>
          <w:p w14:paraId="2C89374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(if applicable)</w:t>
            </w:r>
          </w:p>
        </w:tc>
        <w:tc>
          <w:tcPr>
            <w:tcW w:w="704" w:type="dxa"/>
            <w:tcBorders>
              <w:top w:val="nil"/>
              <w:left w:val="nil"/>
              <w:bottom w:val="nil"/>
              <w:right w:val="nil"/>
            </w:tcBorders>
            <w:shd w:val="clear" w:color="000000" w:fill="F2F2F2"/>
            <w:noWrap/>
            <w:hideMark/>
          </w:tcPr>
          <w:p w14:paraId="271AE7B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1.2.1</w:t>
            </w:r>
          </w:p>
        </w:tc>
        <w:tc>
          <w:tcPr>
            <w:tcW w:w="8296" w:type="dxa"/>
            <w:tcBorders>
              <w:top w:val="nil"/>
              <w:left w:val="nil"/>
              <w:bottom w:val="nil"/>
              <w:right w:val="nil"/>
            </w:tcBorders>
            <w:shd w:val="clear" w:color="000000" w:fill="F2F2F2"/>
            <w:hideMark/>
          </w:tcPr>
          <w:p w14:paraId="4E3820C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Ensures that patients receive appropriate and sufficient information to obtain informed consent when this is required for procedures, treatment or research.</w:t>
            </w:r>
          </w:p>
        </w:tc>
      </w:tr>
      <w:tr w:rsidR="008463B1" w:rsidRPr="00284B1F" w14:paraId="1283A46E" w14:textId="77777777" w:rsidTr="006E4B62">
        <w:trPr>
          <w:trHeight w:val="480"/>
        </w:trPr>
        <w:tc>
          <w:tcPr>
            <w:tcW w:w="292" w:type="dxa"/>
            <w:tcBorders>
              <w:top w:val="nil"/>
              <w:left w:val="nil"/>
              <w:bottom w:val="nil"/>
              <w:right w:val="nil"/>
            </w:tcBorders>
            <w:shd w:val="clear" w:color="000000" w:fill="F2F2F2"/>
            <w:noWrap/>
            <w:vAlign w:val="bottom"/>
            <w:hideMark/>
          </w:tcPr>
          <w:p w14:paraId="26E49B5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2B27BD8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E9FDAD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59B0CF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1.3</w:t>
            </w:r>
          </w:p>
        </w:tc>
        <w:tc>
          <w:tcPr>
            <w:tcW w:w="1921" w:type="dxa"/>
            <w:tcBorders>
              <w:top w:val="nil"/>
              <w:left w:val="nil"/>
              <w:bottom w:val="nil"/>
              <w:right w:val="nil"/>
            </w:tcBorders>
            <w:shd w:val="clear" w:color="000000" w:fill="F2F2F2"/>
            <w:hideMark/>
          </w:tcPr>
          <w:p w14:paraId="684C8B8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Consultation or referral</w:t>
            </w:r>
          </w:p>
        </w:tc>
        <w:tc>
          <w:tcPr>
            <w:tcW w:w="704" w:type="dxa"/>
            <w:tcBorders>
              <w:top w:val="nil"/>
              <w:left w:val="nil"/>
              <w:bottom w:val="nil"/>
              <w:right w:val="nil"/>
            </w:tcBorders>
            <w:shd w:val="clear" w:color="000000" w:fill="F2F2F2"/>
            <w:noWrap/>
            <w:hideMark/>
          </w:tcPr>
          <w:p w14:paraId="5B90F42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1.3.1</w:t>
            </w:r>
          </w:p>
        </w:tc>
        <w:tc>
          <w:tcPr>
            <w:tcW w:w="8296" w:type="dxa"/>
            <w:tcBorders>
              <w:top w:val="nil"/>
              <w:left w:val="nil"/>
              <w:bottom w:val="nil"/>
              <w:right w:val="nil"/>
            </w:tcBorders>
            <w:shd w:val="clear" w:color="000000" w:fill="F2F2F2"/>
            <w:hideMark/>
          </w:tcPr>
          <w:p w14:paraId="62F2AA7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appropriately refer, or seek advice about complex pharmaceutical and/or complex healthcare issues from a senior or specialist colleague, or other healthcare professional, or other service.</w:t>
            </w:r>
          </w:p>
        </w:tc>
      </w:tr>
      <w:tr w:rsidR="008463B1" w:rsidRPr="00284B1F" w14:paraId="029387A5" w14:textId="77777777" w:rsidTr="006E4B62">
        <w:trPr>
          <w:trHeight w:val="300"/>
        </w:trPr>
        <w:tc>
          <w:tcPr>
            <w:tcW w:w="292" w:type="dxa"/>
            <w:tcBorders>
              <w:top w:val="nil"/>
              <w:left w:val="nil"/>
              <w:bottom w:val="nil"/>
              <w:right w:val="nil"/>
            </w:tcBorders>
            <w:shd w:val="clear" w:color="000000" w:fill="F2F2F2"/>
            <w:noWrap/>
            <w:vAlign w:val="bottom"/>
            <w:hideMark/>
          </w:tcPr>
          <w:p w14:paraId="5F47BEB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E6C598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DB2A0B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48CBD003"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4DF7ECF7"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3B4A8C7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1.3.2</w:t>
            </w:r>
          </w:p>
        </w:tc>
        <w:tc>
          <w:tcPr>
            <w:tcW w:w="8296" w:type="dxa"/>
            <w:tcBorders>
              <w:top w:val="nil"/>
              <w:left w:val="nil"/>
              <w:bottom w:val="nil"/>
              <w:right w:val="nil"/>
            </w:tcBorders>
            <w:shd w:val="clear" w:color="000000" w:fill="F2F2F2"/>
            <w:hideMark/>
          </w:tcPr>
          <w:p w14:paraId="35FB3E5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Ensures the judicious use of standard operating procedures and guidelines, especially for complex situations.</w:t>
            </w:r>
          </w:p>
        </w:tc>
      </w:tr>
      <w:tr w:rsidR="008463B1" w:rsidRPr="00284B1F" w14:paraId="6039253B" w14:textId="77777777" w:rsidTr="006E4B62">
        <w:trPr>
          <w:trHeight w:val="300"/>
        </w:trPr>
        <w:tc>
          <w:tcPr>
            <w:tcW w:w="292" w:type="dxa"/>
            <w:tcBorders>
              <w:top w:val="nil"/>
              <w:left w:val="nil"/>
              <w:bottom w:val="nil"/>
              <w:right w:val="nil"/>
            </w:tcBorders>
            <w:shd w:val="clear" w:color="000000" w:fill="F2F2F2"/>
            <w:noWrap/>
            <w:vAlign w:val="bottom"/>
            <w:hideMark/>
          </w:tcPr>
          <w:p w14:paraId="70C777F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2F52335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F87B39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1402A4A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4473055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0B9FB0D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1.3.3</w:t>
            </w:r>
          </w:p>
        </w:tc>
        <w:tc>
          <w:tcPr>
            <w:tcW w:w="8296" w:type="dxa"/>
            <w:tcBorders>
              <w:top w:val="nil"/>
              <w:left w:val="nil"/>
              <w:bottom w:val="nil"/>
              <w:right w:val="nil"/>
            </w:tcBorders>
            <w:shd w:val="clear" w:color="000000" w:fill="F2F2F2"/>
            <w:hideMark/>
          </w:tcPr>
          <w:p w14:paraId="084F2B3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Advises patients when and what circumstances in which to seek further medical intervention.</w:t>
            </w:r>
          </w:p>
        </w:tc>
      </w:tr>
      <w:tr w:rsidR="008463B1" w:rsidRPr="00284B1F" w14:paraId="3885CD50" w14:textId="77777777" w:rsidTr="006E4B62">
        <w:trPr>
          <w:trHeight w:val="300"/>
        </w:trPr>
        <w:tc>
          <w:tcPr>
            <w:tcW w:w="292" w:type="dxa"/>
            <w:tcBorders>
              <w:top w:val="nil"/>
              <w:left w:val="nil"/>
              <w:bottom w:val="nil"/>
              <w:right w:val="nil"/>
            </w:tcBorders>
            <w:shd w:val="clear" w:color="000000" w:fill="F2F2F2"/>
            <w:noWrap/>
            <w:vAlign w:val="bottom"/>
            <w:hideMark/>
          </w:tcPr>
          <w:p w14:paraId="0B56433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075E703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D0323B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0C7E703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69A29E34"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1E9C16A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1.3.4</w:t>
            </w:r>
          </w:p>
        </w:tc>
        <w:tc>
          <w:tcPr>
            <w:tcW w:w="8296" w:type="dxa"/>
            <w:tcBorders>
              <w:top w:val="nil"/>
              <w:left w:val="nil"/>
              <w:bottom w:val="nil"/>
              <w:right w:val="nil"/>
            </w:tcBorders>
            <w:shd w:val="clear" w:color="000000" w:fill="F2F2F2"/>
            <w:hideMark/>
          </w:tcPr>
          <w:p w14:paraId="651D850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Identifies opportunities to engage in health promotion.</w:t>
            </w:r>
          </w:p>
        </w:tc>
      </w:tr>
      <w:tr w:rsidR="008463B1" w:rsidRPr="00284B1F" w14:paraId="54AA4B1F" w14:textId="77777777" w:rsidTr="006E4B62">
        <w:trPr>
          <w:trHeight w:val="1129"/>
        </w:trPr>
        <w:tc>
          <w:tcPr>
            <w:tcW w:w="292" w:type="dxa"/>
            <w:tcBorders>
              <w:top w:val="nil"/>
              <w:left w:val="nil"/>
              <w:bottom w:val="nil"/>
              <w:right w:val="nil"/>
            </w:tcBorders>
            <w:shd w:val="clear" w:color="000000" w:fill="F2F2F2"/>
            <w:noWrap/>
            <w:hideMark/>
          </w:tcPr>
          <w:p w14:paraId="0022597F"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2.</w:t>
            </w:r>
          </w:p>
        </w:tc>
        <w:tc>
          <w:tcPr>
            <w:tcW w:w="1350" w:type="dxa"/>
            <w:tcBorders>
              <w:top w:val="nil"/>
              <w:left w:val="nil"/>
              <w:bottom w:val="nil"/>
              <w:right w:val="nil"/>
            </w:tcBorders>
            <w:shd w:val="clear" w:color="000000" w:fill="F2F2F2"/>
            <w:hideMark/>
          </w:tcPr>
          <w:p w14:paraId="40D01209"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Medicines, medication safety and medical devices</w:t>
            </w:r>
          </w:p>
        </w:tc>
        <w:tc>
          <w:tcPr>
            <w:tcW w:w="1328" w:type="dxa"/>
            <w:tcBorders>
              <w:top w:val="nil"/>
              <w:left w:val="nil"/>
              <w:bottom w:val="nil"/>
              <w:right w:val="nil"/>
            </w:tcBorders>
            <w:shd w:val="clear" w:color="000000" w:fill="F2F2F2"/>
            <w:hideMark/>
          </w:tcPr>
          <w:p w14:paraId="0950C641"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Safety attentive, reliable and confident</w:t>
            </w:r>
          </w:p>
        </w:tc>
        <w:tc>
          <w:tcPr>
            <w:tcW w:w="396" w:type="dxa"/>
            <w:tcBorders>
              <w:top w:val="nil"/>
              <w:left w:val="nil"/>
              <w:bottom w:val="nil"/>
              <w:right w:val="nil"/>
            </w:tcBorders>
            <w:shd w:val="clear" w:color="000000" w:fill="F2F2F2"/>
            <w:noWrap/>
            <w:hideMark/>
          </w:tcPr>
          <w:p w14:paraId="7AD26B7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2.1</w:t>
            </w:r>
          </w:p>
        </w:tc>
        <w:tc>
          <w:tcPr>
            <w:tcW w:w="1921" w:type="dxa"/>
            <w:tcBorders>
              <w:top w:val="nil"/>
              <w:left w:val="nil"/>
              <w:bottom w:val="nil"/>
              <w:right w:val="nil"/>
            </w:tcBorders>
            <w:shd w:val="clear" w:color="000000" w:fill="F2F2F2"/>
            <w:hideMark/>
          </w:tcPr>
          <w:p w14:paraId="757111B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Ensure appropriate selection of dosing regime</w:t>
            </w:r>
            <w:r>
              <w:rPr>
                <w:rFonts w:ascii="Arial" w:eastAsia="Times New Roman" w:hAnsi="Arial" w:cs="Arial"/>
                <w:sz w:val="18"/>
                <w:szCs w:val="18"/>
                <w:lang w:val="en-US" w:eastAsia="de-AT"/>
              </w:rPr>
              <w:t>n</w:t>
            </w:r>
            <w:r w:rsidRPr="00A420D3">
              <w:rPr>
                <w:rFonts w:ascii="Arial" w:eastAsia="Times New Roman" w:hAnsi="Arial" w:cs="Arial"/>
                <w:sz w:val="18"/>
                <w:szCs w:val="18"/>
                <w:lang w:val="en-US" w:eastAsia="de-AT"/>
              </w:rPr>
              <w:t>: formulation and concentration, route and timing.</w:t>
            </w:r>
          </w:p>
        </w:tc>
        <w:tc>
          <w:tcPr>
            <w:tcW w:w="704" w:type="dxa"/>
            <w:tcBorders>
              <w:top w:val="nil"/>
              <w:left w:val="nil"/>
              <w:bottom w:val="nil"/>
              <w:right w:val="nil"/>
            </w:tcBorders>
            <w:shd w:val="clear" w:color="000000" w:fill="F2F2F2"/>
            <w:noWrap/>
            <w:hideMark/>
          </w:tcPr>
          <w:p w14:paraId="0DC070F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2.1.1</w:t>
            </w:r>
          </w:p>
        </w:tc>
        <w:tc>
          <w:tcPr>
            <w:tcW w:w="8296" w:type="dxa"/>
            <w:tcBorders>
              <w:top w:val="nil"/>
              <w:left w:val="nil"/>
              <w:bottom w:val="nil"/>
              <w:right w:val="nil"/>
            </w:tcBorders>
            <w:shd w:val="clear" w:color="000000" w:fill="F2F2F2"/>
            <w:hideMark/>
          </w:tcPr>
          <w:p w14:paraId="2ABAA07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In collaboration with other relevant health care professionals, ensures the right medicine is given for the right reason, in the right dose, using the right route of administration, at the right time, with the right documentation, to the right person.</w:t>
            </w:r>
          </w:p>
        </w:tc>
      </w:tr>
      <w:tr w:rsidR="008463B1" w:rsidRPr="00284B1F" w14:paraId="4EB0B69B" w14:textId="77777777" w:rsidTr="006E4B62">
        <w:trPr>
          <w:trHeight w:val="300"/>
        </w:trPr>
        <w:tc>
          <w:tcPr>
            <w:tcW w:w="292" w:type="dxa"/>
            <w:tcBorders>
              <w:top w:val="nil"/>
              <w:left w:val="nil"/>
              <w:bottom w:val="nil"/>
              <w:right w:val="nil"/>
            </w:tcBorders>
            <w:shd w:val="clear" w:color="000000" w:fill="F2F2F2"/>
            <w:noWrap/>
            <w:vAlign w:val="bottom"/>
            <w:hideMark/>
          </w:tcPr>
          <w:p w14:paraId="2410BAF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30E1028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32BA1E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7BEE1997"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7858A26C"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7B5C111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2.1.2</w:t>
            </w:r>
          </w:p>
        </w:tc>
        <w:tc>
          <w:tcPr>
            <w:tcW w:w="8296" w:type="dxa"/>
            <w:tcBorders>
              <w:top w:val="nil"/>
              <w:left w:val="nil"/>
              <w:bottom w:val="nil"/>
              <w:right w:val="nil"/>
            </w:tcBorders>
            <w:shd w:val="clear" w:color="000000" w:fill="F2F2F2"/>
            <w:noWrap/>
            <w:hideMark/>
          </w:tcPr>
          <w:p w14:paraId="1608123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the attributes of the full range of formulations available, and routes of administration, to ensure optimal choice of medication.</w:t>
            </w:r>
          </w:p>
        </w:tc>
      </w:tr>
      <w:tr w:rsidR="008463B1" w:rsidRPr="00284B1F" w14:paraId="0E334F7A" w14:textId="77777777" w:rsidTr="006E4B62">
        <w:trPr>
          <w:trHeight w:val="300"/>
        </w:trPr>
        <w:tc>
          <w:tcPr>
            <w:tcW w:w="292" w:type="dxa"/>
            <w:tcBorders>
              <w:top w:val="nil"/>
              <w:left w:val="nil"/>
              <w:bottom w:val="nil"/>
              <w:right w:val="nil"/>
            </w:tcBorders>
            <w:shd w:val="clear" w:color="000000" w:fill="F2F2F2"/>
            <w:noWrap/>
            <w:vAlign w:val="bottom"/>
            <w:hideMark/>
          </w:tcPr>
          <w:p w14:paraId="6C5A293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9EC9CD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654AC1C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7FF97E1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2166D6B4"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0147809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2.1.3</w:t>
            </w:r>
          </w:p>
        </w:tc>
        <w:tc>
          <w:tcPr>
            <w:tcW w:w="8296" w:type="dxa"/>
            <w:tcBorders>
              <w:top w:val="nil"/>
              <w:left w:val="nil"/>
              <w:bottom w:val="nil"/>
              <w:right w:val="nil"/>
            </w:tcBorders>
            <w:shd w:val="clear" w:color="000000" w:fill="F2F2F2"/>
            <w:noWrap/>
            <w:hideMark/>
          </w:tcPr>
          <w:p w14:paraId="2F1D32D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Considers whether medical devices for administration are required to ensure safe and effective administration.</w:t>
            </w:r>
          </w:p>
        </w:tc>
      </w:tr>
      <w:tr w:rsidR="008463B1" w:rsidRPr="00284B1F" w14:paraId="2172FED3" w14:textId="77777777" w:rsidTr="006E4B62">
        <w:trPr>
          <w:trHeight w:val="300"/>
        </w:trPr>
        <w:tc>
          <w:tcPr>
            <w:tcW w:w="292" w:type="dxa"/>
            <w:tcBorders>
              <w:top w:val="nil"/>
              <w:left w:val="nil"/>
              <w:bottom w:val="nil"/>
              <w:right w:val="nil"/>
            </w:tcBorders>
            <w:shd w:val="clear" w:color="000000" w:fill="F2F2F2"/>
            <w:noWrap/>
            <w:vAlign w:val="bottom"/>
            <w:hideMark/>
          </w:tcPr>
          <w:p w14:paraId="617CA83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064F151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2E935A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67BC0BC7"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341CAF67"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4B81E1A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2.1.4</w:t>
            </w:r>
          </w:p>
        </w:tc>
        <w:tc>
          <w:tcPr>
            <w:tcW w:w="8296" w:type="dxa"/>
            <w:tcBorders>
              <w:top w:val="nil"/>
              <w:left w:val="nil"/>
              <w:bottom w:val="nil"/>
              <w:right w:val="nil"/>
            </w:tcBorders>
            <w:shd w:val="clear" w:color="000000" w:fill="F2F2F2"/>
            <w:noWrap/>
            <w:hideMark/>
          </w:tcPr>
          <w:p w14:paraId="50BA985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Ensures optimal time of dose has been chosen and provides appropriate solutions for missed, delayed and duplicate doses.</w:t>
            </w:r>
          </w:p>
        </w:tc>
      </w:tr>
      <w:tr w:rsidR="008463B1" w:rsidRPr="00284B1F" w14:paraId="17E6A08E" w14:textId="77777777" w:rsidTr="006E4B62">
        <w:trPr>
          <w:trHeight w:val="720"/>
        </w:trPr>
        <w:tc>
          <w:tcPr>
            <w:tcW w:w="292" w:type="dxa"/>
            <w:tcBorders>
              <w:top w:val="nil"/>
              <w:left w:val="nil"/>
              <w:bottom w:val="nil"/>
              <w:right w:val="nil"/>
            </w:tcBorders>
            <w:shd w:val="clear" w:color="000000" w:fill="F2F2F2"/>
            <w:noWrap/>
            <w:hideMark/>
          </w:tcPr>
          <w:p w14:paraId="53A6A77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lastRenderedPageBreak/>
              <w:t> </w:t>
            </w:r>
          </w:p>
        </w:tc>
        <w:tc>
          <w:tcPr>
            <w:tcW w:w="1350" w:type="dxa"/>
            <w:tcBorders>
              <w:top w:val="nil"/>
              <w:left w:val="nil"/>
              <w:bottom w:val="nil"/>
              <w:right w:val="nil"/>
            </w:tcBorders>
            <w:shd w:val="clear" w:color="000000" w:fill="F2F2F2"/>
            <w:noWrap/>
            <w:hideMark/>
          </w:tcPr>
          <w:p w14:paraId="3B74412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75F4275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329735D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2.2</w:t>
            </w:r>
          </w:p>
        </w:tc>
        <w:tc>
          <w:tcPr>
            <w:tcW w:w="1921" w:type="dxa"/>
            <w:tcBorders>
              <w:top w:val="nil"/>
              <w:left w:val="nil"/>
              <w:bottom w:val="nil"/>
              <w:right w:val="nil"/>
            </w:tcBorders>
            <w:shd w:val="clear" w:color="000000" w:fill="F2F2F2"/>
            <w:hideMark/>
          </w:tcPr>
          <w:p w14:paraId="6DF83F5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Medication therapy management</w:t>
            </w:r>
          </w:p>
        </w:tc>
        <w:tc>
          <w:tcPr>
            <w:tcW w:w="704" w:type="dxa"/>
            <w:tcBorders>
              <w:top w:val="nil"/>
              <w:left w:val="nil"/>
              <w:bottom w:val="nil"/>
              <w:right w:val="nil"/>
            </w:tcBorders>
            <w:shd w:val="clear" w:color="000000" w:fill="F2F2F2"/>
            <w:noWrap/>
            <w:hideMark/>
          </w:tcPr>
          <w:p w14:paraId="67A37B3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2.2.1</w:t>
            </w:r>
          </w:p>
        </w:tc>
        <w:tc>
          <w:tcPr>
            <w:tcW w:w="8296" w:type="dxa"/>
            <w:tcBorders>
              <w:top w:val="nil"/>
              <w:left w:val="nil"/>
              <w:bottom w:val="nil"/>
              <w:right w:val="nil"/>
            </w:tcBorders>
            <w:shd w:val="clear" w:color="000000" w:fill="F2F2F2"/>
            <w:hideMark/>
          </w:tcPr>
          <w:p w14:paraId="05BBFD07"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evaluate patient-specific drug therapy and therapeutic problems, through monitoring of patients in health care settings. Achieved by evaluation of disease progression, any disease related complications, efficacy of drug therapy, and any drug-related adverse effects.</w:t>
            </w:r>
          </w:p>
        </w:tc>
      </w:tr>
      <w:tr w:rsidR="008463B1" w:rsidRPr="00284B1F" w14:paraId="3813B0C9" w14:textId="77777777" w:rsidTr="006E4B62">
        <w:trPr>
          <w:trHeight w:val="300"/>
        </w:trPr>
        <w:tc>
          <w:tcPr>
            <w:tcW w:w="292" w:type="dxa"/>
            <w:tcBorders>
              <w:top w:val="nil"/>
              <w:left w:val="nil"/>
              <w:bottom w:val="nil"/>
              <w:right w:val="nil"/>
            </w:tcBorders>
            <w:shd w:val="clear" w:color="000000" w:fill="F2F2F2"/>
            <w:noWrap/>
            <w:hideMark/>
          </w:tcPr>
          <w:p w14:paraId="05AA251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6B5E352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182A09C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1FC63E29"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hideMark/>
          </w:tcPr>
          <w:p w14:paraId="134B7214"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5064322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2.2.2</w:t>
            </w:r>
          </w:p>
        </w:tc>
        <w:tc>
          <w:tcPr>
            <w:tcW w:w="8296" w:type="dxa"/>
            <w:tcBorders>
              <w:top w:val="nil"/>
              <w:left w:val="nil"/>
              <w:bottom w:val="nil"/>
              <w:right w:val="nil"/>
            </w:tcBorders>
            <w:shd w:val="clear" w:color="000000" w:fill="F2F2F2"/>
            <w:noWrap/>
            <w:hideMark/>
          </w:tcPr>
          <w:p w14:paraId="2EE591B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design a comprehensive drug therapy plan for patient specific problems.</w:t>
            </w:r>
          </w:p>
        </w:tc>
      </w:tr>
      <w:tr w:rsidR="008463B1" w:rsidRPr="00284B1F" w14:paraId="0E7AEE78" w14:textId="77777777" w:rsidTr="006E4B62">
        <w:trPr>
          <w:trHeight w:val="480"/>
        </w:trPr>
        <w:tc>
          <w:tcPr>
            <w:tcW w:w="292" w:type="dxa"/>
            <w:tcBorders>
              <w:top w:val="nil"/>
              <w:left w:val="nil"/>
              <w:bottom w:val="nil"/>
              <w:right w:val="nil"/>
            </w:tcBorders>
            <w:shd w:val="clear" w:color="000000" w:fill="F2F2F2"/>
            <w:noWrap/>
            <w:hideMark/>
          </w:tcPr>
          <w:p w14:paraId="6671D54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3810D35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7888D82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34D8E2F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2.3</w:t>
            </w:r>
          </w:p>
        </w:tc>
        <w:tc>
          <w:tcPr>
            <w:tcW w:w="1921" w:type="dxa"/>
            <w:tcBorders>
              <w:top w:val="nil"/>
              <w:left w:val="nil"/>
              <w:bottom w:val="nil"/>
              <w:right w:val="nil"/>
            </w:tcBorders>
            <w:shd w:val="clear" w:color="000000" w:fill="F2F2F2"/>
            <w:hideMark/>
          </w:tcPr>
          <w:p w14:paraId="7F885B1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Medication reconciliation</w:t>
            </w:r>
          </w:p>
        </w:tc>
        <w:tc>
          <w:tcPr>
            <w:tcW w:w="704" w:type="dxa"/>
            <w:tcBorders>
              <w:top w:val="nil"/>
              <w:left w:val="nil"/>
              <w:bottom w:val="nil"/>
              <w:right w:val="nil"/>
            </w:tcBorders>
            <w:shd w:val="clear" w:color="000000" w:fill="F2F2F2"/>
            <w:noWrap/>
            <w:hideMark/>
          </w:tcPr>
          <w:p w14:paraId="2D1AC1F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2.3.1</w:t>
            </w:r>
          </w:p>
        </w:tc>
        <w:tc>
          <w:tcPr>
            <w:tcW w:w="8296" w:type="dxa"/>
            <w:tcBorders>
              <w:top w:val="nil"/>
              <w:left w:val="nil"/>
              <w:bottom w:val="nil"/>
              <w:right w:val="nil"/>
            </w:tcBorders>
            <w:shd w:val="clear" w:color="000000" w:fill="F2F2F2"/>
            <w:hideMark/>
          </w:tcPr>
          <w:p w14:paraId="7690077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Uses an accurate and comprehensive medication history, including the use of medical devices, to identify any discrepancies and reconcile medicines, in collaboration with patients, carers and other relevant health care professionals.</w:t>
            </w:r>
          </w:p>
        </w:tc>
      </w:tr>
      <w:tr w:rsidR="008463B1" w:rsidRPr="00284B1F" w14:paraId="70C52515" w14:textId="77777777" w:rsidTr="006E4B62">
        <w:trPr>
          <w:trHeight w:val="300"/>
        </w:trPr>
        <w:tc>
          <w:tcPr>
            <w:tcW w:w="292" w:type="dxa"/>
            <w:tcBorders>
              <w:top w:val="nil"/>
              <w:left w:val="nil"/>
              <w:bottom w:val="nil"/>
              <w:right w:val="nil"/>
            </w:tcBorders>
            <w:shd w:val="clear" w:color="000000" w:fill="F2F2F2"/>
            <w:noWrap/>
            <w:hideMark/>
          </w:tcPr>
          <w:p w14:paraId="1D1B38D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3860D31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758E252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6933BA7B"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hideMark/>
          </w:tcPr>
          <w:p w14:paraId="0085E9D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2C677DF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2.3.2</w:t>
            </w:r>
          </w:p>
        </w:tc>
        <w:tc>
          <w:tcPr>
            <w:tcW w:w="8296" w:type="dxa"/>
            <w:tcBorders>
              <w:top w:val="nil"/>
              <w:left w:val="nil"/>
              <w:bottom w:val="nil"/>
              <w:right w:val="nil"/>
            </w:tcBorders>
            <w:shd w:val="clear" w:color="000000" w:fill="F2F2F2"/>
            <w:noWrap/>
            <w:hideMark/>
          </w:tcPr>
          <w:p w14:paraId="19586FC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Communicate and resolve any identified medicines discrepancies with patients, prescribers, community pharmacist, nurse, or patient carer.</w:t>
            </w:r>
          </w:p>
        </w:tc>
      </w:tr>
      <w:tr w:rsidR="008463B1" w:rsidRPr="00284B1F" w14:paraId="4E749196" w14:textId="77777777" w:rsidTr="006E4B62">
        <w:trPr>
          <w:trHeight w:val="300"/>
        </w:trPr>
        <w:tc>
          <w:tcPr>
            <w:tcW w:w="292" w:type="dxa"/>
            <w:tcBorders>
              <w:top w:val="nil"/>
              <w:left w:val="nil"/>
              <w:bottom w:val="nil"/>
              <w:right w:val="nil"/>
            </w:tcBorders>
            <w:shd w:val="clear" w:color="000000" w:fill="F2F2F2"/>
            <w:noWrap/>
            <w:hideMark/>
          </w:tcPr>
          <w:p w14:paraId="562C7B8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038B7A4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18DFC5C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5BB302B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hideMark/>
          </w:tcPr>
          <w:p w14:paraId="7D7AF7E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718503D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2.3.3</w:t>
            </w:r>
          </w:p>
        </w:tc>
        <w:tc>
          <w:tcPr>
            <w:tcW w:w="8296" w:type="dxa"/>
            <w:tcBorders>
              <w:top w:val="nil"/>
              <w:left w:val="nil"/>
              <w:bottom w:val="nil"/>
              <w:right w:val="nil"/>
            </w:tcBorders>
            <w:shd w:val="clear" w:color="000000" w:fill="F2F2F2"/>
            <w:noWrap/>
            <w:hideMark/>
          </w:tcPr>
          <w:p w14:paraId="16F19F2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Document all reconciliation changes in the appropriate records.</w:t>
            </w:r>
          </w:p>
        </w:tc>
      </w:tr>
      <w:tr w:rsidR="008463B1" w:rsidRPr="00284B1F" w14:paraId="0D4F2EB6" w14:textId="77777777" w:rsidTr="006E4B62">
        <w:trPr>
          <w:trHeight w:val="480"/>
        </w:trPr>
        <w:tc>
          <w:tcPr>
            <w:tcW w:w="292" w:type="dxa"/>
            <w:tcBorders>
              <w:top w:val="nil"/>
              <w:left w:val="nil"/>
              <w:bottom w:val="nil"/>
              <w:right w:val="nil"/>
            </w:tcBorders>
            <w:shd w:val="clear" w:color="000000" w:fill="F2F2F2"/>
            <w:noWrap/>
            <w:hideMark/>
          </w:tcPr>
          <w:p w14:paraId="6901F43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0B02E23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08ABF6C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825D6C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2.4</w:t>
            </w:r>
          </w:p>
        </w:tc>
        <w:tc>
          <w:tcPr>
            <w:tcW w:w="1921" w:type="dxa"/>
            <w:tcBorders>
              <w:top w:val="nil"/>
              <w:left w:val="nil"/>
              <w:bottom w:val="nil"/>
              <w:right w:val="nil"/>
            </w:tcBorders>
            <w:shd w:val="clear" w:color="000000" w:fill="F2F2F2"/>
            <w:hideMark/>
          </w:tcPr>
          <w:p w14:paraId="6EAD5E8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Pharmacoeconomics</w:t>
            </w:r>
          </w:p>
        </w:tc>
        <w:tc>
          <w:tcPr>
            <w:tcW w:w="704" w:type="dxa"/>
            <w:tcBorders>
              <w:top w:val="nil"/>
              <w:left w:val="nil"/>
              <w:bottom w:val="nil"/>
              <w:right w:val="nil"/>
            </w:tcBorders>
            <w:shd w:val="clear" w:color="000000" w:fill="F2F2F2"/>
            <w:noWrap/>
            <w:hideMark/>
          </w:tcPr>
          <w:p w14:paraId="0C0FE01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2.4.1</w:t>
            </w:r>
          </w:p>
        </w:tc>
        <w:tc>
          <w:tcPr>
            <w:tcW w:w="8296" w:type="dxa"/>
            <w:tcBorders>
              <w:top w:val="nil"/>
              <w:left w:val="nil"/>
              <w:bottom w:val="nil"/>
              <w:right w:val="nil"/>
            </w:tcBorders>
            <w:shd w:val="clear" w:color="000000" w:fill="F2F2F2"/>
            <w:noWrap/>
            <w:hideMark/>
          </w:tcPr>
          <w:p w14:paraId="5813DE97"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identify cost effective medicines and medical devices using valid and relevant pharmacoeconomic data.</w:t>
            </w:r>
          </w:p>
        </w:tc>
      </w:tr>
      <w:tr w:rsidR="008463B1" w:rsidRPr="00284B1F" w14:paraId="482260A3" w14:textId="77777777" w:rsidTr="006E4B62">
        <w:trPr>
          <w:trHeight w:val="495"/>
        </w:trPr>
        <w:tc>
          <w:tcPr>
            <w:tcW w:w="292" w:type="dxa"/>
            <w:tcBorders>
              <w:top w:val="nil"/>
              <w:left w:val="nil"/>
              <w:bottom w:val="nil"/>
              <w:right w:val="nil"/>
            </w:tcBorders>
            <w:shd w:val="clear" w:color="000000" w:fill="F2F2F2"/>
            <w:noWrap/>
            <w:hideMark/>
          </w:tcPr>
          <w:p w14:paraId="31BFA62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2055FC3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1DB884F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AD2F00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2.5</w:t>
            </w:r>
          </w:p>
        </w:tc>
        <w:tc>
          <w:tcPr>
            <w:tcW w:w="1921" w:type="dxa"/>
            <w:tcBorders>
              <w:top w:val="nil"/>
              <w:left w:val="nil"/>
              <w:bottom w:val="nil"/>
              <w:right w:val="nil"/>
            </w:tcBorders>
            <w:shd w:val="clear" w:color="000000" w:fill="F2F2F2"/>
            <w:hideMark/>
          </w:tcPr>
          <w:p w14:paraId="194ED14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Medication safety</w:t>
            </w:r>
          </w:p>
        </w:tc>
        <w:tc>
          <w:tcPr>
            <w:tcW w:w="704" w:type="dxa"/>
            <w:tcBorders>
              <w:top w:val="nil"/>
              <w:left w:val="nil"/>
              <w:bottom w:val="nil"/>
              <w:right w:val="nil"/>
            </w:tcBorders>
            <w:shd w:val="clear" w:color="000000" w:fill="F2F2F2"/>
            <w:noWrap/>
            <w:hideMark/>
          </w:tcPr>
          <w:p w14:paraId="7FC0368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2.5.1</w:t>
            </w:r>
          </w:p>
        </w:tc>
        <w:tc>
          <w:tcPr>
            <w:tcW w:w="8296" w:type="dxa"/>
            <w:tcBorders>
              <w:top w:val="nil"/>
              <w:left w:val="nil"/>
              <w:bottom w:val="nil"/>
              <w:right w:val="nil"/>
            </w:tcBorders>
            <w:shd w:val="clear" w:color="000000" w:fill="F2F2F2"/>
            <w:hideMark/>
          </w:tcPr>
          <w:p w14:paraId="0BF81AA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Discusses medication safety issues with other staff, identifies hazardous practices, contributes to the implementation of new procedures and practices to deal with medication safety risks or issues.</w:t>
            </w:r>
          </w:p>
        </w:tc>
      </w:tr>
      <w:tr w:rsidR="008463B1" w:rsidRPr="00A420D3" w14:paraId="53AFBCCA" w14:textId="77777777" w:rsidTr="006E4B62">
        <w:trPr>
          <w:trHeight w:val="720"/>
        </w:trPr>
        <w:tc>
          <w:tcPr>
            <w:tcW w:w="292" w:type="dxa"/>
            <w:tcBorders>
              <w:top w:val="nil"/>
              <w:left w:val="nil"/>
              <w:bottom w:val="nil"/>
              <w:right w:val="nil"/>
            </w:tcBorders>
            <w:shd w:val="clear" w:color="000000" w:fill="F2F2F2"/>
            <w:noWrap/>
            <w:hideMark/>
          </w:tcPr>
          <w:p w14:paraId="69E2385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269917E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5A36199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68814DB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2.6</w:t>
            </w:r>
          </w:p>
        </w:tc>
        <w:tc>
          <w:tcPr>
            <w:tcW w:w="1921" w:type="dxa"/>
            <w:tcBorders>
              <w:top w:val="nil"/>
              <w:left w:val="nil"/>
              <w:bottom w:val="nil"/>
              <w:right w:val="nil"/>
            </w:tcBorders>
            <w:shd w:val="clear" w:color="000000" w:fill="F2F2F2"/>
            <w:hideMark/>
          </w:tcPr>
          <w:p w14:paraId="438F295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Medicines management problems</w:t>
            </w:r>
          </w:p>
        </w:tc>
        <w:tc>
          <w:tcPr>
            <w:tcW w:w="704" w:type="dxa"/>
            <w:tcBorders>
              <w:top w:val="nil"/>
              <w:left w:val="nil"/>
              <w:bottom w:val="nil"/>
              <w:right w:val="nil"/>
            </w:tcBorders>
            <w:shd w:val="clear" w:color="000000" w:fill="F2F2F2"/>
            <w:noWrap/>
            <w:hideMark/>
          </w:tcPr>
          <w:p w14:paraId="6632C45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2.6.1</w:t>
            </w:r>
          </w:p>
        </w:tc>
        <w:tc>
          <w:tcPr>
            <w:tcW w:w="8296" w:type="dxa"/>
            <w:tcBorders>
              <w:top w:val="nil"/>
              <w:left w:val="nil"/>
              <w:bottom w:val="nil"/>
              <w:right w:val="nil"/>
            </w:tcBorders>
            <w:shd w:val="clear" w:color="000000" w:fill="F2F2F2"/>
            <w:hideMark/>
          </w:tcPr>
          <w:p w14:paraId="44A39C4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val="en-US" w:eastAsia="de-AT"/>
              </w:rPr>
              <w:t xml:space="preserve">Can identify patients for which ongoing monitoring is required together with other responsible healthcare professionals. </w:t>
            </w:r>
            <w:r w:rsidRPr="00A420D3">
              <w:rPr>
                <w:rFonts w:ascii="Arial" w:eastAsia="Times New Roman" w:hAnsi="Arial" w:cs="Arial"/>
                <w:sz w:val="18"/>
                <w:szCs w:val="18"/>
                <w:lang w:eastAsia="de-AT"/>
              </w:rPr>
              <w:t>This includes monitoring parameters.</w:t>
            </w:r>
          </w:p>
        </w:tc>
      </w:tr>
      <w:tr w:rsidR="008463B1" w:rsidRPr="00284B1F" w14:paraId="36E67206" w14:textId="77777777" w:rsidTr="006E4B62">
        <w:trPr>
          <w:trHeight w:val="300"/>
        </w:trPr>
        <w:tc>
          <w:tcPr>
            <w:tcW w:w="292" w:type="dxa"/>
            <w:tcBorders>
              <w:top w:val="nil"/>
              <w:left w:val="nil"/>
              <w:bottom w:val="nil"/>
              <w:right w:val="nil"/>
            </w:tcBorders>
            <w:shd w:val="clear" w:color="000000" w:fill="F2F2F2"/>
            <w:noWrap/>
            <w:hideMark/>
          </w:tcPr>
          <w:p w14:paraId="17EA7F88" w14:textId="77777777" w:rsidR="008463B1" w:rsidRPr="00A420D3" w:rsidRDefault="008463B1" w:rsidP="006E4B62">
            <w:pPr>
              <w:spacing w:after="0" w:line="240" w:lineRule="auto"/>
              <w:rPr>
                <w:rFonts w:ascii="Calibri" w:eastAsia="Times New Roman" w:hAnsi="Calibri" w:cs="Calibri"/>
                <w:color w:val="000000"/>
                <w:lang w:eastAsia="de-AT"/>
              </w:rPr>
            </w:pPr>
            <w:r w:rsidRPr="00A420D3">
              <w:rPr>
                <w:rFonts w:ascii="Calibri" w:eastAsia="Times New Roman" w:hAnsi="Calibri" w:cs="Calibri"/>
                <w:color w:val="000000"/>
                <w:lang w:eastAsia="de-AT"/>
              </w:rPr>
              <w:t> </w:t>
            </w:r>
          </w:p>
        </w:tc>
        <w:tc>
          <w:tcPr>
            <w:tcW w:w="1350" w:type="dxa"/>
            <w:tcBorders>
              <w:top w:val="nil"/>
              <w:left w:val="nil"/>
              <w:bottom w:val="nil"/>
              <w:right w:val="nil"/>
            </w:tcBorders>
            <w:shd w:val="clear" w:color="000000" w:fill="F2F2F2"/>
            <w:noWrap/>
            <w:hideMark/>
          </w:tcPr>
          <w:p w14:paraId="1A2B3856" w14:textId="77777777" w:rsidR="008463B1" w:rsidRPr="00A420D3" w:rsidRDefault="008463B1" w:rsidP="006E4B62">
            <w:pPr>
              <w:spacing w:after="0" w:line="240" w:lineRule="auto"/>
              <w:rPr>
                <w:rFonts w:ascii="Calibri" w:eastAsia="Times New Roman" w:hAnsi="Calibri" w:cs="Calibri"/>
                <w:color w:val="000000"/>
                <w:lang w:eastAsia="de-AT"/>
              </w:rPr>
            </w:pPr>
            <w:r w:rsidRPr="00A420D3">
              <w:rPr>
                <w:rFonts w:ascii="Calibri" w:eastAsia="Times New Roman" w:hAnsi="Calibri" w:cs="Calibri"/>
                <w:color w:val="000000"/>
                <w:lang w:eastAsia="de-AT"/>
              </w:rPr>
              <w:t> </w:t>
            </w:r>
          </w:p>
        </w:tc>
        <w:tc>
          <w:tcPr>
            <w:tcW w:w="1328" w:type="dxa"/>
            <w:tcBorders>
              <w:top w:val="nil"/>
              <w:left w:val="nil"/>
              <w:bottom w:val="nil"/>
              <w:right w:val="nil"/>
            </w:tcBorders>
            <w:shd w:val="clear" w:color="000000" w:fill="F2F2F2"/>
            <w:noWrap/>
            <w:hideMark/>
          </w:tcPr>
          <w:p w14:paraId="071CEA00" w14:textId="77777777" w:rsidR="008463B1" w:rsidRPr="00A420D3" w:rsidRDefault="008463B1" w:rsidP="006E4B62">
            <w:pPr>
              <w:spacing w:after="0" w:line="240" w:lineRule="auto"/>
              <w:rPr>
                <w:rFonts w:ascii="Calibri" w:eastAsia="Times New Roman" w:hAnsi="Calibri" w:cs="Calibri"/>
                <w:color w:val="000000"/>
                <w:lang w:eastAsia="de-AT"/>
              </w:rPr>
            </w:pPr>
            <w:r w:rsidRPr="00A420D3">
              <w:rPr>
                <w:rFonts w:ascii="Calibri" w:eastAsia="Times New Roman" w:hAnsi="Calibri" w:cs="Calibri"/>
                <w:color w:val="000000"/>
                <w:lang w:eastAsia="de-AT"/>
              </w:rPr>
              <w:t> </w:t>
            </w:r>
          </w:p>
        </w:tc>
        <w:tc>
          <w:tcPr>
            <w:tcW w:w="396" w:type="dxa"/>
            <w:tcBorders>
              <w:top w:val="nil"/>
              <w:left w:val="nil"/>
              <w:bottom w:val="nil"/>
              <w:right w:val="nil"/>
            </w:tcBorders>
            <w:shd w:val="clear" w:color="000000" w:fill="F2F2F2"/>
            <w:noWrap/>
            <w:hideMark/>
          </w:tcPr>
          <w:p w14:paraId="7B49C2A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 </w:t>
            </w:r>
          </w:p>
        </w:tc>
        <w:tc>
          <w:tcPr>
            <w:tcW w:w="1921" w:type="dxa"/>
            <w:tcBorders>
              <w:top w:val="nil"/>
              <w:left w:val="nil"/>
              <w:bottom w:val="nil"/>
              <w:right w:val="nil"/>
            </w:tcBorders>
            <w:shd w:val="clear" w:color="000000" w:fill="F2F2F2"/>
            <w:hideMark/>
          </w:tcPr>
          <w:p w14:paraId="57BDC43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 </w:t>
            </w:r>
          </w:p>
        </w:tc>
        <w:tc>
          <w:tcPr>
            <w:tcW w:w="704" w:type="dxa"/>
            <w:tcBorders>
              <w:top w:val="nil"/>
              <w:left w:val="nil"/>
              <w:bottom w:val="nil"/>
              <w:right w:val="nil"/>
            </w:tcBorders>
            <w:shd w:val="clear" w:color="000000" w:fill="F2F2F2"/>
            <w:noWrap/>
            <w:hideMark/>
          </w:tcPr>
          <w:p w14:paraId="261DE89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2.6.2</w:t>
            </w:r>
          </w:p>
        </w:tc>
        <w:tc>
          <w:tcPr>
            <w:tcW w:w="8296" w:type="dxa"/>
            <w:tcBorders>
              <w:top w:val="nil"/>
              <w:left w:val="nil"/>
              <w:bottom w:val="nil"/>
              <w:right w:val="nil"/>
            </w:tcBorders>
            <w:shd w:val="clear" w:color="000000" w:fill="F2F2F2"/>
            <w:hideMark/>
          </w:tcPr>
          <w:p w14:paraId="646FFA6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establish a plan for review of objectives and treatment outcomes together with other responsible healthcare professionals.</w:t>
            </w:r>
          </w:p>
        </w:tc>
      </w:tr>
      <w:tr w:rsidR="008463B1" w:rsidRPr="00284B1F" w14:paraId="47EDF2C3" w14:textId="77777777" w:rsidTr="006E4B62">
        <w:trPr>
          <w:trHeight w:val="465"/>
        </w:trPr>
        <w:tc>
          <w:tcPr>
            <w:tcW w:w="292" w:type="dxa"/>
            <w:tcBorders>
              <w:top w:val="nil"/>
              <w:left w:val="nil"/>
              <w:bottom w:val="nil"/>
              <w:right w:val="nil"/>
            </w:tcBorders>
            <w:shd w:val="clear" w:color="000000" w:fill="F2F2F2"/>
            <w:noWrap/>
            <w:hideMark/>
          </w:tcPr>
          <w:p w14:paraId="41B12EE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4560AB1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28901EB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3BF652E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hideMark/>
          </w:tcPr>
          <w:p w14:paraId="73D64EC3"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7F98848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2.6.3</w:t>
            </w:r>
          </w:p>
        </w:tc>
        <w:tc>
          <w:tcPr>
            <w:tcW w:w="8296" w:type="dxa"/>
            <w:tcBorders>
              <w:top w:val="nil"/>
              <w:left w:val="single" w:sz="8" w:space="0" w:color="FFFFFF"/>
              <w:bottom w:val="nil"/>
              <w:right w:val="nil"/>
            </w:tcBorders>
            <w:shd w:val="clear" w:color="000000" w:fill="F2F2F2"/>
            <w:hideMark/>
          </w:tcPr>
          <w:p w14:paraId="1921FCD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ensure appropriate action is taken promptly when medicines management issues area identified and ensures that the required actions are implemented, to ensure that patient harm is avoided or minimised.</w:t>
            </w:r>
          </w:p>
        </w:tc>
      </w:tr>
      <w:tr w:rsidR="008463B1" w:rsidRPr="00284B1F" w14:paraId="1A5F2560" w14:textId="77777777" w:rsidTr="006E4B62">
        <w:trPr>
          <w:trHeight w:val="738"/>
        </w:trPr>
        <w:tc>
          <w:tcPr>
            <w:tcW w:w="292" w:type="dxa"/>
            <w:tcBorders>
              <w:top w:val="nil"/>
              <w:left w:val="nil"/>
              <w:bottom w:val="nil"/>
              <w:right w:val="nil"/>
            </w:tcBorders>
            <w:shd w:val="clear" w:color="000000" w:fill="F2F2F2"/>
            <w:noWrap/>
            <w:hideMark/>
          </w:tcPr>
          <w:p w14:paraId="0E870C3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6DEB761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7D1F06D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2A56F4F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2.7</w:t>
            </w:r>
          </w:p>
        </w:tc>
        <w:tc>
          <w:tcPr>
            <w:tcW w:w="1921" w:type="dxa"/>
            <w:tcBorders>
              <w:top w:val="nil"/>
              <w:left w:val="nil"/>
              <w:bottom w:val="nil"/>
              <w:right w:val="nil"/>
            </w:tcBorders>
            <w:shd w:val="clear" w:color="000000" w:fill="F2F2F2"/>
            <w:hideMark/>
          </w:tcPr>
          <w:p w14:paraId="6500C035" w14:textId="77777777" w:rsidR="008463B1"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Seamless care </w:t>
            </w:r>
          </w:p>
          <w:p w14:paraId="68DAA39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focus on medicine management)</w:t>
            </w:r>
          </w:p>
        </w:tc>
        <w:tc>
          <w:tcPr>
            <w:tcW w:w="704" w:type="dxa"/>
            <w:tcBorders>
              <w:top w:val="nil"/>
              <w:left w:val="nil"/>
              <w:bottom w:val="nil"/>
              <w:right w:val="nil"/>
            </w:tcBorders>
            <w:shd w:val="clear" w:color="000000" w:fill="F2F2F2"/>
            <w:noWrap/>
            <w:hideMark/>
          </w:tcPr>
          <w:p w14:paraId="26C2DF1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2.7.1</w:t>
            </w:r>
          </w:p>
        </w:tc>
        <w:tc>
          <w:tcPr>
            <w:tcW w:w="8296" w:type="dxa"/>
            <w:tcBorders>
              <w:top w:val="nil"/>
              <w:left w:val="nil"/>
              <w:bottom w:val="nil"/>
              <w:right w:val="nil"/>
            </w:tcBorders>
            <w:shd w:val="clear" w:color="000000" w:fill="F2F2F2"/>
            <w:hideMark/>
          </w:tcPr>
          <w:p w14:paraId="1CF5BCF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Identifies and manages medicines-management and transfer of pharmaceutical care related to the healthcare interface.</w:t>
            </w:r>
          </w:p>
        </w:tc>
      </w:tr>
      <w:tr w:rsidR="008463B1" w:rsidRPr="00284B1F" w14:paraId="1C66D492" w14:textId="77777777" w:rsidTr="006E4B62">
        <w:trPr>
          <w:trHeight w:val="480"/>
        </w:trPr>
        <w:tc>
          <w:tcPr>
            <w:tcW w:w="292" w:type="dxa"/>
            <w:tcBorders>
              <w:top w:val="nil"/>
              <w:left w:val="nil"/>
              <w:bottom w:val="nil"/>
              <w:right w:val="nil"/>
            </w:tcBorders>
            <w:shd w:val="clear" w:color="000000" w:fill="F2F2F2"/>
            <w:noWrap/>
            <w:hideMark/>
          </w:tcPr>
          <w:p w14:paraId="4F299EF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0AC3D0A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1527901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29CFE03B"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26DA066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1534AED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2.7.2</w:t>
            </w:r>
          </w:p>
        </w:tc>
        <w:tc>
          <w:tcPr>
            <w:tcW w:w="8296" w:type="dxa"/>
            <w:tcBorders>
              <w:top w:val="nil"/>
              <w:left w:val="nil"/>
              <w:bottom w:val="nil"/>
              <w:right w:val="nil"/>
            </w:tcBorders>
            <w:shd w:val="clear" w:color="000000" w:fill="F2F2F2"/>
            <w:hideMark/>
          </w:tcPr>
          <w:p w14:paraId="2124D0B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Identifies and manages the problems related to switch patient’s medication to formulary medicines especially in specific groups like elderly and paediatric patients.</w:t>
            </w:r>
          </w:p>
        </w:tc>
      </w:tr>
      <w:tr w:rsidR="008463B1" w:rsidRPr="00284B1F" w14:paraId="0F8D074E" w14:textId="77777777" w:rsidTr="006E4B62">
        <w:trPr>
          <w:trHeight w:val="720"/>
        </w:trPr>
        <w:tc>
          <w:tcPr>
            <w:tcW w:w="292" w:type="dxa"/>
            <w:tcBorders>
              <w:top w:val="nil"/>
              <w:left w:val="nil"/>
              <w:bottom w:val="nil"/>
              <w:right w:val="nil"/>
            </w:tcBorders>
            <w:shd w:val="clear" w:color="000000" w:fill="F2F2F2"/>
            <w:noWrap/>
            <w:hideMark/>
          </w:tcPr>
          <w:p w14:paraId="2FF5965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7B95755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2FC4C1B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2A47404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2.8</w:t>
            </w:r>
          </w:p>
        </w:tc>
        <w:tc>
          <w:tcPr>
            <w:tcW w:w="1921" w:type="dxa"/>
            <w:tcBorders>
              <w:top w:val="nil"/>
              <w:left w:val="nil"/>
              <w:bottom w:val="nil"/>
              <w:right w:val="nil"/>
            </w:tcBorders>
            <w:shd w:val="clear" w:color="000000" w:fill="F2F2F2"/>
            <w:hideMark/>
          </w:tcPr>
          <w:p w14:paraId="0A7A88C4" w14:textId="77777777" w:rsidR="008463B1"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Transfer of care </w:t>
            </w:r>
          </w:p>
          <w:p w14:paraId="19DD82E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focus on communication)</w:t>
            </w:r>
          </w:p>
        </w:tc>
        <w:tc>
          <w:tcPr>
            <w:tcW w:w="704" w:type="dxa"/>
            <w:tcBorders>
              <w:top w:val="nil"/>
              <w:left w:val="nil"/>
              <w:bottom w:val="nil"/>
              <w:right w:val="nil"/>
            </w:tcBorders>
            <w:shd w:val="clear" w:color="000000" w:fill="F2F2F2"/>
            <w:noWrap/>
            <w:hideMark/>
          </w:tcPr>
          <w:p w14:paraId="61F468A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2.8.1</w:t>
            </w:r>
          </w:p>
        </w:tc>
        <w:tc>
          <w:tcPr>
            <w:tcW w:w="8296" w:type="dxa"/>
            <w:tcBorders>
              <w:top w:val="nil"/>
              <w:left w:val="nil"/>
              <w:bottom w:val="nil"/>
              <w:right w:val="nil"/>
            </w:tcBorders>
            <w:shd w:val="clear" w:color="000000" w:fill="F2F2F2"/>
            <w:hideMark/>
          </w:tcPr>
          <w:p w14:paraId="785FD57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Communicates with other organisations that affect the delivery of patient care, especially involving the transfer of care, and including information on reconciliation of medication on the base of the patient’s acute state and specific needs.</w:t>
            </w:r>
          </w:p>
        </w:tc>
      </w:tr>
      <w:tr w:rsidR="008463B1" w:rsidRPr="00284B1F" w14:paraId="733D633E" w14:textId="77777777" w:rsidTr="006E4B62">
        <w:trPr>
          <w:trHeight w:val="480"/>
        </w:trPr>
        <w:tc>
          <w:tcPr>
            <w:tcW w:w="292" w:type="dxa"/>
            <w:tcBorders>
              <w:top w:val="nil"/>
              <w:left w:val="nil"/>
              <w:bottom w:val="nil"/>
              <w:right w:val="nil"/>
            </w:tcBorders>
            <w:shd w:val="clear" w:color="000000" w:fill="F2F2F2"/>
            <w:noWrap/>
            <w:hideMark/>
          </w:tcPr>
          <w:p w14:paraId="305E037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21B8CF8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49FEC80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E4BDDA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2.9</w:t>
            </w:r>
          </w:p>
        </w:tc>
        <w:tc>
          <w:tcPr>
            <w:tcW w:w="1921" w:type="dxa"/>
            <w:tcBorders>
              <w:top w:val="nil"/>
              <w:left w:val="nil"/>
              <w:bottom w:val="nil"/>
              <w:right w:val="nil"/>
            </w:tcBorders>
            <w:shd w:val="clear" w:color="000000" w:fill="F2F2F2"/>
            <w:hideMark/>
          </w:tcPr>
          <w:p w14:paraId="4F82285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Multidisciplinary team</w:t>
            </w:r>
          </w:p>
        </w:tc>
        <w:tc>
          <w:tcPr>
            <w:tcW w:w="704" w:type="dxa"/>
            <w:tcBorders>
              <w:top w:val="nil"/>
              <w:left w:val="nil"/>
              <w:bottom w:val="nil"/>
              <w:right w:val="nil"/>
            </w:tcBorders>
            <w:shd w:val="clear" w:color="000000" w:fill="F2F2F2"/>
            <w:noWrap/>
            <w:hideMark/>
          </w:tcPr>
          <w:p w14:paraId="4F52EDB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2.9.1</w:t>
            </w:r>
          </w:p>
        </w:tc>
        <w:tc>
          <w:tcPr>
            <w:tcW w:w="8296" w:type="dxa"/>
            <w:tcBorders>
              <w:top w:val="nil"/>
              <w:left w:val="nil"/>
              <w:bottom w:val="nil"/>
              <w:right w:val="nil"/>
            </w:tcBorders>
            <w:shd w:val="clear" w:color="000000" w:fill="F2F2F2"/>
            <w:hideMark/>
          </w:tcPr>
          <w:p w14:paraId="3B77853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Pharmacy team members are integrated into multidisciplinary teams across the organisation and provide patient facing clinical services to ensure safe and appropriate medicines use for all patients, whatever the setting.</w:t>
            </w:r>
          </w:p>
        </w:tc>
      </w:tr>
      <w:tr w:rsidR="008463B1" w:rsidRPr="00284B1F" w14:paraId="3000F06E" w14:textId="77777777" w:rsidTr="006E4B62">
        <w:trPr>
          <w:trHeight w:val="735"/>
        </w:trPr>
        <w:tc>
          <w:tcPr>
            <w:tcW w:w="292" w:type="dxa"/>
            <w:tcBorders>
              <w:top w:val="nil"/>
              <w:left w:val="nil"/>
              <w:bottom w:val="nil"/>
              <w:right w:val="nil"/>
            </w:tcBorders>
            <w:shd w:val="clear" w:color="000000" w:fill="F2F2F2"/>
            <w:noWrap/>
            <w:hideMark/>
          </w:tcPr>
          <w:p w14:paraId="1515357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69AFE38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1BB883B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10A1DCE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hideMark/>
          </w:tcPr>
          <w:p w14:paraId="2CA3253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09D860E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2.9.2</w:t>
            </w:r>
          </w:p>
        </w:tc>
        <w:tc>
          <w:tcPr>
            <w:tcW w:w="8296" w:type="dxa"/>
            <w:tcBorders>
              <w:top w:val="nil"/>
              <w:left w:val="nil"/>
              <w:bottom w:val="nil"/>
              <w:right w:val="nil"/>
            </w:tcBorders>
            <w:shd w:val="clear" w:color="000000" w:fill="F2F2F2"/>
            <w:hideMark/>
          </w:tcPr>
          <w:p w14:paraId="4D0ABCF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Patients, medical and nursing teams have access to pharmacy expertise when needed. Specialist/advanced/consultant level pharmacists work in clinical specialties to maximise the availability of expert resource to other members of the multidisciplinary team for the benefit of patients receiving care in that area.</w:t>
            </w:r>
          </w:p>
        </w:tc>
      </w:tr>
      <w:tr w:rsidR="008463B1" w:rsidRPr="00284B1F" w14:paraId="761074D4" w14:textId="77777777" w:rsidTr="006E4B62">
        <w:trPr>
          <w:trHeight w:val="510"/>
        </w:trPr>
        <w:tc>
          <w:tcPr>
            <w:tcW w:w="292" w:type="dxa"/>
            <w:tcBorders>
              <w:top w:val="nil"/>
              <w:left w:val="nil"/>
              <w:bottom w:val="nil"/>
              <w:right w:val="nil"/>
            </w:tcBorders>
            <w:shd w:val="clear" w:color="000000" w:fill="F2F2F2"/>
            <w:noWrap/>
            <w:hideMark/>
          </w:tcPr>
          <w:p w14:paraId="2F14807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hideMark/>
          </w:tcPr>
          <w:p w14:paraId="4091C45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hideMark/>
          </w:tcPr>
          <w:p w14:paraId="3325959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43E8C23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hideMark/>
          </w:tcPr>
          <w:p w14:paraId="536F4AD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6F97D16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2.9.3</w:t>
            </w:r>
          </w:p>
        </w:tc>
        <w:tc>
          <w:tcPr>
            <w:tcW w:w="8296" w:type="dxa"/>
            <w:tcBorders>
              <w:top w:val="nil"/>
              <w:left w:val="nil"/>
              <w:bottom w:val="nil"/>
              <w:right w:val="nil"/>
            </w:tcBorders>
            <w:shd w:val="clear" w:color="000000" w:fill="F2F2F2"/>
            <w:hideMark/>
          </w:tcPr>
          <w:p w14:paraId="2E4A5E4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As part of a multidisciplinary team, the pharmacy team monitor patients</w:t>
            </w:r>
            <w:r>
              <w:rPr>
                <w:rFonts w:ascii="Arial" w:eastAsia="Times New Roman" w:hAnsi="Arial" w:cs="Arial"/>
                <w:sz w:val="18"/>
                <w:szCs w:val="18"/>
                <w:lang w:val="en-US" w:eastAsia="de-AT"/>
              </w:rPr>
              <w:t>’</w:t>
            </w:r>
            <w:r w:rsidRPr="00A420D3">
              <w:rPr>
                <w:rFonts w:ascii="Arial" w:eastAsia="Times New Roman" w:hAnsi="Arial" w:cs="Arial"/>
                <w:sz w:val="18"/>
                <w:szCs w:val="18"/>
                <w:lang w:val="en-US" w:eastAsia="de-AT"/>
              </w:rPr>
              <w:t xml:space="preserve"> responses to their medicines. Appropriate action is taken where problems (potential and actual) are identified.</w:t>
            </w:r>
          </w:p>
        </w:tc>
      </w:tr>
      <w:tr w:rsidR="008463B1" w:rsidRPr="00284B1F" w14:paraId="54FD5C22" w14:textId="77777777" w:rsidTr="006E4B62">
        <w:trPr>
          <w:trHeight w:val="1200"/>
        </w:trPr>
        <w:tc>
          <w:tcPr>
            <w:tcW w:w="292" w:type="dxa"/>
            <w:tcBorders>
              <w:top w:val="nil"/>
              <w:left w:val="nil"/>
              <w:bottom w:val="nil"/>
              <w:right w:val="nil"/>
            </w:tcBorders>
            <w:shd w:val="clear" w:color="000000" w:fill="F2F2F2"/>
            <w:noWrap/>
            <w:hideMark/>
          </w:tcPr>
          <w:p w14:paraId="705EE671"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lastRenderedPageBreak/>
              <w:t>3.</w:t>
            </w:r>
          </w:p>
        </w:tc>
        <w:tc>
          <w:tcPr>
            <w:tcW w:w="1350" w:type="dxa"/>
            <w:tcBorders>
              <w:top w:val="nil"/>
              <w:left w:val="nil"/>
              <w:bottom w:val="nil"/>
              <w:right w:val="nil"/>
            </w:tcBorders>
            <w:shd w:val="clear" w:color="000000" w:fill="F2F2F2"/>
            <w:hideMark/>
          </w:tcPr>
          <w:p w14:paraId="03BB7FF4"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Information and communication</w:t>
            </w:r>
          </w:p>
        </w:tc>
        <w:tc>
          <w:tcPr>
            <w:tcW w:w="1328" w:type="dxa"/>
            <w:tcBorders>
              <w:top w:val="nil"/>
              <w:left w:val="nil"/>
              <w:bottom w:val="nil"/>
              <w:right w:val="nil"/>
            </w:tcBorders>
            <w:shd w:val="clear" w:color="000000" w:fill="F2F2F2"/>
            <w:hideMark/>
          </w:tcPr>
          <w:p w14:paraId="4B2873B4"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Critically thinking while gathering the information</w:t>
            </w:r>
          </w:p>
        </w:tc>
        <w:tc>
          <w:tcPr>
            <w:tcW w:w="396" w:type="dxa"/>
            <w:tcBorders>
              <w:top w:val="nil"/>
              <w:left w:val="nil"/>
              <w:bottom w:val="nil"/>
              <w:right w:val="nil"/>
            </w:tcBorders>
            <w:shd w:val="clear" w:color="000000" w:fill="F2F2F2"/>
            <w:noWrap/>
            <w:hideMark/>
          </w:tcPr>
          <w:p w14:paraId="69EBA5D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3.1</w:t>
            </w:r>
          </w:p>
        </w:tc>
        <w:tc>
          <w:tcPr>
            <w:tcW w:w="1921" w:type="dxa"/>
            <w:tcBorders>
              <w:top w:val="nil"/>
              <w:left w:val="nil"/>
              <w:bottom w:val="nil"/>
              <w:right w:val="nil"/>
            </w:tcBorders>
            <w:shd w:val="clear" w:color="000000" w:fill="F2F2F2"/>
            <w:hideMark/>
          </w:tcPr>
          <w:p w14:paraId="1046271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Accessing and summarising medicines related information</w:t>
            </w:r>
          </w:p>
        </w:tc>
        <w:tc>
          <w:tcPr>
            <w:tcW w:w="704" w:type="dxa"/>
            <w:tcBorders>
              <w:top w:val="nil"/>
              <w:left w:val="nil"/>
              <w:bottom w:val="nil"/>
              <w:right w:val="nil"/>
            </w:tcBorders>
            <w:shd w:val="clear" w:color="000000" w:fill="F2F2F2"/>
            <w:noWrap/>
            <w:hideMark/>
          </w:tcPr>
          <w:p w14:paraId="6E55514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3.1.1</w:t>
            </w:r>
          </w:p>
        </w:tc>
        <w:tc>
          <w:tcPr>
            <w:tcW w:w="8296" w:type="dxa"/>
            <w:tcBorders>
              <w:top w:val="nil"/>
              <w:left w:val="nil"/>
              <w:bottom w:val="nil"/>
              <w:right w:val="nil"/>
            </w:tcBorders>
            <w:shd w:val="clear" w:color="000000" w:fill="F2F2F2"/>
            <w:hideMark/>
          </w:tcPr>
          <w:p w14:paraId="5A1AE62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effectively find and identify relevant and valid information using specific pharmacy expert databases, information services, evidence-based literature and relevant local summaries of evidence to promote rational and safe use of medicines.</w:t>
            </w:r>
          </w:p>
        </w:tc>
      </w:tr>
      <w:tr w:rsidR="008463B1" w:rsidRPr="00284B1F" w14:paraId="156E970D" w14:textId="77777777" w:rsidTr="006E4B62">
        <w:trPr>
          <w:trHeight w:val="300"/>
        </w:trPr>
        <w:tc>
          <w:tcPr>
            <w:tcW w:w="292" w:type="dxa"/>
            <w:tcBorders>
              <w:top w:val="nil"/>
              <w:left w:val="nil"/>
              <w:bottom w:val="nil"/>
              <w:right w:val="nil"/>
            </w:tcBorders>
            <w:shd w:val="clear" w:color="000000" w:fill="F2F2F2"/>
            <w:noWrap/>
            <w:vAlign w:val="bottom"/>
            <w:hideMark/>
          </w:tcPr>
          <w:p w14:paraId="16C473FF"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50" w:type="dxa"/>
            <w:tcBorders>
              <w:top w:val="nil"/>
              <w:left w:val="nil"/>
              <w:bottom w:val="nil"/>
              <w:right w:val="nil"/>
            </w:tcBorders>
            <w:shd w:val="clear" w:color="000000" w:fill="F2F2F2"/>
            <w:noWrap/>
            <w:vAlign w:val="bottom"/>
            <w:hideMark/>
          </w:tcPr>
          <w:p w14:paraId="09A2C9D8"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28" w:type="dxa"/>
            <w:tcBorders>
              <w:top w:val="nil"/>
              <w:left w:val="nil"/>
              <w:bottom w:val="nil"/>
              <w:right w:val="nil"/>
            </w:tcBorders>
            <w:shd w:val="clear" w:color="000000" w:fill="F2F2F2"/>
            <w:noWrap/>
            <w:vAlign w:val="bottom"/>
            <w:hideMark/>
          </w:tcPr>
          <w:p w14:paraId="45260C88"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396" w:type="dxa"/>
            <w:tcBorders>
              <w:top w:val="nil"/>
              <w:left w:val="nil"/>
              <w:bottom w:val="nil"/>
              <w:right w:val="nil"/>
            </w:tcBorders>
            <w:shd w:val="clear" w:color="000000" w:fill="F2F2F2"/>
            <w:noWrap/>
            <w:vAlign w:val="bottom"/>
            <w:hideMark/>
          </w:tcPr>
          <w:p w14:paraId="5FBB859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37FFBC1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68DF322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3.1.2</w:t>
            </w:r>
          </w:p>
        </w:tc>
        <w:tc>
          <w:tcPr>
            <w:tcW w:w="8296" w:type="dxa"/>
            <w:tcBorders>
              <w:top w:val="nil"/>
              <w:left w:val="nil"/>
              <w:bottom w:val="nil"/>
              <w:right w:val="nil"/>
            </w:tcBorders>
            <w:shd w:val="clear" w:color="000000" w:fill="F2F2F2"/>
            <w:noWrap/>
            <w:hideMark/>
          </w:tcPr>
          <w:p w14:paraId="559377F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use medicines information effectively in order to undertake a review and provide a summary of the rational and safe use of medicines.</w:t>
            </w:r>
          </w:p>
        </w:tc>
      </w:tr>
      <w:tr w:rsidR="008463B1" w:rsidRPr="00284B1F" w14:paraId="2A50A2FB" w14:textId="77777777" w:rsidTr="006E4B62">
        <w:trPr>
          <w:trHeight w:val="300"/>
        </w:trPr>
        <w:tc>
          <w:tcPr>
            <w:tcW w:w="292" w:type="dxa"/>
            <w:tcBorders>
              <w:top w:val="nil"/>
              <w:left w:val="nil"/>
              <w:bottom w:val="nil"/>
              <w:right w:val="nil"/>
            </w:tcBorders>
            <w:shd w:val="clear" w:color="000000" w:fill="F2F2F2"/>
            <w:noWrap/>
            <w:vAlign w:val="bottom"/>
            <w:hideMark/>
          </w:tcPr>
          <w:p w14:paraId="4EA59069"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50" w:type="dxa"/>
            <w:tcBorders>
              <w:top w:val="nil"/>
              <w:left w:val="nil"/>
              <w:bottom w:val="nil"/>
              <w:right w:val="nil"/>
            </w:tcBorders>
            <w:shd w:val="clear" w:color="000000" w:fill="F2F2F2"/>
            <w:noWrap/>
            <w:vAlign w:val="bottom"/>
            <w:hideMark/>
          </w:tcPr>
          <w:p w14:paraId="40A1D8F2"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28" w:type="dxa"/>
            <w:tcBorders>
              <w:top w:val="nil"/>
              <w:left w:val="nil"/>
              <w:bottom w:val="nil"/>
              <w:right w:val="nil"/>
            </w:tcBorders>
            <w:shd w:val="clear" w:color="000000" w:fill="F2F2F2"/>
            <w:noWrap/>
            <w:vAlign w:val="bottom"/>
            <w:hideMark/>
          </w:tcPr>
          <w:p w14:paraId="1C0C9CB9"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396" w:type="dxa"/>
            <w:tcBorders>
              <w:top w:val="nil"/>
              <w:left w:val="nil"/>
              <w:bottom w:val="nil"/>
              <w:right w:val="nil"/>
            </w:tcBorders>
            <w:shd w:val="clear" w:color="000000" w:fill="F2F2F2"/>
            <w:noWrap/>
            <w:vAlign w:val="bottom"/>
            <w:hideMark/>
          </w:tcPr>
          <w:p w14:paraId="2AE532C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35D9163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6437133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3.1.3</w:t>
            </w:r>
          </w:p>
        </w:tc>
        <w:tc>
          <w:tcPr>
            <w:tcW w:w="8296" w:type="dxa"/>
            <w:tcBorders>
              <w:top w:val="nil"/>
              <w:left w:val="nil"/>
              <w:bottom w:val="nil"/>
              <w:right w:val="nil"/>
            </w:tcBorders>
            <w:shd w:val="clear" w:color="000000" w:fill="F2F2F2"/>
            <w:noWrap/>
            <w:hideMark/>
          </w:tcPr>
          <w:p w14:paraId="2FE9759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apply relevant and valid evidence-based data for medicine and medical devices use to the care of individual patients.</w:t>
            </w:r>
          </w:p>
        </w:tc>
      </w:tr>
      <w:tr w:rsidR="008463B1" w:rsidRPr="00284B1F" w14:paraId="08F8B1BA" w14:textId="77777777" w:rsidTr="006E4B62">
        <w:trPr>
          <w:trHeight w:val="300"/>
        </w:trPr>
        <w:tc>
          <w:tcPr>
            <w:tcW w:w="292" w:type="dxa"/>
            <w:tcBorders>
              <w:top w:val="nil"/>
              <w:left w:val="nil"/>
              <w:bottom w:val="nil"/>
              <w:right w:val="nil"/>
            </w:tcBorders>
            <w:shd w:val="clear" w:color="000000" w:fill="F2F2F2"/>
            <w:noWrap/>
            <w:vAlign w:val="bottom"/>
            <w:hideMark/>
          </w:tcPr>
          <w:p w14:paraId="72894674"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50" w:type="dxa"/>
            <w:tcBorders>
              <w:top w:val="nil"/>
              <w:left w:val="nil"/>
              <w:bottom w:val="nil"/>
              <w:right w:val="nil"/>
            </w:tcBorders>
            <w:shd w:val="clear" w:color="000000" w:fill="F2F2F2"/>
            <w:noWrap/>
            <w:vAlign w:val="bottom"/>
            <w:hideMark/>
          </w:tcPr>
          <w:p w14:paraId="1760D717"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1328" w:type="dxa"/>
            <w:tcBorders>
              <w:top w:val="nil"/>
              <w:left w:val="nil"/>
              <w:bottom w:val="nil"/>
              <w:right w:val="nil"/>
            </w:tcBorders>
            <w:shd w:val="clear" w:color="000000" w:fill="F2F2F2"/>
            <w:noWrap/>
            <w:vAlign w:val="bottom"/>
            <w:hideMark/>
          </w:tcPr>
          <w:p w14:paraId="79284613"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 </w:t>
            </w:r>
          </w:p>
        </w:tc>
        <w:tc>
          <w:tcPr>
            <w:tcW w:w="396" w:type="dxa"/>
            <w:tcBorders>
              <w:top w:val="nil"/>
              <w:left w:val="nil"/>
              <w:bottom w:val="nil"/>
              <w:right w:val="nil"/>
            </w:tcBorders>
            <w:shd w:val="clear" w:color="000000" w:fill="F2F2F2"/>
            <w:noWrap/>
            <w:vAlign w:val="bottom"/>
            <w:hideMark/>
          </w:tcPr>
          <w:p w14:paraId="1915340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5D78A97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7909D5F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3.1.4</w:t>
            </w:r>
          </w:p>
        </w:tc>
        <w:tc>
          <w:tcPr>
            <w:tcW w:w="8296" w:type="dxa"/>
            <w:tcBorders>
              <w:top w:val="nil"/>
              <w:left w:val="nil"/>
              <w:bottom w:val="nil"/>
              <w:right w:val="nil"/>
            </w:tcBorders>
            <w:shd w:val="clear" w:color="000000" w:fill="F2F2F2"/>
            <w:hideMark/>
          </w:tcPr>
          <w:p w14:paraId="0961D36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Provides medicines information in response to queries in a manner appropriate to the recipient.</w:t>
            </w:r>
          </w:p>
        </w:tc>
      </w:tr>
      <w:tr w:rsidR="008463B1" w:rsidRPr="00284B1F" w14:paraId="029847EE" w14:textId="77777777" w:rsidTr="006E4B62">
        <w:trPr>
          <w:trHeight w:val="300"/>
        </w:trPr>
        <w:tc>
          <w:tcPr>
            <w:tcW w:w="292" w:type="dxa"/>
            <w:tcBorders>
              <w:top w:val="nil"/>
              <w:left w:val="nil"/>
              <w:bottom w:val="nil"/>
              <w:right w:val="nil"/>
            </w:tcBorders>
            <w:shd w:val="clear" w:color="000000" w:fill="F2F2F2"/>
            <w:noWrap/>
            <w:vAlign w:val="bottom"/>
            <w:hideMark/>
          </w:tcPr>
          <w:p w14:paraId="47C6D7B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324EEC6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8CF686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67E6355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3.2</w:t>
            </w:r>
          </w:p>
        </w:tc>
        <w:tc>
          <w:tcPr>
            <w:tcW w:w="1921" w:type="dxa"/>
            <w:tcBorders>
              <w:top w:val="nil"/>
              <w:left w:val="nil"/>
              <w:bottom w:val="nil"/>
              <w:right w:val="nil"/>
            </w:tcBorders>
            <w:shd w:val="clear" w:color="000000" w:fill="F2F2F2"/>
            <w:hideMark/>
          </w:tcPr>
          <w:p w14:paraId="0598AA8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Appraisal options</w:t>
            </w:r>
          </w:p>
        </w:tc>
        <w:tc>
          <w:tcPr>
            <w:tcW w:w="704" w:type="dxa"/>
            <w:tcBorders>
              <w:top w:val="nil"/>
              <w:left w:val="nil"/>
              <w:bottom w:val="nil"/>
              <w:right w:val="nil"/>
            </w:tcBorders>
            <w:shd w:val="clear" w:color="000000" w:fill="F2F2F2"/>
            <w:noWrap/>
            <w:hideMark/>
          </w:tcPr>
          <w:p w14:paraId="4CD32D8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3.2.1</w:t>
            </w:r>
          </w:p>
        </w:tc>
        <w:tc>
          <w:tcPr>
            <w:tcW w:w="8296" w:type="dxa"/>
            <w:tcBorders>
              <w:top w:val="nil"/>
              <w:left w:val="nil"/>
              <w:bottom w:val="nil"/>
              <w:right w:val="nil"/>
            </w:tcBorders>
            <w:shd w:val="clear" w:color="000000" w:fill="F2F2F2"/>
            <w:noWrap/>
            <w:hideMark/>
          </w:tcPr>
          <w:p w14:paraId="5C85584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Assesses options available for problem solving, considering possible outcomes of any actions.</w:t>
            </w:r>
          </w:p>
        </w:tc>
      </w:tr>
      <w:tr w:rsidR="008463B1" w:rsidRPr="00284B1F" w14:paraId="7BC61AE8" w14:textId="77777777" w:rsidTr="006E4B62">
        <w:trPr>
          <w:trHeight w:val="550"/>
        </w:trPr>
        <w:tc>
          <w:tcPr>
            <w:tcW w:w="292" w:type="dxa"/>
            <w:tcBorders>
              <w:top w:val="nil"/>
              <w:left w:val="nil"/>
              <w:bottom w:val="nil"/>
              <w:right w:val="nil"/>
            </w:tcBorders>
            <w:shd w:val="clear" w:color="000000" w:fill="F2F2F2"/>
            <w:noWrap/>
            <w:vAlign w:val="bottom"/>
            <w:hideMark/>
          </w:tcPr>
          <w:p w14:paraId="270C286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187731C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FBD131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0391CF2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3.3</w:t>
            </w:r>
          </w:p>
        </w:tc>
        <w:tc>
          <w:tcPr>
            <w:tcW w:w="1921" w:type="dxa"/>
            <w:tcBorders>
              <w:top w:val="nil"/>
              <w:left w:val="nil"/>
              <w:bottom w:val="nil"/>
              <w:right w:val="nil"/>
            </w:tcBorders>
            <w:shd w:val="clear" w:color="000000" w:fill="F2F2F2"/>
            <w:hideMark/>
          </w:tcPr>
          <w:p w14:paraId="0BC5637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Decision making and logical approaches to decision making</w:t>
            </w:r>
          </w:p>
        </w:tc>
        <w:tc>
          <w:tcPr>
            <w:tcW w:w="704" w:type="dxa"/>
            <w:tcBorders>
              <w:top w:val="nil"/>
              <w:left w:val="nil"/>
              <w:bottom w:val="nil"/>
              <w:right w:val="nil"/>
            </w:tcBorders>
            <w:shd w:val="clear" w:color="000000" w:fill="F2F2F2"/>
            <w:noWrap/>
            <w:hideMark/>
          </w:tcPr>
          <w:p w14:paraId="2E86751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3.3.1</w:t>
            </w:r>
          </w:p>
        </w:tc>
        <w:tc>
          <w:tcPr>
            <w:tcW w:w="8296" w:type="dxa"/>
            <w:tcBorders>
              <w:top w:val="nil"/>
              <w:left w:val="nil"/>
              <w:bottom w:val="nil"/>
              <w:right w:val="nil"/>
            </w:tcBorders>
            <w:shd w:val="clear" w:color="000000" w:fill="F2F2F2"/>
            <w:noWrap/>
            <w:hideMark/>
          </w:tcPr>
          <w:p w14:paraId="77470CE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and demonstrates clear decision making actions. Can identify the most appropriate decision pathways.</w:t>
            </w:r>
          </w:p>
        </w:tc>
      </w:tr>
      <w:tr w:rsidR="008463B1" w:rsidRPr="00284B1F" w14:paraId="280CC5A8" w14:textId="77777777" w:rsidTr="006E4B62">
        <w:trPr>
          <w:trHeight w:val="300"/>
        </w:trPr>
        <w:tc>
          <w:tcPr>
            <w:tcW w:w="292" w:type="dxa"/>
            <w:tcBorders>
              <w:top w:val="nil"/>
              <w:left w:val="nil"/>
              <w:bottom w:val="nil"/>
              <w:right w:val="nil"/>
            </w:tcBorders>
            <w:shd w:val="clear" w:color="000000" w:fill="F2F2F2"/>
            <w:noWrap/>
            <w:vAlign w:val="bottom"/>
            <w:hideMark/>
          </w:tcPr>
          <w:p w14:paraId="7A032A3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66769A0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6EFEEA1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4468148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67E86FA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5B10807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3.3.2</w:t>
            </w:r>
          </w:p>
        </w:tc>
        <w:tc>
          <w:tcPr>
            <w:tcW w:w="8296" w:type="dxa"/>
            <w:tcBorders>
              <w:top w:val="nil"/>
              <w:left w:val="nil"/>
              <w:bottom w:val="nil"/>
              <w:right w:val="nil"/>
            </w:tcBorders>
            <w:shd w:val="clear" w:color="000000" w:fill="F2F2F2"/>
            <w:noWrap/>
            <w:hideMark/>
          </w:tcPr>
          <w:p w14:paraId="231CEF1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Is aware of one’s own limits and seeks advice when necessary. Knowing what to do when one does not know what to do.</w:t>
            </w:r>
          </w:p>
        </w:tc>
      </w:tr>
      <w:tr w:rsidR="008463B1" w:rsidRPr="00284B1F" w14:paraId="63FBB9D5" w14:textId="77777777" w:rsidTr="006E4B62">
        <w:trPr>
          <w:trHeight w:val="480"/>
        </w:trPr>
        <w:tc>
          <w:tcPr>
            <w:tcW w:w="292" w:type="dxa"/>
            <w:tcBorders>
              <w:top w:val="nil"/>
              <w:left w:val="nil"/>
              <w:bottom w:val="nil"/>
              <w:right w:val="nil"/>
            </w:tcBorders>
            <w:shd w:val="clear" w:color="000000" w:fill="F2F2F2"/>
            <w:noWrap/>
            <w:vAlign w:val="bottom"/>
            <w:hideMark/>
          </w:tcPr>
          <w:p w14:paraId="0D078D6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5C7A9C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07C9854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590A8EA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3.4</w:t>
            </w:r>
          </w:p>
        </w:tc>
        <w:tc>
          <w:tcPr>
            <w:tcW w:w="1921" w:type="dxa"/>
            <w:tcBorders>
              <w:top w:val="nil"/>
              <w:left w:val="nil"/>
              <w:bottom w:val="nil"/>
              <w:right w:val="nil"/>
            </w:tcBorders>
            <w:shd w:val="clear" w:color="000000" w:fill="F2F2F2"/>
            <w:hideMark/>
          </w:tcPr>
          <w:p w14:paraId="050F1CF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Questioning technique</w:t>
            </w:r>
          </w:p>
        </w:tc>
        <w:tc>
          <w:tcPr>
            <w:tcW w:w="704" w:type="dxa"/>
            <w:tcBorders>
              <w:top w:val="nil"/>
              <w:left w:val="nil"/>
              <w:bottom w:val="nil"/>
              <w:right w:val="nil"/>
            </w:tcBorders>
            <w:shd w:val="clear" w:color="000000" w:fill="F2F2F2"/>
            <w:noWrap/>
            <w:hideMark/>
          </w:tcPr>
          <w:p w14:paraId="2FD7257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3.4.1</w:t>
            </w:r>
          </w:p>
        </w:tc>
        <w:tc>
          <w:tcPr>
            <w:tcW w:w="8296" w:type="dxa"/>
            <w:tcBorders>
              <w:top w:val="nil"/>
              <w:left w:val="nil"/>
              <w:bottom w:val="nil"/>
              <w:right w:val="nil"/>
            </w:tcBorders>
            <w:shd w:val="clear" w:color="000000" w:fill="F2F2F2"/>
            <w:hideMark/>
          </w:tcPr>
          <w:p w14:paraId="6BC4479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Uses appropriate communication and questioning techniques to gather relevant patient information.</w:t>
            </w:r>
          </w:p>
        </w:tc>
      </w:tr>
      <w:tr w:rsidR="008463B1" w:rsidRPr="00284B1F" w14:paraId="60E4BFF3" w14:textId="77777777" w:rsidTr="006E4B62">
        <w:trPr>
          <w:trHeight w:val="300"/>
        </w:trPr>
        <w:tc>
          <w:tcPr>
            <w:tcW w:w="292" w:type="dxa"/>
            <w:tcBorders>
              <w:top w:val="nil"/>
              <w:left w:val="nil"/>
              <w:bottom w:val="nil"/>
              <w:right w:val="nil"/>
            </w:tcBorders>
            <w:shd w:val="clear" w:color="000000" w:fill="F2F2F2"/>
            <w:noWrap/>
            <w:vAlign w:val="bottom"/>
            <w:hideMark/>
          </w:tcPr>
          <w:p w14:paraId="4B1506F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00B8B20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892AC4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3DE7212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66F02E9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2738F52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3.4.2</w:t>
            </w:r>
          </w:p>
        </w:tc>
        <w:tc>
          <w:tcPr>
            <w:tcW w:w="8296" w:type="dxa"/>
            <w:tcBorders>
              <w:top w:val="nil"/>
              <w:left w:val="nil"/>
              <w:bottom w:val="nil"/>
              <w:right w:val="nil"/>
            </w:tcBorders>
            <w:shd w:val="clear" w:color="000000" w:fill="F2F2F2"/>
            <w:hideMark/>
          </w:tcPr>
          <w:p w14:paraId="4F21DB3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Determine who the most appropriate person is to discuss the patient</w:t>
            </w:r>
            <w:r>
              <w:rPr>
                <w:rFonts w:ascii="Arial" w:eastAsia="Times New Roman" w:hAnsi="Arial" w:cs="Arial"/>
                <w:sz w:val="18"/>
                <w:szCs w:val="18"/>
                <w:lang w:val="en-US" w:eastAsia="de-AT"/>
              </w:rPr>
              <w:t>’</w:t>
            </w:r>
            <w:r w:rsidRPr="00A420D3">
              <w:rPr>
                <w:rFonts w:ascii="Arial" w:eastAsia="Times New Roman" w:hAnsi="Arial" w:cs="Arial"/>
                <w:sz w:val="18"/>
                <w:szCs w:val="18"/>
                <w:lang w:val="en-US" w:eastAsia="de-AT"/>
              </w:rPr>
              <w:t>s medicines with.</w:t>
            </w:r>
          </w:p>
        </w:tc>
      </w:tr>
      <w:tr w:rsidR="008463B1" w:rsidRPr="00284B1F" w14:paraId="4D0EABBB" w14:textId="77777777" w:rsidTr="006E4B62">
        <w:trPr>
          <w:trHeight w:val="480"/>
        </w:trPr>
        <w:tc>
          <w:tcPr>
            <w:tcW w:w="292" w:type="dxa"/>
            <w:tcBorders>
              <w:top w:val="nil"/>
              <w:left w:val="nil"/>
              <w:bottom w:val="nil"/>
              <w:right w:val="nil"/>
            </w:tcBorders>
            <w:shd w:val="clear" w:color="000000" w:fill="F2F2F2"/>
            <w:noWrap/>
            <w:vAlign w:val="bottom"/>
            <w:hideMark/>
          </w:tcPr>
          <w:p w14:paraId="42A4B2B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369878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281067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6AE27E9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3.5</w:t>
            </w:r>
          </w:p>
        </w:tc>
        <w:tc>
          <w:tcPr>
            <w:tcW w:w="1921" w:type="dxa"/>
            <w:tcBorders>
              <w:top w:val="nil"/>
              <w:left w:val="nil"/>
              <w:bottom w:val="nil"/>
              <w:right w:val="nil"/>
            </w:tcBorders>
            <w:shd w:val="clear" w:color="000000" w:fill="F2F2F2"/>
            <w:hideMark/>
          </w:tcPr>
          <w:p w14:paraId="0E20366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Documentation (intervention)</w:t>
            </w:r>
          </w:p>
        </w:tc>
        <w:tc>
          <w:tcPr>
            <w:tcW w:w="704" w:type="dxa"/>
            <w:tcBorders>
              <w:top w:val="nil"/>
              <w:left w:val="nil"/>
              <w:bottom w:val="nil"/>
              <w:right w:val="nil"/>
            </w:tcBorders>
            <w:shd w:val="clear" w:color="000000" w:fill="F2F2F2"/>
            <w:noWrap/>
            <w:hideMark/>
          </w:tcPr>
          <w:p w14:paraId="04D3366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3.5.1</w:t>
            </w:r>
          </w:p>
        </w:tc>
        <w:tc>
          <w:tcPr>
            <w:tcW w:w="8296" w:type="dxa"/>
            <w:tcBorders>
              <w:top w:val="nil"/>
              <w:left w:val="nil"/>
              <w:bottom w:val="nil"/>
              <w:right w:val="nil"/>
            </w:tcBorders>
            <w:shd w:val="clear" w:color="000000" w:fill="F2F2F2"/>
            <w:noWrap/>
            <w:hideMark/>
          </w:tcPr>
          <w:p w14:paraId="35DBD1D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Documents interventions and maintains appropriate records.</w:t>
            </w:r>
          </w:p>
        </w:tc>
      </w:tr>
      <w:tr w:rsidR="008463B1" w:rsidRPr="00284B1F" w14:paraId="2872435B" w14:textId="77777777" w:rsidTr="006E4B62">
        <w:trPr>
          <w:trHeight w:val="465"/>
        </w:trPr>
        <w:tc>
          <w:tcPr>
            <w:tcW w:w="292" w:type="dxa"/>
            <w:tcBorders>
              <w:top w:val="nil"/>
              <w:left w:val="nil"/>
              <w:bottom w:val="nil"/>
              <w:right w:val="nil"/>
            </w:tcBorders>
            <w:shd w:val="clear" w:color="000000" w:fill="F2F2F2"/>
            <w:noWrap/>
            <w:vAlign w:val="bottom"/>
            <w:hideMark/>
          </w:tcPr>
          <w:p w14:paraId="46DEF15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1DE3AC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580B9E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6668D15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5E33211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6A8A25B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3.5.2</w:t>
            </w:r>
          </w:p>
        </w:tc>
        <w:tc>
          <w:tcPr>
            <w:tcW w:w="8296" w:type="dxa"/>
            <w:tcBorders>
              <w:top w:val="nil"/>
              <w:left w:val="nil"/>
              <w:bottom w:val="nil"/>
              <w:right w:val="nil"/>
            </w:tcBorders>
            <w:shd w:val="clear" w:color="000000" w:fill="F2F2F2"/>
            <w:hideMark/>
          </w:tcPr>
          <w:p w14:paraId="50D5783B"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Accurately and succinctly document the nature of the intervention in the patient</w:t>
            </w:r>
            <w:r>
              <w:rPr>
                <w:rFonts w:ascii="Arial" w:eastAsia="Times New Roman" w:hAnsi="Arial" w:cs="Arial"/>
                <w:sz w:val="18"/>
                <w:szCs w:val="18"/>
                <w:lang w:val="en-US" w:eastAsia="de-AT"/>
              </w:rPr>
              <w:t>’</w:t>
            </w:r>
            <w:r w:rsidRPr="00A420D3">
              <w:rPr>
                <w:rFonts w:ascii="Arial" w:eastAsia="Times New Roman" w:hAnsi="Arial" w:cs="Arial"/>
                <w:sz w:val="18"/>
                <w:szCs w:val="18"/>
                <w:lang w:val="en-US" w:eastAsia="de-AT"/>
              </w:rPr>
              <w:t>s health record and/or medication management plan according to local policy.</w:t>
            </w:r>
          </w:p>
        </w:tc>
      </w:tr>
      <w:tr w:rsidR="008463B1" w:rsidRPr="00284B1F" w14:paraId="410CB6A9" w14:textId="77777777" w:rsidTr="006E4B62">
        <w:trPr>
          <w:trHeight w:val="720"/>
        </w:trPr>
        <w:tc>
          <w:tcPr>
            <w:tcW w:w="292" w:type="dxa"/>
            <w:tcBorders>
              <w:top w:val="nil"/>
              <w:left w:val="nil"/>
              <w:bottom w:val="nil"/>
              <w:right w:val="nil"/>
            </w:tcBorders>
            <w:shd w:val="clear" w:color="000000" w:fill="F2F2F2"/>
            <w:noWrap/>
            <w:vAlign w:val="bottom"/>
            <w:hideMark/>
          </w:tcPr>
          <w:p w14:paraId="428EBE5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928157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1CC99F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713AD4C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3.6</w:t>
            </w:r>
          </w:p>
        </w:tc>
        <w:tc>
          <w:tcPr>
            <w:tcW w:w="1921" w:type="dxa"/>
            <w:tcBorders>
              <w:top w:val="nil"/>
              <w:left w:val="nil"/>
              <w:bottom w:val="nil"/>
              <w:right w:val="nil"/>
            </w:tcBorders>
            <w:shd w:val="clear" w:color="000000" w:fill="F2F2F2"/>
            <w:hideMark/>
          </w:tcPr>
          <w:p w14:paraId="79016D11"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Documentation (medication incidents)</w:t>
            </w:r>
          </w:p>
        </w:tc>
        <w:tc>
          <w:tcPr>
            <w:tcW w:w="704" w:type="dxa"/>
            <w:tcBorders>
              <w:top w:val="nil"/>
              <w:left w:val="nil"/>
              <w:bottom w:val="nil"/>
              <w:right w:val="nil"/>
            </w:tcBorders>
            <w:shd w:val="clear" w:color="000000" w:fill="F2F2F2"/>
            <w:noWrap/>
            <w:hideMark/>
          </w:tcPr>
          <w:p w14:paraId="46C22DC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3.6.1</w:t>
            </w:r>
          </w:p>
        </w:tc>
        <w:tc>
          <w:tcPr>
            <w:tcW w:w="8296" w:type="dxa"/>
            <w:tcBorders>
              <w:top w:val="nil"/>
              <w:left w:val="nil"/>
              <w:bottom w:val="nil"/>
              <w:right w:val="nil"/>
            </w:tcBorders>
            <w:shd w:val="clear" w:color="000000" w:fill="F2F2F2"/>
            <w:hideMark/>
          </w:tcPr>
          <w:p w14:paraId="2262BD8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Initiate reporting of medicines-related events or circumstances which could have, or did lead to unintended harm to a person, loss or damage, and/or a complaint, according to local policy.</w:t>
            </w:r>
          </w:p>
        </w:tc>
      </w:tr>
      <w:tr w:rsidR="008463B1" w:rsidRPr="00284B1F" w14:paraId="7EAA6FDB" w14:textId="77777777" w:rsidTr="006E4B62">
        <w:trPr>
          <w:trHeight w:val="720"/>
        </w:trPr>
        <w:tc>
          <w:tcPr>
            <w:tcW w:w="292" w:type="dxa"/>
            <w:tcBorders>
              <w:top w:val="nil"/>
              <w:left w:val="nil"/>
              <w:bottom w:val="nil"/>
              <w:right w:val="nil"/>
            </w:tcBorders>
            <w:shd w:val="clear" w:color="000000" w:fill="F2F2F2"/>
            <w:noWrap/>
            <w:hideMark/>
          </w:tcPr>
          <w:p w14:paraId="1FC83F19"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4.</w:t>
            </w:r>
          </w:p>
        </w:tc>
        <w:tc>
          <w:tcPr>
            <w:tcW w:w="1350" w:type="dxa"/>
            <w:tcBorders>
              <w:top w:val="nil"/>
              <w:left w:val="nil"/>
              <w:bottom w:val="nil"/>
              <w:right w:val="nil"/>
            </w:tcBorders>
            <w:shd w:val="clear" w:color="000000" w:fill="F2F2F2"/>
            <w:hideMark/>
          </w:tcPr>
          <w:p w14:paraId="6029636B"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Providing information</w:t>
            </w:r>
          </w:p>
        </w:tc>
        <w:tc>
          <w:tcPr>
            <w:tcW w:w="1328" w:type="dxa"/>
            <w:tcBorders>
              <w:top w:val="nil"/>
              <w:left w:val="nil"/>
              <w:bottom w:val="nil"/>
              <w:right w:val="nil"/>
            </w:tcBorders>
            <w:shd w:val="clear" w:color="000000" w:fill="F2F2F2"/>
            <w:hideMark/>
          </w:tcPr>
          <w:p w14:paraId="2ED7E8B2"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Helpful and good communicator</w:t>
            </w:r>
          </w:p>
        </w:tc>
        <w:tc>
          <w:tcPr>
            <w:tcW w:w="396" w:type="dxa"/>
            <w:tcBorders>
              <w:top w:val="nil"/>
              <w:left w:val="nil"/>
              <w:bottom w:val="nil"/>
              <w:right w:val="nil"/>
            </w:tcBorders>
            <w:shd w:val="clear" w:color="000000" w:fill="F2F2F2"/>
            <w:noWrap/>
            <w:hideMark/>
          </w:tcPr>
          <w:p w14:paraId="2C06D2E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4.1</w:t>
            </w:r>
          </w:p>
        </w:tc>
        <w:tc>
          <w:tcPr>
            <w:tcW w:w="1921" w:type="dxa"/>
            <w:tcBorders>
              <w:top w:val="nil"/>
              <w:left w:val="nil"/>
              <w:bottom w:val="nil"/>
              <w:right w:val="nil"/>
            </w:tcBorders>
            <w:shd w:val="clear" w:color="000000" w:fill="F2F2F2"/>
            <w:hideMark/>
          </w:tcPr>
          <w:p w14:paraId="1CD694E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Provides accurate information</w:t>
            </w:r>
          </w:p>
        </w:tc>
        <w:tc>
          <w:tcPr>
            <w:tcW w:w="704" w:type="dxa"/>
            <w:tcBorders>
              <w:top w:val="nil"/>
              <w:left w:val="nil"/>
              <w:bottom w:val="nil"/>
              <w:right w:val="nil"/>
            </w:tcBorders>
            <w:shd w:val="clear" w:color="000000" w:fill="F2F2F2"/>
            <w:noWrap/>
            <w:hideMark/>
          </w:tcPr>
          <w:p w14:paraId="6F1B54B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4.1.1</w:t>
            </w:r>
          </w:p>
        </w:tc>
        <w:tc>
          <w:tcPr>
            <w:tcW w:w="8296" w:type="dxa"/>
            <w:tcBorders>
              <w:top w:val="nil"/>
              <w:left w:val="nil"/>
              <w:bottom w:val="nil"/>
              <w:right w:val="nil"/>
            </w:tcBorders>
            <w:shd w:val="clear" w:color="000000" w:fill="F2F2F2"/>
            <w:noWrap/>
            <w:hideMark/>
          </w:tcPr>
          <w:p w14:paraId="068D881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Ensures information provided is accurate, validated and understandable to other professionals, patients and carers, according to their needs.</w:t>
            </w:r>
          </w:p>
        </w:tc>
      </w:tr>
      <w:tr w:rsidR="008463B1" w:rsidRPr="00284B1F" w14:paraId="466F6377" w14:textId="77777777" w:rsidTr="006E4B62">
        <w:trPr>
          <w:trHeight w:val="300"/>
        </w:trPr>
        <w:tc>
          <w:tcPr>
            <w:tcW w:w="292" w:type="dxa"/>
            <w:tcBorders>
              <w:top w:val="nil"/>
              <w:left w:val="nil"/>
              <w:bottom w:val="nil"/>
              <w:right w:val="nil"/>
            </w:tcBorders>
            <w:shd w:val="clear" w:color="000000" w:fill="F2F2F2"/>
            <w:noWrap/>
            <w:vAlign w:val="bottom"/>
            <w:hideMark/>
          </w:tcPr>
          <w:p w14:paraId="6B9229C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6159B5F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9A7D77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4701FCA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32462EEB"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4982B33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4.1.2</w:t>
            </w:r>
          </w:p>
        </w:tc>
        <w:tc>
          <w:tcPr>
            <w:tcW w:w="8296" w:type="dxa"/>
            <w:tcBorders>
              <w:top w:val="nil"/>
              <w:left w:val="nil"/>
              <w:bottom w:val="nil"/>
              <w:right w:val="nil"/>
            </w:tcBorders>
            <w:shd w:val="clear" w:color="000000" w:fill="F2F2F2"/>
            <w:noWrap/>
            <w:hideMark/>
          </w:tcPr>
          <w:p w14:paraId="3621B6D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Uses effective verbal, non-verbal, listening and written communication skills to communicate clearly, precisely and appropriately.</w:t>
            </w:r>
          </w:p>
        </w:tc>
      </w:tr>
      <w:tr w:rsidR="008463B1" w:rsidRPr="00284B1F" w14:paraId="25E16D59" w14:textId="77777777" w:rsidTr="006E4B62">
        <w:trPr>
          <w:trHeight w:val="991"/>
        </w:trPr>
        <w:tc>
          <w:tcPr>
            <w:tcW w:w="292" w:type="dxa"/>
            <w:tcBorders>
              <w:top w:val="nil"/>
              <w:left w:val="nil"/>
              <w:bottom w:val="nil"/>
              <w:right w:val="nil"/>
            </w:tcBorders>
            <w:shd w:val="clear" w:color="000000" w:fill="F2F2F2"/>
            <w:noWrap/>
            <w:hideMark/>
          </w:tcPr>
          <w:p w14:paraId="3A47A984"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5.</w:t>
            </w:r>
          </w:p>
        </w:tc>
        <w:tc>
          <w:tcPr>
            <w:tcW w:w="1350" w:type="dxa"/>
            <w:tcBorders>
              <w:top w:val="nil"/>
              <w:left w:val="nil"/>
              <w:bottom w:val="nil"/>
              <w:right w:val="nil"/>
            </w:tcBorders>
            <w:shd w:val="clear" w:color="000000" w:fill="F2F2F2"/>
            <w:hideMark/>
          </w:tcPr>
          <w:p w14:paraId="6A3F0C42" w14:textId="77777777" w:rsidR="008463B1" w:rsidRPr="00A420D3" w:rsidRDefault="008463B1" w:rsidP="006E4B62">
            <w:pPr>
              <w:spacing w:after="0" w:line="240" w:lineRule="auto"/>
              <w:rPr>
                <w:rFonts w:ascii="Arial" w:eastAsia="Times New Roman" w:hAnsi="Arial" w:cs="Arial"/>
                <w:color w:val="000000"/>
                <w:sz w:val="18"/>
                <w:szCs w:val="18"/>
                <w:lang w:eastAsia="de-AT"/>
              </w:rPr>
            </w:pPr>
            <w:r w:rsidRPr="00A420D3">
              <w:rPr>
                <w:rFonts w:ascii="Arial" w:eastAsia="Times New Roman" w:hAnsi="Arial" w:cs="Arial"/>
                <w:color w:val="000000"/>
                <w:sz w:val="18"/>
                <w:szCs w:val="18"/>
                <w:lang w:eastAsia="de-AT"/>
              </w:rPr>
              <w:t>Expert practice</w:t>
            </w:r>
          </w:p>
        </w:tc>
        <w:tc>
          <w:tcPr>
            <w:tcW w:w="1328" w:type="dxa"/>
            <w:tcBorders>
              <w:top w:val="nil"/>
              <w:left w:val="nil"/>
              <w:bottom w:val="nil"/>
              <w:right w:val="nil"/>
            </w:tcBorders>
            <w:shd w:val="clear" w:color="000000" w:fill="F2F2F2"/>
            <w:hideMark/>
          </w:tcPr>
          <w:p w14:paraId="0FC641FB" w14:textId="77777777" w:rsidR="008463B1" w:rsidRPr="00A420D3" w:rsidRDefault="008463B1" w:rsidP="006E4B62">
            <w:pPr>
              <w:spacing w:after="0" w:line="240" w:lineRule="auto"/>
              <w:rPr>
                <w:rFonts w:ascii="Arial" w:eastAsia="Times New Roman" w:hAnsi="Arial" w:cs="Arial"/>
                <w:color w:val="000000"/>
                <w:sz w:val="18"/>
                <w:szCs w:val="18"/>
                <w:lang w:val="en-US" w:eastAsia="de-AT"/>
              </w:rPr>
            </w:pPr>
            <w:r w:rsidRPr="00A420D3">
              <w:rPr>
                <w:rFonts w:ascii="Arial" w:eastAsia="Times New Roman" w:hAnsi="Arial" w:cs="Arial"/>
                <w:color w:val="000000"/>
                <w:sz w:val="18"/>
                <w:szCs w:val="18"/>
                <w:lang w:val="en-US" w:eastAsia="de-AT"/>
              </w:rPr>
              <w:t>Responsible for own lifelong learning and development</w:t>
            </w:r>
          </w:p>
        </w:tc>
        <w:tc>
          <w:tcPr>
            <w:tcW w:w="396" w:type="dxa"/>
            <w:tcBorders>
              <w:top w:val="nil"/>
              <w:left w:val="nil"/>
              <w:bottom w:val="nil"/>
              <w:right w:val="nil"/>
            </w:tcBorders>
            <w:shd w:val="clear" w:color="000000" w:fill="F2F2F2"/>
            <w:noWrap/>
            <w:hideMark/>
          </w:tcPr>
          <w:p w14:paraId="43DDF34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5.1</w:t>
            </w:r>
          </w:p>
        </w:tc>
        <w:tc>
          <w:tcPr>
            <w:tcW w:w="1921" w:type="dxa"/>
            <w:tcBorders>
              <w:top w:val="nil"/>
              <w:left w:val="nil"/>
              <w:bottom w:val="nil"/>
              <w:right w:val="nil"/>
            </w:tcBorders>
            <w:shd w:val="clear" w:color="000000" w:fill="F2F2F2"/>
            <w:hideMark/>
          </w:tcPr>
          <w:p w14:paraId="34CAD45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Pathophysiology and anatomy</w:t>
            </w:r>
          </w:p>
        </w:tc>
        <w:tc>
          <w:tcPr>
            <w:tcW w:w="704" w:type="dxa"/>
            <w:tcBorders>
              <w:top w:val="nil"/>
              <w:left w:val="nil"/>
              <w:bottom w:val="nil"/>
              <w:right w:val="nil"/>
            </w:tcBorders>
            <w:shd w:val="clear" w:color="000000" w:fill="F2F2F2"/>
            <w:noWrap/>
            <w:hideMark/>
          </w:tcPr>
          <w:p w14:paraId="6441F15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5.1.1</w:t>
            </w:r>
          </w:p>
        </w:tc>
        <w:tc>
          <w:tcPr>
            <w:tcW w:w="8296" w:type="dxa"/>
            <w:tcBorders>
              <w:top w:val="nil"/>
              <w:left w:val="nil"/>
              <w:bottom w:val="nil"/>
              <w:right w:val="nil"/>
            </w:tcBorders>
            <w:shd w:val="clear" w:color="000000" w:fill="F2F2F2"/>
            <w:noWrap/>
            <w:hideMark/>
          </w:tcPr>
          <w:p w14:paraId="50D5671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normal organ anatomy and function, the effects of disease states that affect medicines use.</w:t>
            </w:r>
          </w:p>
        </w:tc>
      </w:tr>
      <w:tr w:rsidR="008463B1" w:rsidRPr="00284B1F" w14:paraId="737C5963" w14:textId="77777777" w:rsidTr="006E4B62">
        <w:trPr>
          <w:trHeight w:val="300"/>
        </w:trPr>
        <w:tc>
          <w:tcPr>
            <w:tcW w:w="292" w:type="dxa"/>
            <w:tcBorders>
              <w:top w:val="nil"/>
              <w:left w:val="nil"/>
              <w:bottom w:val="nil"/>
              <w:right w:val="nil"/>
            </w:tcBorders>
            <w:shd w:val="clear" w:color="000000" w:fill="F2F2F2"/>
            <w:noWrap/>
            <w:vAlign w:val="bottom"/>
            <w:hideMark/>
          </w:tcPr>
          <w:p w14:paraId="542CB07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179D95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A937C8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171C268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2DFF9FD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42A4439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5.1.2</w:t>
            </w:r>
          </w:p>
        </w:tc>
        <w:tc>
          <w:tcPr>
            <w:tcW w:w="8296" w:type="dxa"/>
            <w:tcBorders>
              <w:top w:val="nil"/>
              <w:left w:val="nil"/>
              <w:bottom w:val="nil"/>
              <w:right w:val="nil"/>
            </w:tcBorders>
            <w:shd w:val="clear" w:color="000000" w:fill="F2F2F2"/>
            <w:noWrap/>
            <w:hideMark/>
          </w:tcPr>
          <w:p w14:paraId="32C2BA93"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apply knowledge of pathophysiology to specific therapeutic areas and to particular patient groups (e.g. paediatric, older people, etc).</w:t>
            </w:r>
          </w:p>
        </w:tc>
      </w:tr>
      <w:tr w:rsidR="008463B1" w:rsidRPr="00284B1F" w14:paraId="48FC9E52" w14:textId="77777777" w:rsidTr="006E4B62">
        <w:trPr>
          <w:trHeight w:val="372"/>
        </w:trPr>
        <w:tc>
          <w:tcPr>
            <w:tcW w:w="292" w:type="dxa"/>
            <w:tcBorders>
              <w:top w:val="nil"/>
              <w:left w:val="nil"/>
              <w:bottom w:val="nil"/>
              <w:right w:val="nil"/>
            </w:tcBorders>
            <w:shd w:val="clear" w:color="000000" w:fill="F2F2F2"/>
            <w:noWrap/>
            <w:vAlign w:val="bottom"/>
            <w:hideMark/>
          </w:tcPr>
          <w:p w14:paraId="047E2FD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lastRenderedPageBreak/>
              <w:t> </w:t>
            </w:r>
          </w:p>
        </w:tc>
        <w:tc>
          <w:tcPr>
            <w:tcW w:w="1350" w:type="dxa"/>
            <w:tcBorders>
              <w:top w:val="nil"/>
              <w:left w:val="nil"/>
              <w:bottom w:val="nil"/>
              <w:right w:val="nil"/>
            </w:tcBorders>
            <w:shd w:val="clear" w:color="000000" w:fill="F2F2F2"/>
            <w:noWrap/>
            <w:vAlign w:val="bottom"/>
            <w:hideMark/>
          </w:tcPr>
          <w:p w14:paraId="77FD1A5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3E8B5B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519081E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5.2</w:t>
            </w:r>
          </w:p>
        </w:tc>
        <w:tc>
          <w:tcPr>
            <w:tcW w:w="1921" w:type="dxa"/>
            <w:tcBorders>
              <w:top w:val="nil"/>
              <w:left w:val="nil"/>
              <w:bottom w:val="nil"/>
              <w:right w:val="nil"/>
            </w:tcBorders>
            <w:shd w:val="clear" w:color="000000" w:fill="F2F2F2"/>
            <w:hideMark/>
          </w:tcPr>
          <w:p w14:paraId="2FD452E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Pharmacology and Pharmacotherapy</w:t>
            </w:r>
          </w:p>
        </w:tc>
        <w:tc>
          <w:tcPr>
            <w:tcW w:w="704" w:type="dxa"/>
            <w:tcBorders>
              <w:top w:val="nil"/>
              <w:left w:val="nil"/>
              <w:bottom w:val="nil"/>
              <w:right w:val="nil"/>
            </w:tcBorders>
            <w:shd w:val="clear" w:color="000000" w:fill="F2F2F2"/>
            <w:noWrap/>
            <w:hideMark/>
          </w:tcPr>
          <w:p w14:paraId="7F7C8B61"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5.2.1</w:t>
            </w:r>
          </w:p>
        </w:tc>
        <w:tc>
          <w:tcPr>
            <w:tcW w:w="8296" w:type="dxa"/>
            <w:tcBorders>
              <w:top w:val="nil"/>
              <w:left w:val="nil"/>
              <w:bottom w:val="nil"/>
              <w:right w:val="nil"/>
            </w:tcBorders>
            <w:shd w:val="clear" w:color="000000" w:fill="F2F2F2"/>
            <w:noWrap/>
            <w:hideMark/>
          </w:tcPr>
          <w:p w14:paraId="67FBFBE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describe and discuss the pharmacology and pharmacotherapy of drugs in routine use.</w:t>
            </w:r>
          </w:p>
        </w:tc>
      </w:tr>
      <w:tr w:rsidR="008463B1" w:rsidRPr="00284B1F" w14:paraId="00FCE28F" w14:textId="77777777" w:rsidTr="006E4B62">
        <w:trPr>
          <w:trHeight w:val="300"/>
        </w:trPr>
        <w:tc>
          <w:tcPr>
            <w:tcW w:w="292" w:type="dxa"/>
            <w:tcBorders>
              <w:top w:val="nil"/>
              <w:left w:val="nil"/>
              <w:bottom w:val="nil"/>
              <w:right w:val="nil"/>
            </w:tcBorders>
            <w:shd w:val="clear" w:color="000000" w:fill="F2F2F2"/>
            <w:noWrap/>
            <w:vAlign w:val="bottom"/>
            <w:hideMark/>
          </w:tcPr>
          <w:p w14:paraId="1E5286D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F0C5BF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8302B5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6AFB1C3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vAlign w:val="bottom"/>
            <w:hideMark/>
          </w:tcPr>
          <w:p w14:paraId="3E77519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0280CF7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5.2.2</w:t>
            </w:r>
          </w:p>
        </w:tc>
        <w:tc>
          <w:tcPr>
            <w:tcW w:w="8296" w:type="dxa"/>
            <w:tcBorders>
              <w:top w:val="nil"/>
              <w:left w:val="nil"/>
              <w:bottom w:val="nil"/>
              <w:right w:val="nil"/>
            </w:tcBorders>
            <w:shd w:val="clear" w:color="000000" w:fill="F2F2F2"/>
            <w:noWrap/>
            <w:hideMark/>
          </w:tcPr>
          <w:p w14:paraId="22A3CD0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Is aware of and can discuss the importance of emerging technologies in pharmacology and pharmacotherapy (e.g. pharmacogenomics).</w:t>
            </w:r>
          </w:p>
        </w:tc>
      </w:tr>
      <w:tr w:rsidR="008463B1" w:rsidRPr="00284B1F" w14:paraId="0DFFE12F" w14:textId="77777777" w:rsidTr="006E4B62">
        <w:trPr>
          <w:trHeight w:val="539"/>
        </w:trPr>
        <w:tc>
          <w:tcPr>
            <w:tcW w:w="292" w:type="dxa"/>
            <w:tcBorders>
              <w:top w:val="nil"/>
              <w:left w:val="nil"/>
              <w:bottom w:val="nil"/>
              <w:right w:val="nil"/>
            </w:tcBorders>
            <w:shd w:val="clear" w:color="000000" w:fill="F2F2F2"/>
            <w:noWrap/>
            <w:vAlign w:val="bottom"/>
            <w:hideMark/>
          </w:tcPr>
          <w:p w14:paraId="008C32B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1D83254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B39BEA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01535A5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w:t>
            </w:r>
          </w:p>
        </w:tc>
        <w:tc>
          <w:tcPr>
            <w:tcW w:w="1921" w:type="dxa"/>
            <w:tcBorders>
              <w:top w:val="nil"/>
              <w:left w:val="nil"/>
              <w:bottom w:val="nil"/>
              <w:right w:val="nil"/>
            </w:tcBorders>
            <w:shd w:val="clear" w:color="000000" w:fill="F2F2F2"/>
            <w:hideMark/>
          </w:tcPr>
          <w:p w14:paraId="75BE1CD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Pharmaceutical technology &amp; biopharmacy</w:t>
            </w:r>
          </w:p>
        </w:tc>
        <w:tc>
          <w:tcPr>
            <w:tcW w:w="704" w:type="dxa"/>
            <w:tcBorders>
              <w:top w:val="nil"/>
              <w:left w:val="nil"/>
              <w:bottom w:val="nil"/>
              <w:right w:val="nil"/>
            </w:tcBorders>
            <w:shd w:val="clear" w:color="000000" w:fill="F2F2F2"/>
            <w:noWrap/>
            <w:hideMark/>
          </w:tcPr>
          <w:p w14:paraId="19653E6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5.3.1</w:t>
            </w:r>
          </w:p>
        </w:tc>
        <w:tc>
          <w:tcPr>
            <w:tcW w:w="8296" w:type="dxa"/>
            <w:tcBorders>
              <w:top w:val="nil"/>
              <w:left w:val="nil"/>
              <w:bottom w:val="nil"/>
              <w:right w:val="nil"/>
            </w:tcBorders>
            <w:shd w:val="clear" w:color="000000" w:fill="F2F2F2"/>
            <w:hideMark/>
          </w:tcPr>
          <w:p w14:paraId="5C17896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the scientific basis of different dosage formulations, how they are designed and how they may influence the clinical efficacy of medicines.</w:t>
            </w:r>
          </w:p>
        </w:tc>
      </w:tr>
      <w:tr w:rsidR="008463B1" w:rsidRPr="00284B1F" w14:paraId="4E87ED3A" w14:textId="77777777" w:rsidTr="006E4B62">
        <w:trPr>
          <w:trHeight w:val="300"/>
        </w:trPr>
        <w:tc>
          <w:tcPr>
            <w:tcW w:w="292" w:type="dxa"/>
            <w:tcBorders>
              <w:top w:val="nil"/>
              <w:left w:val="nil"/>
              <w:bottom w:val="nil"/>
              <w:right w:val="nil"/>
            </w:tcBorders>
            <w:shd w:val="clear" w:color="000000" w:fill="F2F2F2"/>
            <w:noWrap/>
            <w:vAlign w:val="bottom"/>
            <w:hideMark/>
          </w:tcPr>
          <w:p w14:paraId="2C6E7F9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2621DAE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BD7FDA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282BB84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304A55E3"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2ECDBF3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5.3.2</w:t>
            </w:r>
          </w:p>
        </w:tc>
        <w:tc>
          <w:tcPr>
            <w:tcW w:w="8296" w:type="dxa"/>
            <w:tcBorders>
              <w:top w:val="nil"/>
              <w:left w:val="nil"/>
              <w:bottom w:val="nil"/>
              <w:right w:val="nil"/>
            </w:tcBorders>
            <w:shd w:val="clear" w:color="000000" w:fill="F2F2F2"/>
            <w:noWrap/>
            <w:hideMark/>
          </w:tcPr>
          <w:p w14:paraId="262E052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how administration, drug distribution, drug elimination influences medicines outcomes (ADME, pharmacokinetics, biopharmacy).</w:t>
            </w:r>
          </w:p>
        </w:tc>
      </w:tr>
      <w:tr w:rsidR="008463B1" w:rsidRPr="00284B1F" w14:paraId="135B4A32" w14:textId="77777777" w:rsidTr="006E4B62">
        <w:trPr>
          <w:trHeight w:val="300"/>
        </w:trPr>
        <w:tc>
          <w:tcPr>
            <w:tcW w:w="292" w:type="dxa"/>
            <w:tcBorders>
              <w:top w:val="nil"/>
              <w:left w:val="nil"/>
              <w:bottom w:val="nil"/>
              <w:right w:val="nil"/>
            </w:tcBorders>
            <w:shd w:val="clear" w:color="000000" w:fill="F2F2F2"/>
            <w:noWrap/>
            <w:vAlign w:val="bottom"/>
            <w:hideMark/>
          </w:tcPr>
          <w:p w14:paraId="4FA497E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865080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56F1154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79CB56C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08CD23C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40E1689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5.3.3</w:t>
            </w:r>
          </w:p>
        </w:tc>
        <w:tc>
          <w:tcPr>
            <w:tcW w:w="8296" w:type="dxa"/>
            <w:tcBorders>
              <w:top w:val="nil"/>
              <w:left w:val="nil"/>
              <w:bottom w:val="nil"/>
              <w:right w:val="nil"/>
            </w:tcBorders>
            <w:shd w:val="clear" w:color="000000" w:fill="F2F2F2"/>
            <w:noWrap/>
            <w:hideMark/>
          </w:tcPr>
          <w:p w14:paraId="2275917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Is able to understand the advantages and risks of the new formulations (e.g. nanotechnology, Advanced Therapy Medicinal Products [ATMPs]).</w:t>
            </w:r>
          </w:p>
        </w:tc>
      </w:tr>
      <w:tr w:rsidR="008463B1" w:rsidRPr="00284B1F" w14:paraId="7C58E572" w14:textId="77777777" w:rsidTr="006E4B62">
        <w:trPr>
          <w:trHeight w:val="79"/>
        </w:trPr>
        <w:tc>
          <w:tcPr>
            <w:tcW w:w="292" w:type="dxa"/>
            <w:tcBorders>
              <w:top w:val="nil"/>
              <w:left w:val="nil"/>
              <w:bottom w:val="nil"/>
              <w:right w:val="nil"/>
            </w:tcBorders>
            <w:shd w:val="clear" w:color="000000" w:fill="F2F2F2"/>
            <w:noWrap/>
            <w:vAlign w:val="bottom"/>
            <w:hideMark/>
          </w:tcPr>
          <w:p w14:paraId="303A153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3F4CA98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B10BC5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C16521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0F56FE6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176AF0B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5.3.4</w:t>
            </w:r>
          </w:p>
        </w:tc>
        <w:tc>
          <w:tcPr>
            <w:tcW w:w="8296" w:type="dxa"/>
            <w:tcBorders>
              <w:top w:val="nil"/>
              <w:left w:val="nil"/>
              <w:bottom w:val="nil"/>
              <w:right w:val="nil"/>
            </w:tcBorders>
            <w:shd w:val="clear" w:color="000000" w:fill="F2F2F2"/>
            <w:noWrap/>
            <w:hideMark/>
          </w:tcPr>
          <w:p w14:paraId="7CA2606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Has knowledge on the purposes and risks of the adjuvant compounds in medicines formulations.</w:t>
            </w:r>
          </w:p>
        </w:tc>
      </w:tr>
      <w:tr w:rsidR="008463B1" w:rsidRPr="00284B1F" w14:paraId="6C1164CD" w14:textId="77777777" w:rsidTr="006E4B62">
        <w:trPr>
          <w:trHeight w:val="300"/>
        </w:trPr>
        <w:tc>
          <w:tcPr>
            <w:tcW w:w="292" w:type="dxa"/>
            <w:tcBorders>
              <w:top w:val="nil"/>
              <w:left w:val="nil"/>
              <w:bottom w:val="nil"/>
              <w:right w:val="nil"/>
            </w:tcBorders>
            <w:shd w:val="clear" w:color="000000" w:fill="F2F2F2"/>
            <w:noWrap/>
            <w:vAlign w:val="bottom"/>
            <w:hideMark/>
          </w:tcPr>
          <w:p w14:paraId="79672FD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06A3147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3954C61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044118C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5061819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47B6114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5.3.5</w:t>
            </w:r>
          </w:p>
        </w:tc>
        <w:tc>
          <w:tcPr>
            <w:tcW w:w="8296" w:type="dxa"/>
            <w:tcBorders>
              <w:top w:val="nil"/>
              <w:left w:val="nil"/>
              <w:bottom w:val="nil"/>
              <w:right w:val="nil"/>
            </w:tcBorders>
            <w:shd w:val="clear" w:color="000000" w:fill="F2F2F2"/>
            <w:noWrap/>
            <w:hideMark/>
          </w:tcPr>
          <w:p w14:paraId="2EC238F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Is able to make a patient oriented choice for the best individual pharmaceutical formulation to obtain optimal outcomes.</w:t>
            </w:r>
          </w:p>
        </w:tc>
      </w:tr>
      <w:tr w:rsidR="008463B1" w:rsidRPr="00284B1F" w14:paraId="4741701E" w14:textId="77777777" w:rsidTr="006E4B62">
        <w:trPr>
          <w:trHeight w:val="480"/>
        </w:trPr>
        <w:tc>
          <w:tcPr>
            <w:tcW w:w="292" w:type="dxa"/>
            <w:tcBorders>
              <w:top w:val="nil"/>
              <w:left w:val="nil"/>
              <w:bottom w:val="nil"/>
              <w:right w:val="nil"/>
            </w:tcBorders>
            <w:shd w:val="clear" w:color="000000" w:fill="F2F2F2"/>
            <w:noWrap/>
            <w:vAlign w:val="bottom"/>
            <w:hideMark/>
          </w:tcPr>
          <w:p w14:paraId="7255085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32D621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3F191BF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4153C0F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5.4</w:t>
            </w:r>
          </w:p>
        </w:tc>
        <w:tc>
          <w:tcPr>
            <w:tcW w:w="1921" w:type="dxa"/>
            <w:tcBorders>
              <w:top w:val="nil"/>
              <w:left w:val="nil"/>
              <w:bottom w:val="nil"/>
              <w:right w:val="nil"/>
            </w:tcBorders>
            <w:shd w:val="clear" w:color="000000" w:fill="F2F2F2"/>
            <w:hideMark/>
          </w:tcPr>
          <w:p w14:paraId="451F31A1"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Adverse effects and toxicology</w:t>
            </w:r>
          </w:p>
        </w:tc>
        <w:tc>
          <w:tcPr>
            <w:tcW w:w="704" w:type="dxa"/>
            <w:tcBorders>
              <w:top w:val="nil"/>
              <w:left w:val="nil"/>
              <w:bottom w:val="nil"/>
              <w:right w:val="nil"/>
            </w:tcBorders>
            <w:shd w:val="clear" w:color="000000" w:fill="F2F2F2"/>
            <w:noWrap/>
            <w:hideMark/>
          </w:tcPr>
          <w:p w14:paraId="58BFBC2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5.4.1</w:t>
            </w:r>
          </w:p>
        </w:tc>
        <w:tc>
          <w:tcPr>
            <w:tcW w:w="8296" w:type="dxa"/>
            <w:tcBorders>
              <w:top w:val="nil"/>
              <w:left w:val="nil"/>
              <w:bottom w:val="nil"/>
              <w:right w:val="nil"/>
            </w:tcBorders>
            <w:shd w:val="clear" w:color="000000" w:fill="F2F2F2"/>
            <w:hideMark/>
          </w:tcPr>
          <w:p w14:paraId="4EA2667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recognise side effects of medicines and, in collaboration with other health care professionals, patients and carers, can recommend alternative treatment strategies and is able to take action, when required.</w:t>
            </w:r>
          </w:p>
        </w:tc>
      </w:tr>
      <w:tr w:rsidR="008463B1" w:rsidRPr="00284B1F" w14:paraId="627DFA5F" w14:textId="77777777" w:rsidTr="006E4B62">
        <w:trPr>
          <w:trHeight w:val="300"/>
        </w:trPr>
        <w:tc>
          <w:tcPr>
            <w:tcW w:w="292" w:type="dxa"/>
            <w:tcBorders>
              <w:top w:val="nil"/>
              <w:left w:val="nil"/>
              <w:bottom w:val="nil"/>
              <w:right w:val="nil"/>
            </w:tcBorders>
            <w:shd w:val="clear" w:color="000000" w:fill="F2F2F2"/>
            <w:noWrap/>
            <w:vAlign w:val="bottom"/>
            <w:hideMark/>
          </w:tcPr>
          <w:p w14:paraId="3477120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6FB7C4B"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08DC3CB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0411E870"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3E0ECDC1"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58F8406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5.4.2</w:t>
            </w:r>
          </w:p>
        </w:tc>
        <w:tc>
          <w:tcPr>
            <w:tcW w:w="8296" w:type="dxa"/>
            <w:tcBorders>
              <w:top w:val="nil"/>
              <w:left w:val="nil"/>
              <w:bottom w:val="nil"/>
              <w:right w:val="nil"/>
            </w:tcBorders>
            <w:shd w:val="clear" w:color="000000" w:fill="F2F2F2"/>
            <w:noWrap/>
            <w:hideMark/>
          </w:tcPr>
          <w:p w14:paraId="46CA85DB"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support the management of acute toxicity and advise on appropriate antidotes.</w:t>
            </w:r>
          </w:p>
        </w:tc>
      </w:tr>
      <w:tr w:rsidR="008463B1" w:rsidRPr="00284B1F" w14:paraId="33E65408" w14:textId="77777777" w:rsidTr="006E4B62">
        <w:trPr>
          <w:trHeight w:val="465"/>
        </w:trPr>
        <w:tc>
          <w:tcPr>
            <w:tcW w:w="292" w:type="dxa"/>
            <w:tcBorders>
              <w:top w:val="nil"/>
              <w:left w:val="nil"/>
              <w:bottom w:val="nil"/>
              <w:right w:val="nil"/>
            </w:tcBorders>
            <w:shd w:val="clear" w:color="000000" w:fill="F2F2F2"/>
            <w:noWrap/>
            <w:vAlign w:val="bottom"/>
            <w:hideMark/>
          </w:tcPr>
          <w:p w14:paraId="15FB0A3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AC3DBE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6D8641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5685B102"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61E478F5"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15014A0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5.4.3</w:t>
            </w:r>
          </w:p>
        </w:tc>
        <w:tc>
          <w:tcPr>
            <w:tcW w:w="8296" w:type="dxa"/>
            <w:tcBorders>
              <w:top w:val="nil"/>
              <w:left w:val="nil"/>
              <w:bottom w:val="nil"/>
              <w:right w:val="nil"/>
            </w:tcBorders>
            <w:shd w:val="clear" w:color="000000" w:fill="F2F2F2"/>
            <w:hideMark/>
          </w:tcPr>
          <w:p w14:paraId="6D821ED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Contributes to a national reporting system of pharmacovigilance, identifying, recording and reporting suspected or confirmed adverse drug reactions, sensitivities or allergies.</w:t>
            </w:r>
          </w:p>
        </w:tc>
      </w:tr>
      <w:tr w:rsidR="008463B1" w:rsidRPr="00284B1F" w14:paraId="189DF086" w14:textId="77777777" w:rsidTr="006E4B62">
        <w:trPr>
          <w:trHeight w:val="480"/>
        </w:trPr>
        <w:tc>
          <w:tcPr>
            <w:tcW w:w="292" w:type="dxa"/>
            <w:tcBorders>
              <w:top w:val="nil"/>
              <w:left w:val="nil"/>
              <w:bottom w:val="nil"/>
              <w:right w:val="nil"/>
            </w:tcBorders>
            <w:shd w:val="clear" w:color="000000" w:fill="F2F2F2"/>
            <w:noWrap/>
            <w:vAlign w:val="bottom"/>
            <w:hideMark/>
          </w:tcPr>
          <w:p w14:paraId="263291A5"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D0A3F81"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0D332C8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7F4009D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5.5</w:t>
            </w:r>
          </w:p>
        </w:tc>
        <w:tc>
          <w:tcPr>
            <w:tcW w:w="1921" w:type="dxa"/>
            <w:tcBorders>
              <w:top w:val="nil"/>
              <w:left w:val="nil"/>
              <w:bottom w:val="nil"/>
              <w:right w:val="nil"/>
            </w:tcBorders>
            <w:shd w:val="clear" w:color="000000" w:fill="F2F2F2"/>
            <w:hideMark/>
          </w:tcPr>
          <w:p w14:paraId="56C64BE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Microbiology and hygiene</w:t>
            </w:r>
          </w:p>
        </w:tc>
        <w:tc>
          <w:tcPr>
            <w:tcW w:w="704" w:type="dxa"/>
            <w:tcBorders>
              <w:top w:val="nil"/>
              <w:left w:val="nil"/>
              <w:bottom w:val="nil"/>
              <w:right w:val="nil"/>
            </w:tcBorders>
            <w:shd w:val="clear" w:color="000000" w:fill="F2F2F2"/>
            <w:noWrap/>
            <w:hideMark/>
          </w:tcPr>
          <w:p w14:paraId="105BC69A"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5.5.1</w:t>
            </w:r>
          </w:p>
        </w:tc>
        <w:tc>
          <w:tcPr>
            <w:tcW w:w="8296" w:type="dxa"/>
            <w:tcBorders>
              <w:top w:val="nil"/>
              <w:left w:val="nil"/>
              <w:bottom w:val="nil"/>
              <w:right w:val="nil"/>
            </w:tcBorders>
            <w:shd w:val="clear" w:color="000000" w:fill="F2F2F2"/>
            <w:hideMark/>
          </w:tcPr>
          <w:p w14:paraId="2BDEACF5"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describe the microbiological interactions associated with pharmacotherapy including resistance mechanisms and anti-microbial stewardship.</w:t>
            </w:r>
          </w:p>
        </w:tc>
      </w:tr>
      <w:tr w:rsidR="008463B1" w:rsidRPr="00284B1F" w14:paraId="329A0B99" w14:textId="77777777" w:rsidTr="006E4B62">
        <w:trPr>
          <w:trHeight w:val="300"/>
        </w:trPr>
        <w:tc>
          <w:tcPr>
            <w:tcW w:w="292" w:type="dxa"/>
            <w:tcBorders>
              <w:top w:val="nil"/>
              <w:left w:val="nil"/>
              <w:bottom w:val="nil"/>
              <w:right w:val="nil"/>
            </w:tcBorders>
            <w:shd w:val="clear" w:color="000000" w:fill="F2F2F2"/>
            <w:noWrap/>
            <w:vAlign w:val="bottom"/>
            <w:hideMark/>
          </w:tcPr>
          <w:p w14:paraId="7E20FD0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297BFC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2A5CF4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vAlign w:val="bottom"/>
            <w:hideMark/>
          </w:tcPr>
          <w:p w14:paraId="4E0C916E"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1921" w:type="dxa"/>
            <w:tcBorders>
              <w:top w:val="nil"/>
              <w:left w:val="nil"/>
              <w:bottom w:val="nil"/>
              <w:right w:val="nil"/>
            </w:tcBorders>
            <w:shd w:val="clear" w:color="000000" w:fill="F2F2F2"/>
            <w:noWrap/>
            <w:vAlign w:val="bottom"/>
            <w:hideMark/>
          </w:tcPr>
          <w:p w14:paraId="5334183B" w14:textId="77777777" w:rsidR="008463B1" w:rsidRPr="00A420D3" w:rsidRDefault="008463B1" w:rsidP="006E4B62">
            <w:pPr>
              <w:spacing w:after="0" w:line="240" w:lineRule="auto"/>
              <w:rPr>
                <w:rFonts w:ascii="Calibri" w:eastAsia="Times New Roman" w:hAnsi="Calibri" w:cs="Calibri"/>
                <w:lang w:val="en-US" w:eastAsia="de-AT"/>
              </w:rPr>
            </w:pPr>
            <w:r w:rsidRPr="00A420D3">
              <w:rPr>
                <w:rFonts w:ascii="Calibri" w:eastAsia="Times New Roman" w:hAnsi="Calibri" w:cs="Calibri"/>
                <w:lang w:val="en-US" w:eastAsia="de-AT"/>
              </w:rPr>
              <w:t> </w:t>
            </w:r>
          </w:p>
        </w:tc>
        <w:tc>
          <w:tcPr>
            <w:tcW w:w="704" w:type="dxa"/>
            <w:tcBorders>
              <w:top w:val="nil"/>
              <w:left w:val="nil"/>
              <w:bottom w:val="nil"/>
              <w:right w:val="nil"/>
            </w:tcBorders>
            <w:shd w:val="clear" w:color="000000" w:fill="F2F2F2"/>
            <w:noWrap/>
            <w:hideMark/>
          </w:tcPr>
          <w:p w14:paraId="10925F29"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5.5.2</w:t>
            </w:r>
          </w:p>
        </w:tc>
        <w:tc>
          <w:tcPr>
            <w:tcW w:w="8296" w:type="dxa"/>
            <w:tcBorders>
              <w:top w:val="nil"/>
              <w:left w:val="nil"/>
              <w:bottom w:val="nil"/>
              <w:right w:val="nil"/>
            </w:tcBorders>
            <w:shd w:val="clear" w:color="000000" w:fill="F2F2F2"/>
            <w:noWrap/>
            <w:hideMark/>
          </w:tcPr>
          <w:p w14:paraId="5A59658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support staff training activities regarding infection control and infection control strategies.</w:t>
            </w:r>
          </w:p>
        </w:tc>
      </w:tr>
      <w:tr w:rsidR="008463B1" w:rsidRPr="00284B1F" w14:paraId="08BAD217" w14:textId="77777777" w:rsidTr="006E4B62">
        <w:trPr>
          <w:trHeight w:val="480"/>
        </w:trPr>
        <w:tc>
          <w:tcPr>
            <w:tcW w:w="292" w:type="dxa"/>
            <w:tcBorders>
              <w:top w:val="nil"/>
              <w:left w:val="nil"/>
              <w:bottom w:val="nil"/>
              <w:right w:val="nil"/>
            </w:tcBorders>
            <w:shd w:val="clear" w:color="000000" w:fill="F2F2F2"/>
            <w:noWrap/>
            <w:vAlign w:val="bottom"/>
            <w:hideMark/>
          </w:tcPr>
          <w:p w14:paraId="5ABBAE9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6D25D80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5FDD8A7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5114DB4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5.6</w:t>
            </w:r>
          </w:p>
        </w:tc>
        <w:tc>
          <w:tcPr>
            <w:tcW w:w="1921" w:type="dxa"/>
            <w:tcBorders>
              <w:top w:val="nil"/>
              <w:left w:val="nil"/>
              <w:bottom w:val="nil"/>
              <w:right w:val="nil"/>
            </w:tcBorders>
            <w:shd w:val="clear" w:color="000000" w:fill="F2F2F2"/>
            <w:hideMark/>
          </w:tcPr>
          <w:p w14:paraId="282E196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High-alert medications</w:t>
            </w:r>
          </w:p>
        </w:tc>
        <w:tc>
          <w:tcPr>
            <w:tcW w:w="704" w:type="dxa"/>
            <w:tcBorders>
              <w:top w:val="nil"/>
              <w:left w:val="nil"/>
              <w:bottom w:val="nil"/>
              <w:right w:val="nil"/>
            </w:tcBorders>
            <w:shd w:val="clear" w:color="000000" w:fill="F2F2F2"/>
            <w:noWrap/>
            <w:hideMark/>
          </w:tcPr>
          <w:p w14:paraId="0B9144A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5.6.1</w:t>
            </w:r>
          </w:p>
        </w:tc>
        <w:tc>
          <w:tcPr>
            <w:tcW w:w="8296" w:type="dxa"/>
            <w:tcBorders>
              <w:top w:val="nil"/>
              <w:left w:val="nil"/>
              <w:bottom w:val="nil"/>
              <w:right w:val="nil"/>
            </w:tcBorders>
            <w:shd w:val="clear" w:color="000000" w:fill="F2F2F2"/>
            <w:noWrap/>
            <w:hideMark/>
          </w:tcPr>
          <w:p w14:paraId="5F02C7E0"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Can identify high-risk medicines and high-risk administration of medicines relevant to the healthcare setting. </w:t>
            </w:r>
          </w:p>
        </w:tc>
      </w:tr>
      <w:tr w:rsidR="008463B1" w:rsidRPr="00284B1F" w14:paraId="57CD987E" w14:textId="77777777" w:rsidTr="006E4B62">
        <w:trPr>
          <w:trHeight w:val="300"/>
        </w:trPr>
        <w:tc>
          <w:tcPr>
            <w:tcW w:w="292" w:type="dxa"/>
            <w:tcBorders>
              <w:top w:val="nil"/>
              <w:left w:val="nil"/>
              <w:bottom w:val="nil"/>
              <w:right w:val="nil"/>
            </w:tcBorders>
            <w:shd w:val="clear" w:color="000000" w:fill="F2F2F2"/>
            <w:noWrap/>
            <w:vAlign w:val="bottom"/>
            <w:hideMark/>
          </w:tcPr>
          <w:p w14:paraId="021A7D8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D4F186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6E674E1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0C2C3ED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1874BB9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514C794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5.6.2</w:t>
            </w:r>
          </w:p>
        </w:tc>
        <w:tc>
          <w:tcPr>
            <w:tcW w:w="8296" w:type="dxa"/>
            <w:tcBorders>
              <w:top w:val="nil"/>
              <w:left w:val="nil"/>
              <w:bottom w:val="nil"/>
              <w:right w:val="nil"/>
            </w:tcBorders>
            <w:shd w:val="clear" w:color="000000" w:fill="F2F2F2"/>
            <w:noWrap/>
            <w:hideMark/>
          </w:tcPr>
          <w:p w14:paraId="7DD46257"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plan and implement medicines management actions to minimize the risk related to these medicines.</w:t>
            </w:r>
          </w:p>
        </w:tc>
      </w:tr>
      <w:tr w:rsidR="008463B1" w:rsidRPr="00284B1F" w14:paraId="3C075007" w14:textId="77777777" w:rsidTr="006E4B62">
        <w:trPr>
          <w:trHeight w:val="300"/>
        </w:trPr>
        <w:tc>
          <w:tcPr>
            <w:tcW w:w="292" w:type="dxa"/>
            <w:tcBorders>
              <w:top w:val="nil"/>
              <w:left w:val="nil"/>
              <w:bottom w:val="nil"/>
              <w:right w:val="nil"/>
            </w:tcBorders>
            <w:shd w:val="clear" w:color="000000" w:fill="F2F2F2"/>
            <w:noWrap/>
            <w:vAlign w:val="bottom"/>
            <w:hideMark/>
          </w:tcPr>
          <w:p w14:paraId="0560016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4F2287E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AC4D80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6CA04AF9"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5C6928C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494DE03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5.6.3</w:t>
            </w:r>
          </w:p>
        </w:tc>
        <w:tc>
          <w:tcPr>
            <w:tcW w:w="8296" w:type="dxa"/>
            <w:tcBorders>
              <w:top w:val="nil"/>
              <w:left w:val="nil"/>
              <w:bottom w:val="nil"/>
              <w:right w:val="nil"/>
            </w:tcBorders>
            <w:shd w:val="clear" w:color="000000" w:fill="F2F2F2"/>
            <w:hideMark/>
          </w:tcPr>
          <w:p w14:paraId="4B9F5ED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Assesses the potential for inappropriate use, misuse or abuse of medicinal treatments.</w:t>
            </w:r>
          </w:p>
        </w:tc>
      </w:tr>
      <w:tr w:rsidR="008463B1" w:rsidRPr="00284B1F" w14:paraId="39BC6F37" w14:textId="77777777" w:rsidTr="006E4B62">
        <w:trPr>
          <w:trHeight w:val="300"/>
        </w:trPr>
        <w:tc>
          <w:tcPr>
            <w:tcW w:w="292" w:type="dxa"/>
            <w:tcBorders>
              <w:top w:val="nil"/>
              <w:left w:val="nil"/>
              <w:bottom w:val="nil"/>
              <w:right w:val="nil"/>
            </w:tcBorders>
            <w:shd w:val="clear" w:color="000000" w:fill="F2F2F2"/>
            <w:noWrap/>
            <w:vAlign w:val="bottom"/>
            <w:hideMark/>
          </w:tcPr>
          <w:p w14:paraId="7F95ED2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35B84F2E"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7AC2795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11B5F273"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0C22D25D"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2EECF02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5.6.4</w:t>
            </w:r>
          </w:p>
        </w:tc>
        <w:tc>
          <w:tcPr>
            <w:tcW w:w="8296" w:type="dxa"/>
            <w:tcBorders>
              <w:top w:val="nil"/>
              <w:left w:val="nil"/>
              <w:bottom w:val="nil"/>
              <w:right w:val="nil"/>
            </w:tcBorders>
            <w:shd w:val="clear" w:color="000000" w:fill="F2F2F2"/>
            <w:hideMark/>
          </w:tcPr>
          <w:p w14:paraId="52C70FF8"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Identification of patients most at risk of medication misadventure </w:t>
            </w:r>
            <w:r w:rsidRPr="00EE2E73">
              <w:rPr>
                <w:rFonts w:ascii="Arial" w:eastAsia="Times New Roman" w:hAnsi="Arial" w:cs="Arial"/>
                <w:sz w:val="18"/>
                <w:szCs w:val="18"/>
                <w:lang w:val="en-US" w:eastAsia="de-AT"/>
              </w:rPr>
              <w:sym w:font="Wingdings" w:char="F0E0"/>
            </w:r>
            <w:r w:rsidRPr="00A420D3">
              <w:rPr>
                <w:rFonts w:ascii="Arial" w:eastAsia="Times New Roman" w:hAnsi="Arial" w:cs="Arial"/>
                <w:sz w:val="18"/>
                <w:szCs w:val="18"/>
                <w:lang w:val="en-US" w:eastAsia="de-AT"/>
              </w:rPr>
              <w:t xml:space="preserve"> Identify if patient is at risk of medication misadventure.</w:t>
            </w:r>
          </w:p>
        </w:tc>
      </w:tr>
      <w:tr w:rsidR="008463B1" w:rsidRPr="00284B1F" w14:paraId="3EA1C38F" w14:textId="77777777" w:rsidTr="006E4B62">
        <w:trPr>
          <w:trHeight w:val="300"/>
        </w:trPr>
        <w:tc>
          <w:tcPr>
            <w:tcW w:w="292" w:type="dxa"/>
            <w:tcBorders>
              <w:top w:val="nil"/>
              <w:left w:val="nil"/>
              <w:bottom w:val="nil"/>
              <w:right w:val="nil"/>
            </w:tcBorders>
            <w:shd w:val="clear" w:color="000000" w:fill="F2F2F2"/>
            <w:noWrap/>
            <w:vAlign w:val="bottom"/>
            <w:hideMark/>
          </w:tcPr>
          <w:p w14:paraId="0D036DD2"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798C6C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B0F016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29B4E9D0"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5.7</w:t>
            </w:r>
          </w:p>
        </w:tc>
        <w:tc>
          <w:tcPr>
            <w:tcW w:w="1921" w:type="dxa"/>
            <w:tcBorders>
              <w:top w:val="nil"/>
              <w:left w:val="nil"/>
              <w:bottom w:val="nil"/>
              <w:right w:val="nil"/>
            </w:tcBorders>
            <w:shd w:val="clear" w:color="000000" w:fill="F2F2F2"/>
            <w:hideMark/>
          </w:tcPr>
          <w:p w14:paraId="1C7AA8E8"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Medical devices</w:t>
            </w:r>
          </w:p>
        </w:tc>
        <w:tc>
          <w:tcPr>
            <w:tcW w:w="704" w:type="dxa"/>
            <w:tcBorders>
              <w:top w:val="nil"/>
              <w:left w:val="nil"/>
              <w:bottom w:val="nil"/>
              <w:right w:val="nil"/>
            </w:tcBorders>
            <w:shd w:val="clear" w:color="000000" w:fill="F2F2F2"/>
            <w:noWrap/>
            <w:hideMark/>
          </w:tcPr>
          <w:p w14:paraId="28AE85A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5.7.1</w:t>
            </w:r>
          </w:p>
        </w:tc>
        <w:tc>
          <w:tcPr>
            <w:tcW w:w="8296" w:type="dxa"/>
            <w:tcBorders>
              <w:top w:val="nil"/>
              <w:left w:val="nil"/>
              <w:bottom w:val="nil"/>
              <w:right w:val="nil"/>
            </w:tcBorders>
            <w:shd w:val="clear" w:color="000000" w:fill="F2F2F2"/>
            <w:noWrap/>
            <w:hideMark/>
          </w:tcPr>
          <w:p w14:paraId="4A4B1CEE"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Understands and applies knowledge of medical devices for drug delivery, administration and reconstitution.</w:t>
            </w:r>
          </w:p>
        </w:tc>
      </w:tr>
      <w:tr w:rsidR="008463B1" w:rsidRPr="00284B1F" w14:paraId="51834EE4" w14:textId="77777777" w:rsidTr="006E4B62">
        <w:trPr>
          <w:trHeight w:val="366"/>
        </w:trPr>
        <w:tc>
          <w:tcPr>
            <w:tcW w:w="292" w:type="dxa"/>
            <w:tcBorders>
              <w:top w:val="nil"/>
              <w:left w:val="nil"/>
              <w:bottom w:val="nil"/>
              <w:right w:val="nil"/>
            </w:tcBorders>
            <w:shd w:val="clear" w:color="000000" w:fill="F2F2F2"/>
            <w:noWrap/>
            <w:vAlign w:val="bottom"/>
            <w:hideMark/>
          </w:tcPr>
          <w:p w14:paraId="5ED80A6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2114203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1C25593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5FDC6E6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5.8</w:t>
            </w:r>
          </w:p>
        </w:tc>
        <w:tc>
          <w:tcPr>
            <w:tcW w:w="1921" w:type="dxa"/>
            <w:tcBorders>
              <w:top w:val="nil"/>
              <w:left w:val="nil"/>
              <w:bottom w:val="nil"/>
              <w:right w:val="nil"/>
            </w:tcBorders>
            <w:shd w:val="clear" w:color="000000" w:fill="F2F2F2"/>
            <w:noWrap/>
            <w:hideMark/>
          </w:tcPr>
          <w:p w14:paraId="2683E33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Research</w:t>
            </w:r>
          </w:p>
        </w:tc>
        <w:tc>
          <w:tcPr>
            <w:tcW w:w="704" w:type="dxa"/>
            <w:tcBorders>
              <w:top w:val="nil"/>
              <w:left w:val="nil"/>
              <w:bottom w:val="nil"/>
              <w:right w:val="nil"/>
            </w:tcBorders>
            <w:shd w:val="clear" w:color="000000" w:fill="F2F2F2"/>
            <w:noWrap/>
            <w:hideMark/>
          </w:tcPr>
          <w:p w14:paraId="2CB1B776"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5.8.1</w:t>
            </w:r>
          </w:p>
        </w:tc>
        <w:tc>
          <w:tcPr>
            <w:tcW w:w="8296" w:type="dxa"/>
            <w:tcBorders>
              <w:top w:val="nil"/>
              <w:left w:val="nil"/>
              <w:bottom w:val="nil"/>
              <w:right w:val="nil"/>
            </w:tcBorders>
            <w:shd w:val="clear" w:color="000000" w:fill="F2F2F2"/>
            <w:hideMark/>
          </w:tcPr>
          <w:p w14:paraId="38D7FFF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describe, explain and discuss commonly used research methodologies in order to be able to participate in pharmacy practice research and clinical research.</w:t>
            </w:r>
          </w:p>
        </w:tc>
      </w:tr>
      <w:tr w:rsidR="008463B1" w:rsidRPr="00284B1F" w14:paraId="5CAB162C" w14:textId="77777777" w:rsidTr="006E4B62">
        <w:trPr>
          <w:trHeight w:val="88"/>
        </w:trPr>
        <w:tc>
          <w:tcPr>
            <w:tcW w:w="292" w:type="dxa"/>
            <w:tcBorders>
              <w:top w:val="nil"/>
              <w:left w:val="nil"/>
              <w:bottom w:val="nil"/>
              <w:right w:val="nil"/>
            </w:tcBorders>
            <w:shd w:val="clear" w:color="000000" w:fill="F2F2F2"/>
            <w:noWrap/>
            <w:vAlign w:val="bottom"/>
            <w:hideMark/>
          </w:tcPr>
          <w:p w14:paraId="3576687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1A920C00"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6FE3180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761D3E3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5AE9ED3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5B3D902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5.8.2</w:t>
            </w:r>
          </w:p>
        </w:tc>
        <w:tc>
          <w:tcPr>
            <w:tcW w:w="8296" w:type="dxa"/>
            <w:tcBorders>
              <w:top w:val="nil"/>
              <w:left w:val="nil"/>
              <w:bottom w:val="nil"/>
              <w:right w:val="nil"/>
            </w:tcBorders>
            <w:shd w:val="clear" w:color="000000" w:fill="F2F2F2"/>
            <w:noWrap/>
            <w:hideMark/>
          </w:tcPr>
          <w:p w14:paraId="63D0CF3C"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use benefit-risk assessments for evaluating alternative treatment strategies.</w:t>
            </w:r>
          </w:p>
        </w:tc>
      </w:tr>
      <w:tr w:rsidR="008463B1" w:rsidRPr="00284B1F" w14:paraId="1E2619AD" w14:textId="77777777" w:rsidTr="006E4B62">
        <w:trPr>
          <w:trHeight w:val="735"/>
        </w:trPr>
        <w:tc>
          <w:tcPr>
            <w:tcW w:w="292" w:type="dxa"/>
            <w:tcBorders>
              <w:top w:val="nil"/>
              <w:left w:val="nil"/>
              <w:bottom w:val="nil"/>
              <w:right w:val="nil"/>
            </w:tcBorders>
            <w:shd w:val="clear" w:color="000000" w:fill="F2F2F2"/>
            <w:noWrap/>
            <w:vAlign w:val="bottom"/>
            <w:hideMark/>
          </w:tcPr>
          <w:p w14:paraId="2A7E8CF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3F2F10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A150803"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03E1219A"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1921" w:type="dxa"/>
            <w:tcBorders>
              <w:top w:val="nil"/>
              <w:left w:val="nil"/>
              <w:bottom w:val="nil"/>
              <w:right w:val="nil"/>
            </w:tcBorders>
            <w:shd w:val="clear" w:color="000000" w:fill="F2F2F2"/>
            <w:noWrap/>
            <w:hideMark/>
          </w:tcPr>
          <w:p w14:paraId="6ED2C17F"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w:t>
            </w:r>
          </w:p>
        </w:tc>
        <w:tc>
          <w:tcPr>
            <w:tcW w:w="704" w:type="dxa"/>
            <w:tcBorders>
              <w:top w:val="nil"/>
              <w:left w:val="nil"/>
              <w:bottom w:val="nil"/>
              <w:right w:val="nil"/>
            </w:tcBorders>
            <w:shd w:val="clear" w:color="000000" w:fill="F2F2F2"/>
            <w:noWrap/>
            <w:hideMark/>
          </w:tcPr>
          <w:p w14:paraId="265619F4"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5.8.3</w:t>
            </w:r>
          </w:p>
        </w:tc>
        <w:tc>
          <w:tcPr>
            <w:tcW w:w="8296" w:type="dxa"/>
            <w:tcBorders>
              <w:top w:val="nil"/>
              <w:left w:val="nil"/>
              <w:bottom w:val="nil"/>
              <w:right w:val="nil"/>
            </w:tcBorders>
            <w:shd w:val="clear" w:color="000000" w:fill="F2F2F2"/>
            <w:hideMark/>
          </w:tcPr>
          <w:p w14:paraId="502E600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Can plan, lead on, and conduct research/practice development projects* to promote safe and rational use of medicines. Able to collaborate with other healthcare professionals.</w:t>
            </w:r>
            <w:r w:rsidRPr="00A420D3">
              <w:rPr>
                <w:rFonts w:ascii="Arial" w:eastAsia="Times New Roman" w:hAnsi="Arial" w:cs="Arial"/>
                <w:sz w:val="18"/>
                <w:szCs w:val="18"/>
                <w:lang w:val="en-US" w:eastAsia="de-AT"/>
              </w:rPr>
              <w:br/>
              <w:t>* this includes audit and service evaluation projects.</w:t>
            </w:r>
          </w:p>
        </w:tc>
      </w:tr>
      <w:tr w:rsidR="008463B1" w:rsidRPr="00284B1F" w14:paraId="15712411" w14:textId="77777777" w:rsidTr="006E4B62">
        <w:trPr>
          <w:trHeight w:val="720"/>
        </w:trPr>
        <w:tc>
          <w:tcPr>
            <w:tcW w:w="292" w:type="dxa"/>
            <w:tcBorders>
              <w:top w:val="nil"/>
              <w:left w:val="nil"/>
              <w:bottom w:val="nil"/>
              <w:right w:val="nil"/>
            </w:tcBorders>
            <w:shd w:val="clear" w:color="000000" w:fill="F2F2F2"/>
            <w:noWrap/>
            <w:vAlign w:val="bottom"/>
            <w:hideMark/>
          </w:tcPr>
          <w:p w14:paraId="36B3B95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lastRenderedPageBreak/>
              <w:t> </w:t>
            </w:r>
          </w:p>
        </w:tc>
        <w:tc>
          <w:tcPr>
            <w:tcW w:w="1350" w:type="dxa"/>
            <w:tcBorders>
              <w:top w:val="nil"/>
              <w:left w:val="nil"/>
              <w:bottom w:val="nil"/>
              <w:right w:val="nil"/>
            </w:tcBorders>
            <w:shd w:val="clear" w:color="000000" w:fill="F2F2F2"/>
            <w:noWrap/>
            <w:vAlign w:val="bottom"/>
            <w:hideMark/>
          </w:tcPr>
          <w:p w14:paraId="27DB3BD8"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093882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56DA892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5.9</w:t>
            </w:r>
          </w:p>
        </w:tc>
        <w:tc>
          <w:tcPr>
            <w:tcW w:w="1921" w:type="dxa"/>
            <w:tcBorders>
              <w:top w:val="nil"/>
              <w:left w:val="nil"/>
              <w:bottom w:val="nil"/>
              <w:right w:val="nil"/>
            </w:tcBorders>
            <w:shd w:val="clear" w:color="000000" w:fill="F2F2F2"/>
            <w:hideMark/>
          </w:tcPr>
          <w:p w14:paraId="18CD2A63" w14:textId="77777777" w:rsidR="008463B1" w:rsidRPr="00F00B9D" w:rsidRDefault="008463B1" w:rsidP="006E4B62">
            <w:pPr>
              <w:spacing w:after="0" w:line="240" w:lineRule="auto"/>
              <w:rPr>
                <w:rFonts w:ascii="Arial" w:eastAsia="Times New Roman" w:hAnsi="Arial" w:cs="Arial"/>
                <w:sz w:val="18"/>
                <w:szCs w:val="18"/>
                <w:lang w:val="en-US" w:eastAsia="de-AT"/>
              </w:rPr>
            </w:pPr>
            <w:r w:rsidRPr="00F00B9D">
              <w:rPr>
                <w:rFonts w:ascii="Arial" w:eastAsia="Times New Roman" w:hAnsi="Arial" w:cs="Arial"/>
                <w:sz w:val="18"/>
                <w:szCs w:val="18"/>
                <w:lang w:val="en-US" w:eastAsia="de-AT"/>
              </w:rPr>
              <w:t>Pharmacist prescribing (within the legal authori</w:t>
            </w:r>
            <w:r>
              <w:rPr>
                <w:rFonts w:ascii="Arial" w:eastAsia="Times New Roman" w:hAnsi="Arial" w:cs="Arial"/>
                <w:sz w:val="18"/>
                <w:szCs w:val="18"/>
                <w:lang w:val="en-US" w:eastAsia="de-AT"/>
              </w:rPr>
              <w:t>s</w:t>
            </w:r>
            <w:r w:rsidRPr="00F00B9D">
              <w:rPr>
                <w:rFonts w:ascii="Arial" w:eastAsia="Times New Roman" w:hAnsi="Arial" w:cs="Arial"/>
                <w:sz w:val="18"/>
                <w:szCs w:val="18"/>
                <w:lang w:val="en-US" w:eastAsia="de-AT"/>
              </w:rPr>
              <w:t>ations in Austr</w:t>
            </w:r>
            <w:r>
              <w:rPr>
                <w:rFonts w:ascii="Arial" w:eastAsia="Times New Roman" w:hAnsi="Arial" w:cs="Arial"/>
                <w:sz w:val="18"/>
                <w:szCs w:val="18"/>
                <w:lang w:val="en-US" w:eastAsia="de-AT"/>
              </w:rPr>
              <w:t>ia</w:t>
            </w:r>
            <w:r w:rsidRPr="00F00B9D">
              <w:rPr>
                <w:rFonts w:ascii="Arial" w:eastAsia="Times New Roman" w:hAnsi="Arial" w:cs="Arial"/>
                <w:sz w:val="18"/>
                <w:szCs w:val="18"/>
                <w:lang w:val="en-US" w:eastAsia="de-AT"/>
              </w:rPr>
              <w:t>)</w:t>
            </w:r>
          </w:p>
        </w:tc>
        <w:tc>
          <w:tcPr>
            <w:tcW w:w="704" w:type="dxa"/>
            <w:tcBorders>
              <w:top w:val="nil"/>
              <w:left w:val="nil"/>
              <w:bottom w:val="nil"/>
              <w:right w:val="nil"/>
            </w:tcBorders>
            <w:shd w:val="clear" w:color="000000" w:fill="F2F2F2"/>
            <w:noWrap/>
            <w:hideMark/>
          </w:tcPr>
          <w:p w14:paraId="11DFE3C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5.9.1</w:t>
            </w:r>
          </w:p>
        </w:tc>
        <w:tc>
          <w:tcPr>
            <w:tcW w:w="8296" w:type="dxa"/>
            <w:tcBorders>
              <w:top w:val="nil"/>
              <w:left w:val="nil"/>
              <w:bottom w:val="nil"/>
              <w:right w:val="nil"/>
            </w:tcBorders>
            <w:shd w:val="clear" w:color="000000" w:fill="F2F2F2"/>
            <w:hideMark/>
          </w:tcPr>
          <w:p w14:paraId="5532B5B1"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Pharmacist prescribers are integrated into relevant care pathways and prescribing regularly.</w:t>
            </w:r>
          </w:p>
        </w:tc>
      </w:tr>
      <w:tr w:rsidR="008463B1" w:rsidRPr="00284B1F" w14:paraId="7C75B56B" w14:textId="77777777" w:rsidTr="006E4B62">
        <w:trPr>
          <w:trHeight w:val="163"/>
        </w:trPr>
        <w:tc>
          <w:tcPr>
            <w:tcW w:w="292" w:type="dxa"/>
            <w:tcBorders>
              <w:top w:val="nil"/>
              <w:left w:val="nil"/>
              <w:bottom w:val="nil"/>
              <w:right w:val="nil"/>
            </w:tcBorders>
            <w:shd w:val="clear" w:color="000000" w:fill="F2F2F2"/>
            <w:noWrap/>
            <w:hideMark/>
          </w:tcPr>
          <w:p w14:paraId="30814EB5"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w:t>
            </w:r>
          </w:p>
        </w:tc>
        <w:tc>
          <w:tcPr>
            <w:tcW w:w="1350" w:type="dxa"/>
            <w:tcBorders>
              <w:top w:val="nil"/>
              <w:left w:val="nil"/>
              <w:bottom w:val="nil"/>
              <w:right w:val="nil"/>
            </w:tcBorders>
            <w:shd w:val="clear" w:color="000000" w:fill="F2F2F2"/>
            <w:noWrap/>
            <w:hideMark/>
          </w:tcPr>
          <w:p w14:paraId="6BB547D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Other</w:t>
            </w:r>
          </w:p>
        </w:tc>
        <w:tc>
          <w:tcPr>
            <w:tcW w:w="1328" w:type="dxa"/>
            <w:tcBorders>
              <w:top w:val="nil"/>
              <w:left w:val="nil"/>
              <w:bottom w:val="nil"/>
              <w:right w:val="nil"/>
            </w:tcBorders>
            <w:shd w:val="clear" w:color="000000" w:fill="F2F2F2"/>
            <w:noWrap/>
            <w:hideMark/>
          </w:tcPr>
          <w:p w14:paraId="24933937" w14:textId="77777777" w:rsidR="008463B1" w:rsidRPr="00A420D3" w:rsidRDefault="008463B1" w:rsidP="006E4B62">
            <w:pPr>
              <w:spacing w:after="0" w:line="240" w:lineRule="auto"/>
              <w:rPr>
                <w:rFonts w:ascii="Arial" w:eastAsia="Times New Roman" w:hAnsi="Arial" w:cs="Arial"/>
                <w:b/>
                <w:bCs/>
                <w:color w:val="FF0000"/>
                <w:sz w:val="18"/>
                <w:szCs w:val="18"/>
                <w:lang w:eastAsia="de-AT"/>
              </w:rPr>
            </w:pPr>
            <w:r w:rsidRPr="00A420D3">
              <w:rPr>
                <w:rFonts w:ascii="Arial" w:eastAsia="Times New Roman" w:hAnsi="Arial" w:cs="Arial"/>
                <w:b/>
                <w:bCs/>
                <w:color w:val="FF0000"/>
                <w:sz w:val="18"/>
                <w:szCs w:val="18"/>
                <w:lang w:eastAsia="de-AT"/>
              </w:rPr>
              <w:t> </w:t>
            </w:r>
          </w:p>
        </w:tc>
        <w:tc>
          <w:tcPr>
            <w:tcW w:w="396" w:type="dxa"/>
            <w:tcBorders>
              <w:top w:val="nil"/>
              <w:left w:val="nil"/>
              <w:bottom w:val="nil"/>
              <w:right w:val="nil"/>
            </w:tcBorders>
            <w:shd w:val="clear" w:color="000000" w:fill="F2F2F2"/>
            <w:noWrap/>
            <w:hideMark/>
          </w:tcPr>
          <w:p w14:paraId="3F06A88E"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6.1</w:t>
            </w:r>
          </w:p>
        </w:tc>
        <w:tc>
          <w:tcPr>
            <w:tcW w:w="1921" w:type="dxa"/>
            <w:tcBorders>
              <w:top w:val="nil"/>
              <w:left w:val="nil"/>
              <w:bottom w:val="nil"/>
              <w:right w:val="nil"/>
            </w:tcBorders>
            <w:shd w:val="clear" w:color="000000" w:fill="F2F2F2"/>
            <w:noWrap/>
            <w:hideMark/>
          </w:tcPr>
          <w:p w14:paraId="7D7D248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First Aid</w:t>
            </w:r>
          </w:p>
        </w:tc>
        <w:tc>
          <w:tcPr>
            <w:tcW w:w="704" w:type="dxa"/>
            <w:tcBorders>
              <w:top w:val="nil"/>
              <w:left w:val="nil"/>
              <w:bottom w:val="nil"/>
              <w:right w:val="nil"/>
            </w:tcBorders>
            <w:shd w:val="clear" w:color="000000" w:fill="F2F2F2"/>
            <w:noWrap/>
            <w:hideMark/>
          </w:tcPr>
          <w:p w14:paraId="44F034A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6.1.1</w:t>
            </w:r>
          </w:p>
        </w:tc>
        <w:tc>
          <w:tcPr>
            <w:tcW w:w="8296" w:type="dxa"/>
            <w:tcBorders>
              <w:top w:val="nil"/>
              <w:left w:val="nil"/>
              <w:bottom w:val="nil"/>
              <w:right w:val="nil"/>
            </w:tcBorders>
            <w:shd w:val="clear" w:color="000000" w:fill="F2F2F2"/>
            <w:noWrap/>
            <w:hideMark/>
          </w:tcPr>
          <w:p w14:paraId="4E21A9A3"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Applies first aid when required and acts to arrange follow-up care.</w:t>
            </w:r>
          </w:p>
        </w:tc>
      </w:tr>
      <w:tr w:rsidR="008463B1" w:rsidRPr="00284B1F" w14:paraId="6DC86CD9" w14:textId="77777777" w:rsidTr="006E4B62">
        <w:trPr>
          <w:trHeight w:val="295"/>
        </w:trPr>
        <w:tc>
          <w:tcPr>
            <w:tcW w:w="292" w:type="dxa"/>
            <w:tcBorders>
              <w:top w:val="nil"/>
              <w:left w:val="nil"/>
              <w:bottom w:val="nil"/>
              <w:right w:val="nil"/>
            </w:tcBorders>
            <w:shd w:val="clear" w:color="000000" w:fill="F2F2F2"/>
            <w:noWrap/>
            <w:vAlign w:val="bottom"/>
            <w:hideMark/>
          </w:tcPr>
          <w:p w14:paraId="4ABDB69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6B12AE46"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46B49117"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noWrap/>
            <w:hideMark/>
          </w:tcPr>
          <w:p w14:paraId="182EFB4C"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6.2</w:t>
            </w:r>
          </w:p>
        </w:tc>
        <w:tc>
          <w:tcPr>
            <w:tcW w:w="1921" w:type="dxa"/>
            <w:tcBorders>
              <w:top w:val="nil"/>
              <w:left w:val="nil"/>
              <w:bottom w:val="nil"/>
              <w:right w:val="nil"/>
            </w:tcBorders>
            <w:shd w:val="clear" w:color="000000" w:fill="F2F2F2"/>
            <w:hideMark/>
          </w:tcPr>
          <w:p w14:paraId="5D6B4137"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Logistics (in specialised settings)</w:t>
            </w:r>
          </w:p>
        </w:tc>
        <w:tc>
          <w:tcPr>
            <w:tcW w:w="704" w:type="dxa"/>
            <w:tcBorders>
              <w:top w:val="nil"/>
              <w:left w:val="nil"/>
              <w:bottom w:val="nil"/>
              <w:right w:val="nil"/>
            </w:tcBorders>
            <w:shd w:val="clear" w:color="000000" w:fill="F2F2F2"/>
            <w:noWrap/>
            <w:hideMark/>
          </w:tcPr>
          <w:p w14:paraId="76B1B411"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6.2.1</w:t>
            </w:r>
          </w:p>
        </w:tc>
        <w:tc>
          <w:tcPr>
            <w:tcW w:w="8296" w:type="dxa"/>
            <w:tcBorders>
              <w:top w:val="nil"/>
              <w:left w:val="nil"/>
              <w:bottom w:val="nil"/>
              <w:right w:val="nil"/>
            </w:tcBorders>
            <w:shd w:val="clear" w:color="000000" w:fill="F2F2F2"/>
            <w:hideMark/>
          </w:tcPr>
          <w:p w14:paraId="1A55EF42"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 xml:space="preserve">Ensure </w:t>
            </w:r>
            <w:r>
              <w:rPr>
                <w:rFonts w:ascii="Arial" w:eastAsia="Times New Roman" w:hAnsi="Arial" w:cs="Arial"/>
                <w:sz w:val="18"/>
                <w:szCs w:val="18"/>
                <w:lang w:val="en-US" w:eastAsia="de-AT"/>
              </w:rPr>
              <w:t>patients’</w:t>
            </w:r>
            <w:r w:rsidRPr="00A420D3">
              <w:rPr>
                <w:rFonts w:ascii="Arial" w:eastAsia="Times New Roman" w:hAnsi="Arial" w:cs="Arial"/>
                <w:sz w:val="18"/>
                <w:szCs w:val="18"/>
                <w:lang w:val="en-US" w:eastAsia="de-AT"/>
              </w:rPr>
              <w:t xml:space="preserve"> medicines are available from the time that their next dose is needed minimising missed doses of medicines.</w:t>
            </w:r>
          </w:p>
        </w:tc>
      </w:tr>
      <w:tr w:rsidR="008463B1" w:rsidRPr="00284B1F" w14:paraId="0CD053BD" w14:textId="77777777" w:rsidTr="006E4B62">
        <w:trPr>
          <w:trHeight w:val="400"/>
        </w:trPr>
        <w:tc>
          <w:tcPr>
            <w:tcW w:w="292" w:type="dxa"/>
            <w:tcBorders>
              <w:top w:val="nil"/>
              <w:left w:val="nil"/>
              <w:bottom w:val="nil"/>
              <w:right w:val="nil"/>
            </w:tcBorders>
            <w:shd w:val="clear" w:color="000000" w:fill="F2F2F2"/>
            <w:noWrap/>
            <w:vAlign w:val="bottom"/>
            <w:hideMark/>
          </w:tcPr>
          <w:p w14:paraId="3D04B1AD"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7821029A"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256DB619"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7CEFA323"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6.3</w:t>
            </w:r>
          </w:p>
        </w:tc>
        <w:tc>
          <w:tcPr>
            <w:tcW w:w="1921" w:type="dxa"/>
            <w:tcBorders>
              <w:top w:val="nil"/>
              <w:left w:val="nil"/>
              <w:bottom w:val="nil"/>
              <w:right w:val="nil"/>
            </w:tcBorders>
            <w:shd w:val="clear" w:color="000000" w:fill="F2F2F2"/>
            <w:hideMark/>
          </w:tcPr>
          <w:p w14:paraId="10526F8D"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Ethics</w:t>
            </w:r>
          </w:p>
        </w:tc>
        <w:tc>
          <w:tcPr>
            <w:tcW w:w="704" w:type="dxa"/>
            <w:tcBorders>
              <w:top w:val="nil"/>
              <w:left w:val="nil"/>
              <w:bottom w:val="nil"/>
              <w:right w:val="nil"/>
            </w:tcBorders>
            <w:shd w:val="clear" w:color="000000" w:fill="F2F2F2"/>
            <w:noWrap/>
            <w:hideMark/>
          </w:tcPr>
          <w:p w14:paraId="458E352F"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6.3.1</w:t>
            </w:r>
          </w:p>
        </w:tc>
        <w:tc>
          <w:tcPr>
            <w:tcW w:w="8296" w:type="dxa"/>
            <w:tcBorders>
              <w:top w:val="nil"/>
              <w:left w:val="nil"/>
              <w:bottom w:val="nil"/>
              <w:right w:val="nil"/>
            </w:tcBorders>
            <w:shd w:val="clear" w:color="000000" w:fill="F2F2F2"/>
            <w:hideMark/>
          </w:tcPr>
          <w:p w14:paraId="7B9B386B"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Respects the rights of patients in therapeutic decisions and assists in providing information to facilitate their decision (e.g. informing patients on risks associated with medicines).</w:t>
            </w:r>
          </w:p>
        </w:tc>
      </w:tr>
      <w:tr w:rsidR="008463B1" w:rsidRPr="00284B1F" w14:paraId="3CAB5EB1" w14:textId="77777777" w:rsidTr="006E4B62">
        <w:trPr>
          <w:trHeight w:val="545"/>
        </w:trPr>
        <w:tc>
          <w:tcPr>
            <w:tcW w:w="292" w:type="dxa"/>
            <w:tcBorders>
              <w:top w:val="nil"/>
              <w:left w:val="nil"/>
              <w:bottom w:val="nil"/>
              <w:right w:val="nil"/>
            </w:tcBorders>
            <w:shd w:val="clear" w:color="000000" w:fill="F2F2F2"/>
            <w:noWrap/>
            <w:vAlign w:val="bottom"/>
            <w:hideMark/>
          </w:tcPr>
          <w:p w14:paraId="2F293EAC"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50" w:type="dxa"/>
            <w:tcBorders>
              <w:top w:val="nil"/>
              <w:left w:val="nil"/>
              <w:bottom w:val="nil"/>
              <w:right w:val="nil"/>
            </w:tcBorders>
            <w:shd w:val="clear" w:color="000000" w:fill="F2F2F2"/>
            <w:noWrap/>
            <w:vAlign w:val="bottom"/>
            <w:hideMark/>
          </w:tcPr>
          <w:p w14:paraId="5C560B1F"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1328" w:type="dxa"/>
            <w:tcBorders>
              <w:top w:val="nil"/>
              <w:left w:val="nil"/>
              <w:bottom w:val="nil"/>
              <w:right w:val="nil"/>
            </w:tcBorders>
            <w:shd w:val="clear" w:color="000000" w:fill="F2F2F2"/>
            <w:noWrap/>
            <w:vAlign w:val="bottom"/>
            <w:hideMark/>
          </w:tcPr>
          <w:p w14:paraId="6BF59EC4" w14:textId="77777777" w:rsidR="008463B1" w:rsidRPr="00A420D3" w:rsidRDefault="008463B1" w:rsidP="006E4B62">
            <w:pPr>
              <w:spacing w:after="0" w:line="240" w:lineRule="auto"/>
              <w:rPr>
                <w:rFonts w:ascii="Calibri" w:eastAsia="Times New Roman" w:hAnsi="Calibri" w:cs="Calibri"/>
                <w:color w:val="000000"/>
                <w:lang w:val="en-US" w:eastAsia="de-AT"/>
              </w:rPr>
            </w:pPr>
            <w:r w:rsidRPr="00A420D3">
              <w:rPr>
                <w:rFonts w:ascii="Calibri" w:eastAsia="Times New Roman" w:hAnsi="Calibri" w:cs="Calibri"/>
                <w:color w:val="000000"/>
                <w:lang w:val="en-US" w:eastAsia="de-AT"/>
              </w:rPr>
              <w:t> </w:t>
            </w:r>
          </w:p>
        </w:tc>
        <w:tc>
          <w:tcPr>
            <w:tcW w:w="396" w:type="dxa"/>
            <w:tcBorders>
              <w:top w:val="nil"/>
              <w:left w:val="nil"/>
              <w:bottom w:val="nil"/>
              <w:right w:val="nil"/>
            </w:tcBorders>
            <w:shd w:val="clear" w:color="000000" w:fill="F2F2F2"/>
            <w:hideMark/>
          </w:tcPr>
          <w:p w14:paraId="48D8C4BB"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6.4</w:t>
            </w:r>
          </w:p>
        </w:tc>
        <w:tc>
          <w:tcPr>
            <w:tcW w:w="1921" w:type="dxa"/>
            <w:tcBorders>
              <w:top w:val="nil"/>
              <w:left w:val="nil"/>
              <w:bottom w:val="nil"/>
              <w:right w:val="nil"/>
            </w:tcBorders>
            <w:shd w:val="clear" w:color="000000" w:fill="F2F2F2"/>
            <w:hideMark/>
          </w:tcPr>
          <w:p w14:paraId="3F0019C4"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Record of contribution</w:t>
            </w:r>
            <w:r>
              <w:rPr>
                <w:rFonts w:ascii="Arial" w:eastAsia="Times New Roman" w:hAnsi="Arial" w:cs="Arial"/>
                <w:sz w:val="18"/>
                <w:szCs w:val="18"/>
                <w:lang w:val="en-US" w:eastAsia="de-AT"/>
              </w:rPr>
              <w:t>s</w:t>
            </w:r>
            <w:r w:rsidRPr="00A420D3">
              <w:rPr>
                <w:rFonts w:ascii="Arial" w:eastAsia="Times New Roman" w:hAnsi="Arial" w:cs="Arial"/>
                <w:sz w:val="18"/>
                <w:szCs w:val="18"/>
                <w:lang w:val="en-US" w:eastAsia="de-AT"/>
              </w:rPr>
              <w:t xml:space="preserve"> (if applicable)</w:t>
            </w:r>
          </w:p>
        </w:tc>
        <w:tc>
          <w:tcPr>
            <w:tcW w:w="704" w:type="dxa"/>
            <w:tcBorders>
              <w:top w:val="nil"/>
              <w:left w:val="nil"/>
              <w:bottom w:val="nil"/>
              <w:right w:val="nil"/>
            </w:tcBorders>
            <w:shd w:val="clear" w:color="000000" w:fill="F2F2F2"/>
            <w:noWrap/>
            <w:hideMark/>
          </w:tcPr>
          <w:p w14:paraId="01E95A42" w14:textId="77777777" w:rsidR="008463B1" w:rsidRPr="00A420D3" w:rsidRDefault="008463B1" w:rsidP="006E4B62">
            <w:pPr>
              <w:spacing w:after="0" w:line="240" w:lineRule="auto"/>
              <w:rPr>
                <w:rFonts w:ascii="Arial" w:eastAsia="Times New Roman" w:hAnsi="Arial" w:cs="Arial"/>
                <w:sz w:val="18"/>
                <w:szCs w:val="18"/>
                <w:lang w:eastAsia="de-AT"/>
              </w:rPr>
            </w:pPr>
            <w:r w:rsidRPr="00A420D3">
              <w:rPr>
                <w:rFonts w:ascii="Arial" w:eastAsia="Times New Roman" w:hAnsi="Arial" w:cs="Arial"/>
                <w:sz w:val="18"/>
                <w:szCs w:val="18"/>
                <w:lang w:eastAsia="de-AT"/>
              </w:rPr>
              <w:t>6.4.1</w:t>
            </w:r>
          </w:p>
        </w:tc>
        <w:tc>
          <w:tcPr>
            <w:tcW w:w="8296" w:type="dxa"/>
            <w:tcBorders>
              <w:top w:val="nil"/>
              <w:left w:val="nil"/>
              <w:bottom w:val="nil"/>
              <w:right w:val="nil"/>
            </w:tcBorders>
            <w:shd w:val="clear" w:color="000000" w:fill="F2F2F2"/>
            <w:noWrap/>
            <w:hideMark/>
          </w:tcPr>
          <w:p w14:paraId="70385896" w14:textId="77777777" w:rsidR="008463B1" w:rsidRPr="00A420D3" w:rsidRDefault="008463B1" w:rsidP="006E4B62">
            <w:pPr>
              <w:spacing w:after="0" w:line="240" w:lineRule="auto"/>
              <w:rPr>
                <w:rFonts w:ascii="Arial" w:eastAsia="Times New Roman" w:hAnsi="Arial" w:cs="Arial"/>
                <w:sz w:val="18"/>
                <w:szCs w:val="18"/>
                <w:lang w:val="en-US" w:eastAsia="de-AT"/>
              </w:rPr>
            </w:pPr>
            <w:r w:rsidRPr="00A420D3">
              <w:rPr>
                <w:rFonts w:ascii="Arial" w:eastAsia="Times New Roman" w:hAnsi="Arial" w:cs="Arial"/>
                <w:sz w:val="18"/>
                <w:szCs w:val="18"/>
                <w:lang w:val="en-US" w:eastAsia="de-AT"/>
              </w:rPr>
              <w:t>Documents information to support contributions to patient care, for example maintains pharmaceutical care plans.</w:t>
            </w:r>
          </w:p>
        </w:tc>
      </w:tr>
    </w:tbl>
    <w:p w14:paraId="455CE831" w14:textId="36ED99CC" w:rsidR="00073891" w:rsidRDefault="00073891" w:rsidP="008B6F6B">
      <w:pPr>
        <w:rPr>
          <w:rFonts w:ascii="Times New Roman" w:hAnsi="Times New Roman" w:cs="Times New Roman"/>
          <w:sz w:val="24"/>
          <w:szCs w:val="24"/>
          <w:lang w:val="en-US"/>
        </w:rPr>
      </w:pPr>
    </w:p>
    <w:p w14:paraId="628B3992" w14:textId="77777777" w:rsidR="008463B1" w:rsidRDefault="008463B1" w:rsidP="008B6F6B">
      <w:pPr>
        <w:rPr>
          <w:rFonts w:ascii="Times New Roman" w:hAnsi="Times New Roman" w:cs="Times New Roman"/>
          <w:sz w:val="24"/>
          <w:szCs w:val="24"/>
          <w:lang w:val="en-US"/>
        </w:rPr>
        <w:sectPr w:rsidR="008463B1" w:rsidSect="00640308">
          <w:footerReference w:type="default" r:id="rId8"/>
          <w:pgSz w:w="16838" w:h="11906" w:orient="landscape"/>
          <w:pgMar w:top="1417" w:right="1418" w:bottom="1418" w:left="1134" w:header="709" w:footer="709" w:gutter="0"/>
          <w:lnNumType w:countBy="1" w:restart="continuous"/>
          <w:cols w:space="708"/>
          <w:docGrid w:linePitch="360"/>
        </w:sectPr>
      </w:pPr>
    </w:p>
    <w:p w14:paraId="67DD6572" w14:textId="46C5C15A" w:rsidR="00345A33" w:rsidRPr="00345A33" w:rsidRDefault="00345A33" w:rsidP="00D64D2C">
      <w:pPr>
        <w:rPr>
          <w:rFonts w:ascii="Times New Roman" w:hAnsi="Times New Roman" w:cs="Times New Roman"/>
          <w:sz w:val="24"/>
          <w:szCs w:val="24"/>
          <w:lang w:val="en-US"/>
        </w:rPr>
      </w:pPr>
    </w:p>
    <w:sectPr w:rsidR="00345A33" w:rsidRPr="00345A33" w:rsidSect="00640308">
      <w:pgSz w:w="11906" w:h="16838"/>
      <w:pgMar w:top="1418" w:right="1418" w:bottom="1134" w:left="1417"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117A0" w14:textId="77777777" w:rsidR="00640308" w:rsidRDefault="00640308" w:rsidP="00E01568">
      <w:pPr>
        <w:spacing w:after="0" w:line="240" w:lineRule="auto"/>
      </w:pPr>
      <w:r>
        <w:separator/>
      </w:r>
    </w:p>
  </w:endnote>
  <w:endnote w:type="continuationSeparator" w:id="0">
    <w:p w14:paraId="7CA6AE85" w14:textId="77777777" w:rsidR="00640308" w:rsidRDefault="00640308" w:rsidP="00E01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148695"/>
      <w:docPartObj>
        <w:docPartGallery w:val="Page Numbers (Bottom of Page)"/>
        <w:docPartUnique/>
      </w:docPartObj>
    </w:sdtPr>
    <w:sdtContent>
      <w:p w14:paraId="47B0BFAD" w14:textId="02C8C6D6" w:rsidR="00E01568" w:rsidRDefault="00E01568">
        <w:pPr>
          <w:pStyle w:val="Footer"/>
          <w:jc w:val="center"/>
        </w:pPr>
        <w:r>
          <w:fldChar w:fldCharType="begin"/>
        </w:r>
        <w:r>
          <w:instrText>PAGE   \* MERGEFORMAT</w:instrText>
        </w:r>
        <w:r>
          <w:fldChar w:fldCharType="separate"/>
        </w:r>
        <w:r>
          <w:rPr>
            <w:lang w:val="de-DE"/>
          </w:rPr>
          <w:t>2</w:t>
        </w:r>
        <w:r>
          <w:fldChar w:fldCharType="end"/>
        </w:r>
      </w:p>
    </w:sdtContent>
  </w:sdt>
  <w:p w14:paraId="76BFC1EF" w14:textId="77777777" w:rsidR="00E01568" w:rsidRDefault="00E015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759CF" w14:textId="77777777" w:rsidR="00640308" w:rsidRDefault="00640308" w:rsidP="00E01568">
      <w:pPr>
        <w:spacing w:after="0" w:line="240" w:lineRule="auto"/>
      </w:pPr>
      <w:r>
        <w:separator/>
      </w:r>
    </w:p>
  </w:footnote>
  <w:footnote w:type="continuationSeparator" w:id="0">
    <w:p w14:paraId="38A970A2" w14:textId="77777777" w:rsidR="00640308" w:rsidRDefault="00640308" w:rsidP="00E015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537EF"/>
    <w:multiLevelType w:val="hybridMultilevel"/>
    <w:tmpl w:val="104C90B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0F540B0"/>
    <w:multiLevelType w:val="hybridMultilevel"/>
    <w:tmpl w:val="C44668A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1F9A0243"/>
    <w:multiLevelType w:val="hybridMultilevel"/>
    <w:tmpl w:val="7E586338"/>
    <w:lvl w:ilvl="0" w:tplc="D1704FBE">
      <w:start w:val="1"/>
      <w:numFmt w:val="upperRoman"/>
      <w:lvlText w:val="(%1)"/>
      <w:lvlJc w:val="left"/>
      <w:pPr>
        <w:ind w:left="1080" w:hanging="72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26122E8E"/>
    <w:multiLevelType w:val="hybridMultilevel"/>
    <w:tmpl w:val="3452B266"/>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275C2EAD"/>
    <w:multiLevelType w:val="hybridMultilevel"/>
    <w:tmpl w:val="D60A004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16357F7"/>
    <w:multiLevelType w:val="hybridMultilevel"/>
    <w:tmpl w:val="29F2B0A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7DA6ABE"/>
    <w:multiLevelType w:val="hybridMultilevel"/>
    <w:tmpl w:val="D5466FC2"/>
    <w:lvl w:ilvl="0" w:tplc="93E09DCA">
      <w:start w:val="2"/>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481B79FF"/>
    <w:multiLevelType w:val="hybridMultilevel"/>
    <w:tmpl w:val="1FAA28AA"/>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8" w15:restartNumberingAfterBreak="0">
    <w:nsid w:val="48BD2BB1"/>
    <w:multiLevelType w:val="hybridMultilevel"/>
    <w:tmpl w:val="3E90A2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507012F8"/>
    <w:multiLevelType w:val="hybridMultilevel"/>
    <w:tmpl w:val="C62ABF12"/>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10" w15:restartNumberingAfterBreak="0">
    <w:nsid w:val="544110B3"/>
    <w:multiLevelType w:val="hybridMultilevel"/>
    <w:tmpl w:val="96A4938C"/>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5DC23388"/>
    <w:multiLevelType w:val="hybridMultilevel"/>
    <w:tmpl w:val="C070417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5E34330D"/>
    <w:multiLevelType w:val="hybridMultilevel"/>
    <w:tmpl w:val="9F54C43A"/>
    <w:lvl w:ilvl="0" w:tplc="6012F5C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E97BB2"/>
    <w:multiLevelType w:val="hybridMultilevel"/>
    <w:tmpl w:val="EDF8EA5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74BA4BFC"/>
    <w:multiLevelType w:val="hybridMultilevel"/>
    <w:tmpl w:val="7F241316"/>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320040895">
    <w:abstractNumId w:val="11"/>
  </w:num>
  <w:num w:numId="2" w16cid:durableId="1371763524">
    <w:abstractNumId w:val="10"/>
  </w:num>
  <w:num w:numId="3" w16cid:durableId="1776245762">
    <w:abstractNumId w:val="14"/>
  </w:num>
  <w:num w:numId="4" w16cid:durableId="960501400">
    <w:abstractNumId w:val="9"/>
  </w:num>
  <w:num w:numId="5" w16cid:durableId="201210640">
    <w:abstractNumId w:val="5"/>
  </w:num>
  <w:num w:numId="6" w16cid:durableId="327636585">
    <w:abstractNumId w:val="12"/>
  </w:num>
  <w:num w:numId="7" w16cid:durableId="812136833">
    <w:abstractNumId w:val="7"/>
  </w:num>
  <w:num w:numId="8" w16cid:durableId="740251396">
    <w:abstractNumId w:val="6"/>
  </w:num>
  <w:num w:numId="9" w16cid:durableId="1850369505">
    <w:abstractNumId w:val="2"/>
  </w:num>
  <w:num w:numId="10" w16cid:durableId="1671979712">
    <w:abstractNumId w:val="13"/>
  </w:num>
  <w:num w:numId="11" w16cid:durableId="455221174">
    <w:abstractNumId w:val="8"/>
  </w:num>
  <w:num w:numId="12" w16cid:durableId="1667199769">
    <w:abstractNumId w:val="0"/>
  </w:num>
  <w:num w:numId="13" w16cid:durableId="1974217741">
    <w:abstractNumId w:val="4"/>
  </w:num>
  <w:num w:numId="14" w16cid:durableId="958293211">
    <w:abstractNumId w:val="3"/>
  </w:num>
  <w:num w:numId="15" w16cid:durableId="1097905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1D2"/>
    <w:rsid w:val="00000351"/>
    <w:rsid w:val="00000440"/>
    <w:rsid w:val="00003781"/>
    <w:rsid w:val="00005AF2"/>
    <w:rsid w:val="0001558C"/>
    <w:rsid w:val="00032F75"/>
    <w:rsid w:val="00037F97"/>
    <w:rsid w:val="000507FC"/>
    <w:rsid w:val="00053781"/>
    <w:rsid w:val="000641D5"/>
    <w:rsid w:val="00073891"/>
    <w:rsid w:val="0008266C"/>
    <w:rsid w:val="0008616C"/>
    <w:rsid w:val="0009173C"/>
    <w:rsid w:val="00091C14"/>
    <w:rsid w:val="00095E13"/>
    <w:rsid w:val="000A27F6"/>
    <w:rsid w:val="000A3E74"/>
    <w:rsid w:val="000A64DD"/>
    <w:rsid w:val="000B6C67"/>
    <w:rsid w:val="000B7EDD"/>
    <w:rsid w:val="000D1149"/>
    <w:rsid w:val="000D3A72"/>
    <w:rsid w:val="000E0C76"/>
    <w:rsid w:val="000E402D"/>
    <w:rsid w:val="000E4AA4"/>
    <w:rsid w:val="000F0BE2"/>
    <w:rsid w:val="000F207A"/>
    <w:rsid w:val="0010532E"/>
    <w:rsid w:val="00117382"/>
    <w:rsid w:val="001231A2"/>
    <w:rsid w:val="0012321C"/>
    <w:rsid w:val="00140555"/>
    <w:rsid w:val="0015018C"/>
    <w:rsid w:val="00153944"/>
    <w:rsid w:val="00154027"/>
    <w:rsid w:val="001567AB"/>
    <w:rsid w:val="001671D7"/>
    <w:rsid w:val="0017179D"/>
    <w:rsid w:val="00174F3D"/>
    <w:rsid w:val="00187D75"/>
    <w:rsid w:val="0019183D"/>
    <w:rsid w:val="0019328E"/>
    <w:rsid w:val="0019644A"/>
    <w:rsid w:val="001A665F"/>
    <w:rsid w:val="001B1381"/>
    <w:rsid w:val="001B3334"/>
    <w:rsid w:val="001C1D5C"/>
    <w:rsid w:val="001C4DFD"/>
    <w:rsid w:val="001C5A6F"/>
    <w:rsid w:val="001D210B"/>
    <w:rsid w:val="001D2F5D"/>
    <w:rsid w:val="001D5930"/>
    <w:rsid w:val="001D5F1B"/>
    <w:rsid w:val="001D643D"/>
    <w:rsid w:val="001E3058"/>
    <w:rsid w:val="001E30E5"/>
    <w:rsid w:val="001E6664"/>
    <w:rsid w:val="001F6221"/>
    <w:rsid w:val="001F7188"/>
    <w:rsid w:val="00224902"/>
    <w:rsid w:val="00231733"/>
    <w:rsid w:val="0023206E"/>
    <w:rsid w:val="0024372B"/>
    <w:rsid w:val="00250FAE"/>
    <w:rsid w:val="0025305B"/>
    <w:rsid w:val="00256811"/>
    <w:rsid w:val="0026023E"/>
    <w:rsid w:val="002613C5"/>
    <w:rsid w:val="00263A71"/>
    <w:rsid w:val="00270E88"/>
    <w:rsid w:val="00280BEC"/>
    <w:rsid w:val="00284B1F"/>
    <w:rsid w:val="002854FF"/>
    <w:rsid w:val="002936B8"/>
    <w:rsid w:val="002A25FA"/>
    <w:rsid w:val="002A60DF"/>
    <w:rsid w:val="002A7FBE"/>
    <w:rsid w:val="002B4407"/>
    <w:rsid w:val="002C3329"/>
    <w:rsid w:val="002C4AAF"/>
    <w:rsid w:val="002D3DEA"/>
    <w:rsid w:val="002D5CB8"/>
    <w:rsid w:val="002F20ED"/>
    <w:rsid w:val="002F2BE2"/>
    <w:rsid w:val="00300CE9"/>
    <w:rsid w:val="00301280"/>
    <w:rsid w:val="0030343F"/>
    <w:rsid w:val="00312E99"/>
    <w:rsid w:val="0031315D"/>
    <w:rsid w:val="003239DA"/>
    <w:rsid w:val="003261D2"/>
    <w:rsid w:val="00337AA5"/>
    <w:rsid w:val="00340437"/>
    <w:rsid w:val="003428A3"/>
    <w:rsid w:val="00345009"/>
    <w:rsid w:val="003456F0"/>
    <w:rsid w:val="00345A33"/>
    <w:rsid w:val="003505BA"/>
    <w:rsid w:val="00350B6B"/>
    <w:rsid w:val="00355FC2"/>
    <w:rsid w:val="0035696A"/>
    <w:rsid w:val="00370A10"/>
    <w:rsid w:val="00373CEE"/>
    <w:rsid w:val="00374E00"/>
    <w:rsid w:val="0037775D"/>
    <w:rsid w:val="00386F6D"/>
    <w:rsid w:val="00391027"/>
    <w:rsid w:val="00391D5B"/>
    <w:rsid w:val="00393F67"/>
    <w:rsid w:val="003A0ED7"/>
    <w:rsid w:val="003A1416"/>
    <w:rsid w:val="003C1774"/>
    <w:rsid w:val="003C276D"/>
    <w:rsid w:val="003C368D"/>
    <w:rsid w:val="003D37AF"/>
    <w:rsid w:val="003D4D51"/>
    <w:rsid w:val="003E0986"/>
    <w:rsid w:val="003E3A9E"/>
    <w:rsid w:val="003E4242"/>
    <w:rsid w:val="003E5202"/>
    <w:rsid w:val="003F3CCF"/>
    <w:rsid w:val="003F3E43"/>
    <w:rsid w:val="00403B2B"/>
    <w:rsid w:val="004126D2"/>
    <w:rsid w:val="00414B1B"/>
    <w:rsid w:val="00414BD8"/>
    <w:rsid w:val="00420BD4"/>
    <w:rsid w:val="00420C56"/>
    <w:rsid w:val="004211D5"/>
    <w:rsid w:val="0042498D"/>
    <w:rsid w:val="004358FA"/>
    <w:rsid w:val="00436C39"/>
    <w:rsid w:val="00441308"/>
    <w:rsid w:val="00444678"/>
    <w:rsid w:val="00447541"/>
    <w:rsid w:val="0044782A"/>
    <w:rsid w:val="00452B3B"/>
    <w:rsid w:val="00455FCF"/>
    <w:rsid w:val="00456EB6"/>
    <w:rsid w:val="004620CB"/>
    <w:rsid w:val="004737B9"/>
    <w:rsid w:val="00481DAA"/>
    <w:rsid w:val="00482672"/>
    <w:rsid w:val="0048579F"/>
    <w:rsid w:val="00486E0C"/>
    <w:rsid w:val="004877D1"/>
    <w:rsid w:val="00490733"/>
    <w:rsid w:val="00490A24"/>
    <w:rsid w:val="00493DCE"/>
    <w:rsid w:val="004A5DE1"/>
    <w:rsid w:val="004B055C"/>
    <w:rsid w:val="004B14B0"/>
    <w:rsid w:val="004B1C65"/>
    <w:rsid w:val="004B56EB"/>
    <w:rsid w:val="004B7445"/>
    <w:rsid w:val="004C648C"/>
    <w:rsid w:val="004D4E23"/>
    <w:rsid w:val="004D6528"/>
    <w:rsid w:val="004D686E"/>
    <w:rsid w:val="004D7791"/>
    <w:rsid w:val="004E1363"/>
    <w:rsid w:val="004E3897"/>
    <w:rsid w:val="004E7E09"/>
    <w:rsid w:val="004F0F91"/>
    <w:rsid w:val="004F50FC"/>
    <w:rsid w:val="004F558E"/>
    <w:rsid w:val="004F6891"/>
    <w:rsid w:val="0051398C"/>
    <w:rsid w:val="00522D3C"/>
    <w:rsid w:val="0053484F"/>
    <w:rsid w:val="00534BA3"/>
    <w:rsid w:val="00544A75"/>
    <w:rsid w:val="005554D9"/>
    <w:rsid w:val="00556274"/>
    <w:rsid w:val="0055633B"/>
    <w:rsid w:val="00565214"/>
    <w:rsid w:val="00572F2F"/>
    <w:rsid w:val="00574E2B"/>
    <w:rsid w:val="005759CC"/>
    <w:rsid w:val="00580B12"/>
    <w:rsid w:val="00580C4D"/>
    <w:rsid w:val="00584C46"/>
    <w:rsid w:val="005860D3"/>
    <w:rsid w:val="00590BC0"/>
    <w:rsid w:val="00591913"/>
    <w:rsid w:val="00592984"/>
    <w:rsid w:val="00592C24"/>
    <w:rsid w:val="00592EE5"/>
    <w:rsid w:val="00594A96"/>
    <w:rsid w:val="005A0774"/>
    <w:rsid w:val="005A1804"/>
    <w:rsid w:val="005A4C2C"/>
    <w:rsid w:val="005A7E8E"/>
    <w:rsid w:val="005B0937"/>
    <w:rsid w:val="005B518A"/>
    <w:rsid w:val="005C0C9B"/>
    <w:rsid w:val="005C637C"/>
    <w:rsid w:val="005D6840"/>
    <w:rsid w:val="005E17BF"/>
    <w:rsid w:val="005E4E22"/>
    <w:rsid w:val="005E66DD"/>
    <w:rsid w:val="005F4E12"/>
    <w:rsid w:val="00600B85"/>
    <w:rsid w:val="00601F30"/>
    <w:rsid w:val="0060666E"/>
    <w:rsid w:val="00607796"/>
    <w:rsid w:val="0062059C"/>
    <w:rsid w:val="00640308"/>
    <w:rsid w:val="00640FF9"/>
    <w:rsid w:val="0064606F"/>
    <w:rsid w:val="0065705D"/>
    <w:rsid w:val="00657456"/>
    <w:rsid w:val="00660BFC"/>
    <w:rsid w:val="00664302"/>
    <w:rsid w:val="0066686A"/>
    <w:rsid w:val="0067726A"/>
    <w:rsid w:val="00677EDF"/>
    <w:rsid w:val="00686ED0"/>
    <w:rsid w:val="006907D0"/>
    <w:rsid w:val="00696466"/>
    <w:rsid w:val="006A3653"/>
    <w:rsid w:val="006A47BA"/>
    <w:rsid w:val="006B1103"/>
    <w:rsid w:val="006B42FC"/>
    <w:rsid w:val="006B59B3"/>
    <w:rsid w:val="006C0A52"/>
    <w:rsid w:val="006C1FAC"/>
    <w:rsid w:val="006C2CF5"/>
    <w:rsid w:val="006D1DA7"/>
    <w:rsid w:val="006D26D3"/>
    <w:rsid w:val="006D7592"/>
    <w:rsid w:val="006D7EE2"/>
    <w:rsid w:val="006E0040"/>
    <w:rsid w:val="006E279C"/>
    <w:rsid w:val="006E5193"/>
    <w:rsid w:val="006E6700"/>
    <w:rsid w:val="006F0843"/>
    <w:rsid w:val="006F2235"/>
    <w:rsid w:val="006F4746"/>
    <w:rsid w:val="006F5146"/>
    <w:rsid w:val="006F7EAA"/>
    <w:rsid w:val="0071003F"/>
    <w:rsid w:val="00711822"/>
    <w:rsid w:val="00716815"/>
    <w:rsid w:val="007305EE"/>
    <w:rsid w:val="007344EF"/>
    <w:rsid w:val="007349D3"/>
    <w:rsid w:val="0073588F"/>
    <w:rsid w:val="00741308"/>
    <w:rsid w:val="00744679"/>
    <w:rsid w:val="0074494A"/>
    <w:rsid w:val="0074667E"/>
    <w:rsid w:val="007508FB"/>
    <w:rsid w:val="00751480"/>
    <w:rsid w:val="00763F74"/>
    <w:rsid w:val="00765420"/>
    <w:rsid w:val="00765897"/>
    <w:rsid w:val="007664D7"/>
    <w:rsid w:val="0077378E"/>
    <w:rsid w:val="0077576C"/>
    <w:rsid w:val="0078018C"/>
    <w:rsid w:val="00783503"/>
    <w:rsid w:val="007845D4"/>
    <w:rsid w:val="00787FFE"/>
    <w:rsid w:val="007976B8"/>
    <w:rsid w:val="007A40A4"/>
    <w:rsid w:val="007A6EAD"/>
    <w:rsid w:val="007A7236"/>
    <w:rsid w:val="007B1F9B"/>
    <w:rsid w:val="007C0DD9"/>
    <w:rsid w:val="007C6496"/>
    <w:rsid w:val="007C655A"/>
    <w:rsid w:val="007D0A68"/>
    <w:rsid w:val="007E3CCA"/>
    <w:rsid w:val="007F03DF"/>
    <w:rsid w:val="007F5E1E"/>
    <w:rsid w:val="007F6977"/>
    <w:rsid w:val="0080320D"/>
    <w:rsid w:val="00806315"/>
    <w:rsid w:val="0080651B"/>
    <w:rsid w:val="00813E9B"/>
    <w:rsid w:val="00817613"/>
    <w:rsid w:val="008206BA"/>
    <w:rsid w:val="00831635"/>
    <w:rsid w:val="00832C51"/>
    <w:rsid w:val="0083311A"/>
    <w:rsid w:val="00834BB2"/>
    <w:rsid w:val="00842C91"/>
    <w:rsid w:val="00842F4A"/>
    <w:rsid w:val="00843DF8"/>
    <w:rsid w:val="00845BC7"/>
    <w:rsid w:val="008463B1"/>
    <w:rsid w:val="00847091"/>
    <w:rsid w:val="00850FB5"/>
    <w:rsid w:val="008636C4"/>
    <w:rsid w:val="00864296"/>
    <w:rsid w:val="008662BA"/>
    <w:rsid w:val="00867943"/>
    <w:rsid w:val="008701B5"/>
    <w:rsid w:val="00870B93"/>
    <w:rsid w:val="00873FC4"/>
    <w:rsid w:val="008769C2"/>
    <w:rsid w:val="008827D4"/>
    <w:rsid w:val="00883FE4"/>
    <w:rsid w:val="00897072"/>
    <w:rsid w:val="008A04AB"/>
    <w:rsid w:val="008A4FAB"/>
    <w:rsid w:val="008B2D10"/>
    <w:rsid w:val="008B3B18"/>
    <w:rsid w:val="008B6F6B"/>
    <w:rsid w:val="008C00F3"/>
    <w:rsid w:val="008C1DA4"/>
    <w:rsid w:val="008C5783"/>
    <w:rsid w:val="008C57BE"/>
    <w:rsid w:val="008C5E91"/>
    <w:rsid w:val="008C6ECD"/>
    <w:rsid w:val="008D3FE0"/>
    <w:rsid w:val="008D6856"/>
    <w:rsid w:val="008E4E4B"/>
    <w:rsid w:val="00900022"/>
    <w:rsid w:val="00900A9C"/>
    <w:rsid w:val="00914045"/>
    <w:rsid w:val="00923444"/>
    <w:rsid w:val="009249CD"/>
    <w:rsid w:val="00937606"/>
    <w:rsid w:val="009432B8"/>
    <w:rsid w:val="0095582F"/>
    <w:rsid w:val="00956A93"/>
    <w:rsid w:val="00966260"/>
    <w:rsid w:val="009701EE"/>
    <w:rsid w:val="00971A72"/>
    <w:rsid w:val="00983AB4"/>
    <w:rsid w:val="0098424A"/>
    <w:rsid w:val="00987ED2"/>
    <w:rsid w:val="009944C4"/>
    <w:rsid w:val="00994A16"/>
    <w:rsid w:val="009A7093"/>
    <w:rsid w:val="009A77FC"/>
    <w:rsid w:val="009A7E15"/>
    <w:rsid w:val="009B2218"/>
    <w:rsid w:val="009B28E7"/>
    <w:rsid w:val="009B4721"/>
    <w:rsid w:val="009C15BD"/>
    <w:rsid w:val="009C56D8"/>
    <w:rsid w:val="009D1300"/>
    <w:rsid w:val="009D2ED5"/>
    <w:rsid w:val="009E5EE9"/>
    <w:rsid w:val="009F45E8"/>
    <w:rsid w:val="009F4FC7"/>
    <w:rsid w:val="00A01051"/>
    <w:rsid w:val="00A072E8"/>
    <w:rsid w:val="00A23F2E"/>
    <w:rsid w:val="00A257E5"/>
    <w:rsid w:val="00A25A79"/>
    <w:rsid w:val="00A3239B"/>
    <w:rsid w:val="00A3433F"/>
    <w:rsid w:val="00A3543A"/>
    <w:rsid w:val="00A37E4D"/>
    <w:rsid w:val="00A4665D"/>
    <w:rsid w:val="00A5107F"/>
    <w:rsid w:val="00A51092"/>
    <w:rsid w:val="00A55DDB"/>
    <w:rsid w:val="00A60FE6"/>
    <w:rsid w:val="00A62831"/>
    <w:rsid w:val="00A6288E"/>
    <w:rsid w:val="00A635AB"/>
    <w:rsid w:val="00A64F4B"/>
    <w:rsid w:val="00A726E2"/>
    <w:rsid w:val="00A761CE"/>
    <w:rsid w:val="00A80A2F"/>
    <w:rsid w:val="00A87AFF"/>
    <w:rsid w:val="00A95434"/>
    <w:rsid w:val="00A96034"/>
    <w:rsid w:val="00AA03DD"/>
    <w:rsid w:val="00AA1C3E"/>
    <w:rsid w:val="00AA3101"/>
    <w:rsid w:val="00AA378F"/>
    <w:rsid w:val="00AA6FAB"/>
    <w:rsid w:val="00AA78A4"/>
    <w:rsid w:val="00AB6E90"/>
    <w:rsid w:val="00AC7B90"/>
    <w:rsid w:val="00AD0625"/>
    <w:rsid w:val="00AD0B73"/>
    <w:rsid w:val="00AD2E56"/>
    <w:rsid w:val="00AD79EF"/>
    <w:rsid w:val="00AE09F2"/>
    <w:rsid w:val="00AF0C8C"/>
    <w:rsid w:val="00AF220A"/>
    <w:rsid w:val="00B00066"/>
    <w:rsid w:val="00B01E05"/>
    <w:rsid w:val="00B01EE9"/>
    <w:rsid w:val="00B02FAE"/>
    <w:rsid w:val="00B11CD4"/>
    <w:rsid w:val="00B14756"/>
    <w:rsid w:val="00B21D23"/>
    <w:rsid w:val="00B23CC6"/>
    <w:rsid w:val="00B27450"/>
    <w:rsid w:val="00B36D84"/>
    <w:rsid w:val="00B37F61"/>
    <w:rsid w:val="00B63BB8"/>
    <w:rsid w:val="00B64216"/>
    <w:rsid w:val="00B71F4A"/>
    <w:rsid w:val="00B757E2"/>
    <w:rsid w:val="00B822FD"/>
    <w:rsid w:val="00B86B18"/>
    <w:rsid w:val="00B9581E"/>
    <w:rsid w:val="00BA0C66"/>
    <w:rsid w:val="00BA0FDB"/>
    <w:rsid w:val="00BA198F"/>
    <w:rsid w:val="00BA1D38"/>
    <w:rsid w:val="00BA5EA2"/>
    <w:rsid w:val="00BB1EEC"/>
    <w:rsid w:val="00BB251C"/>
    <w:rsid w:val="00BB4C11"/>
    <w:rsid w:val="00BB52A7"/>
    <w:rsid w:val="00BB5ABD"/>
    <w:rsid w:val="00BC2DA8"/>
    <w:rsid w:val="00BD79C2"/>
    <w:rsid w:val="00BE49DC"/>
    <w:rsid w:val="00BF0328"/>
    <w:rsid w:val="00C02B5D"/>
    <w:rsid w:val="00C07238"/>
    <w:rsid w:val="00C13301"/>
    <w:rsid w:val="00C2304A"/>
    <w:rsid w:val="00C25AB5"/>
    <w:rsid w:val="00C34653"/>
    <w:rsid w:val="00C3651C"/>
    <w:rsid w:val="00C37181"/>
    <w:rsid w:val="00C40CD7"/>
    <w:rsid w:val="00C443E1"/>
    <w:rsid w:val="00C54AB5"/>
    <w:rsid w:val="00C57568"/>
    <w:rsid w:val="00C63B5B"/>
    <w:rsid w:val="00C63CE8"/>
    <w:rsid w:val="00C651B6"/>
    <w:rsid w:val="00C712CA"/>
    <w:rsid w:val="00C802CB"/>
    <w:rsid w:val="00C81430"/>
    <w:rsid w:val="00C82153"/>
    <w:rsid w:val="00C82BA7"/>
    <w:rsid w:val="00C8519C"/>
    <w:rsid w:val="00C87DCD"/>
    <w:rsid w:val="00CA6591"/>
    <w:rsid w:val="00CB538C"/>
    <w:rsid w:val="00CC1175"/>
    <w:rsid w:val="00CC1556"/>
    <w:rsid w:val="00CC7132"/>
    <w:rsid w:val="00CD49F9"/>
    <w:rsid w:val="00CE2087"/>
    <w:rsid w:val="00CE2F7D"/>
    <w:rsid w:val="00CF0054"/>
    <w:rsid w:val="00D07C29"/>
    <w:rsid w:val="00D132AD"/>
    <w:rsid w:val="00D16CED"/>
    <w:rsid w:val="00D17ED6"/>
    <w:rsid w:val="00D207DF"/>
    <w:rsid w:val="00D267F9"/>
    <w:rsid w:val="00D32BBA"/>
    <w:rsid w:val="00D3433D"/>
    <w:rsid w:val="00D35319"/>
    <w:rsid w:val="00D43B40"/>
    <w:rsid w:val="00D52410"/>
    <w:rsid w:val="00D53925"/>
    <w:rsid w:val="00D541C7"/>
    <w:rsid w:val="00D56D3F"/>
    <w:rsid w:val="00D64D2C"/>
    <w:rsid w:val="00D71D11"/>
    <w:rsid w:val="00D7324A"/>
    <w:rsid w:val="00D7331F"/>
    <w:rsid w:val="00DA1AAA"/>
    <w:rsid w:val="00DB13BB"/>
    <w:rsid w:val="00DB2147"/>
    <w:rsid w:val="00DB61C4"/>
    <w:rsid w:val="00DB6576"/>
    <w:rsid w:val="00DB67B9"/>
    <w:rsid w:val="00DD0496"/>
    <w:rsid w:val="00DE3500"/>
    <w:rsid w:val="00DE41C8"/>
    <w:rsid w:val="00DE7834"/>
    <w:rsid w:val="00DE7B21"/>
    <w:rsid w:val="00E00D5F"/>
    <w:rsid w:val="00E01568"/>
    <w:rsid w:val="00E0295D"/>
    <w:rsid w:val="00E02A77"/>
    <w:rsid w:val="00E03196"/>
    <w:rsid w:val="00E117E8"/>
    <w:rsid w:val="00E14809"/>
    <w:rsid w:val="00E164C3"/>
    <w:rsid w:val="00E20062"/>
    <w:rsid w:val="00E248B3"/>
    <w:rsid w:val="00E25BD7"/>
    <w:rsid w:val="00E31959"/>
    <w:rsid w:val="00E3540C"/>
    <w:rsid w:val="00E43411"/>
    <w:rsid w:val="00E47D62"/>
    <w:rsid w:val="00E524A9"/>
    <w:rsid w:val="00E5541A"/>
    <w:rsid w:val="00E55AC3"/>
    <w:rsid w:val="00E7199D"/>
    <w:rsid w:val="00E82076"/>
    <w:rsid w:val="00E837FD"/>
    <w:rsid w:val="00E873A0"/>
    <w:rsid w:val="00E923E8"/>
    <w:rsid w:val="00E92534"/>
    <w:rsid w:val="00EB0993"/>
    <w:rsid w:val="00EB13E4"/>
    <w:rsid w:val="00EB5CEE"/>
    <w:rsid w:val="00EC655C"/>
    <w:rsid w:val="00ED0802"/>
    <w:rsid w:val="00ED1630"/>
    <w:rsid w:val="00ED4B6B"/>
    <w:rsid w:val="00EE02AE"/>
    <w:rsid w:val="00EE2E73"/>
    <w:rsid w:val="00EF7EC1"/>
    <w:rsid w:val="00F008BB"/>
    <w:rsid w:val="00F079C6"/>
    <w:rsid w:val="00F10EE5"/>
    <w:rsid w:val="00F15497"/>
    <w:rsid w:val="00F336CF"/>
    <w:rsid w:val="00F351BD"/>
    <w:rsid w:val="00F4082D"/>
    <w:rsid w:val="00F40EC1"/>
    <w:rsid w:val="00F42D73"/>
    <w:rsid w:val="00F53575"/>
    <w:rsid w:val="00F562F2"/>
    <w:rsid w:val="00F85D24"/>
    <w:rsid w:val="00F87A6F"/>
    <w:rsid w:val="00F94AE2"/>
    <w:rsid w:val="00F96DFA"/>
    <w:rsid w:val="00FA1A2B"/>
    <w:rsid w:val="00FA1CE7"/>
    <w:rsid w:val="00FA4F09"/>
    <w:rsid w:val="00FB0164"/>
    <w:rsid w:val="00FB42B6"/>
    <w:rsid w:val="00FB5A80"/>
    <w:rsid w:val="00FB6538"/>
    <w:rsid w:val="00FB66A8"/>
    <w:rsid w:val="00FC7840"/>
    <w:rsid w:val="00FD619B"/>
    <w:rsid w:val="00FD7A76"/>
    <w:rsid w:val="00FE3E5D"/>
    <w:rsid w:val="00FE4875"/>
    <w:rsid w:val="00FE546A"/>
    <w:rsid w:val="00FE5517"/>
    <w:rsid w:val="00FE651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A4E68"/>
  <w15:chartTrackingRefBased/>
  <w15:docId w15:val="{E1DE859B-4B37-4BB9-8164-E1769F1DD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1280"/>
    <w:pPr>
      <w:spacing w:before="100" w:beforeAutospacing="1" w:after="100" w:afterAutospacing="1" w:line="240" w:lineRule="auto"/>
      <w:outlineLvl w:val="0"/>
    </w:pPr>
    <w:rPr>
      <w:rFonts w:ascii="Times New Roman" w:eastAsia="Times New Roman" w:hAnsi="Times New Roman" w:cs="Times New Roman"/>
      <w:b/>
      <w:bCs/>
      <w:kern w:val="36"/>
      <w:sz w:val="48"/>
      <w:szCs w:val="48"/>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50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507FC"/>
    <w:pPr>
      <w:spacing w:after="200" w:line="240" w:lineRule="auto"/>
    </w:pPr>
    <w:rPr>
      <w:i/>
      <w:iCs/>
      <w:color w:val="44546A" w:themeColor="text2"/>
      <w:sz w:val="18"/>
      <w:szCs w:val="18"/>
    </w:rPr>
  </w:style>
  <w:style w:type="paragraph" w:customStyle="1" w:styleId="EndNoteBibliography">
    <w:name w:val="EndNote Bibliography"/>
    <w:basedOn w:val="Normal"/>
    <w:link w:val="EndNoteBibliographyZchn"/>
    <w:rsid w:val="006C1FAC"/>
    <w:pPr>
      <w:spacing w:line="240" w:lineRule="auto"/>
      <w:jc w:val="both"/>
    </w:pPr>
    <w:rPr>
      <w:rFonts w:ascii="Calibri" w:hAnsi="Calibri" w:cs="Calibri"/>
      <w:noProof/>
      <w:lang w:val="en-US"/>
    </w:rPr>
  </w:style>
  <w:style w:type="character" w:customStyle="1" w:styleId="EndNoteBibliographyZchn">
    <w:name w:val="EndNote Bibliography Zchn"/>
    <w:basedOn w:val="DefaultParagraphFont"/>
    <w:link w:val="EndNoteBibliography"/>
    <w:rsid w:val="006C1FAC"/>
    <w:rPr>
      <w:rFonts w:ascii="Calibri" w:hAnsi="Calibri" w:cs="Calibri"/>
      <w:noProof/>
      <w:lang w:val="en-US"/>
    </w:rPr>
  </w:style>
  <w:style w:type="character" w:styleId="CommentReference">
    <w:name w:val="annotation reference"/>
    <w:basedOn w:val="DefaultParagraphFont"/>
    <w:uiPriority w:val="99"/>
    <w:semiHidden/>
    <w:unhideWhenUsed/>
    <w:rsid w:val="00482672"/>
    <w:rPr>
      <w:sz w:val="16"/>
      <w:szCs w:val="16"/>
    </w:rPr>
  </w:style>
  <w:style w:type="paragraph" w:styleId="CommentText">
    <w:name w:val="annotation text"/>
    <w:basedOn w:val="Normal"/>
    <w:link w:val="CommentTextChar"/>
    <w:uiPriority w:val="99"/>
    <w:semiHidden/>
    <w:unhideWhenUsed/>
    <w:rsid w:val="00482672"/>
    <w:pPr>
      <w:spacing w:line="240" w:lineRule="auto"/>
    </w:pPr>
    <w:rPr>
      <w:sz w:val="20"/>
      <w:szCs w:val="20"/>
    </w:rPr>
  </w:style>
  <w:style w:type="character" w:customStyle="1" w:styleId="CommentTextChar">
    <w:name w:val="Comment Text Char"/>
    <w:basedOn w:val="DefaultParagraphFont"/>
    <w:link w:val="CommentText"/>
    <w:uiPriority w:val="99"/>
    <w:semiHidden/>
    <w:rsid w:val="00482672"/>
    <w:rPr>
      <w:sz w:val="20"/>
      <w:szCs w:val="20"/>
    </w:rPr>
  </w:style>
  <w:style w:type="paragraph" w:styleId="CommentSubject">
    <w:name w:val="annotation subject"/>
    <w:basedOn w:val="CommentText"/>
    <w:next w:val="CommentText"/>
    <w:link w:val="CommentSubjectChar"/>
    <w:uiPriority w:val="99"/>
    <w:semiHidden/>
    <w:unhideWhenUsed/>
    <w:rsid w:val="00482672"/>
    <w:rPr>
      <w:b/>
      <w:bCs/>
    </w:rPr>
  </w:style>
  <w:style w:type="character" w:customStyle="1" w:styleId="CommentSubjectChar">
    <w:name w:val="Comment Subject Char"/>
    <w:basedOn w:val="CommentTextChar"/>
    <w:link w:val="CommentSubject"/>
    <w:uiPriority w:val="99"/>
    <w:semiHidden/>
    <w:rsid w:val="00482672"/>
    <w:rPr>
      <w:b/>
      <w:bCs/>
      <w:sz w:val="20"/>
      <w:szCs w:val="20"/>
    </w:rPr>
  </w:style>
  <w:style w:type="paragraph" w:styleId="BalloonText">
    <w:name w:val="Balloon Text"/>
    <w:basedOn w:val="Normal"/>
    <w:link w:val="BalloonTextChar"/>
    <w:uiPriority w:val="99"/>
    <w:semiHidden/>
    <w:unhideWhenUsed/>
    <w:rsid w:val="004826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2672"/>
    <w:rPr>
      <w:rFonts w:ascii="Segoe UI" w:hAnsi="Segoe UI" w:cs="Segoe UI"/>
      <w:sz w:val="18"/>
      <w:szCs w:val="18"/>
    </w:rPr>
  </w:style>
  <w:style w:type="paragraph" w:styleId="ListParagraph">
    <w:name w:val="List Paragraph"/>
    <w:basedOn w:val="Normal"/>
    <w:uiPriority w:val="34"/>
    <w:qFormat/>
    <w:rsid w:val="00A3433F"/>
    <w:pPr>
      <w:ind w:left="720"/>
      <w:contextualSpacing/>
    </w:pPr>
  </w:style>
  <w:style w:type="paragraph" w:styleId="Revision">
    <w:name w:val="Revision"/>
    <w:hidden/>
    <w:uiPriority w:val="99"/>
    <w:semiHidden/>
    <w:rsid w:val="00A55DDB"/>
    <w:pPr>
      <w:spacing w:after="0" w:line="240" w:lineRule="auto"/>
    </w:pPr>
  </w:style>
  <w:style w:type="character" w:styleId="Hyperlink">
    <w:name w:val="Hyperlink"/>
    <w:basedOn w:val="DefaultParagraphFont"/>
    <w:uiPriority w:val="99"/>
    <w:unhideWhenUsed/>
    <w:rsid w:val="00F336CF"/>
    <w:rPr>
      <w:color w:val="0563C1" w:themeColor="hyperlink"/>
      <w:u w:val="single"/>
    </w:rPr>
  </w:style>
  <w:style w:type="character" w:styleId="UnresolvedMention">
    <w:name w:val="Unresolved Mention"/>
    <w:basedOn w:val="DefaultParagraphFont"/>
    <w:uiPriority w:val="99"/>
    <w:semiHidden/>
    <w:unhideWhenUsed/>
    <w:rsid w:val="00F336CF"/>
    <w:rPr>
      <w:color w:val="605E5C"/>
      <w:shd w:val="clear" w:color="auto" w:fill="E1DFDD"/>
    </w:rPr>
  </w:style>
  <w:style w:type="paragraph" w:styleId="NormalWeb">
    <w:name w:val="Normal (Web)"/>
    <w:basedOn w:val="Normal"/>
    <w:uiPriority w:val="99"/>
    <w:semiHidden/>
    <w:unhideWhenUsed/>
    <w:rsid w:val="00B822FD"/>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ollowedHyperlink">
    <w:name w:val="FollowedHyperlink"/>
    <w:basedOn w:val="DefaultParagraphFont"/>
    <w:uiPriority w:val="99"/>
    <w:semiHidden/>
    <w:unhideWhenUsed/>
    <w:rsid w:val="00F079C6"/>
    <w:rPr>
      <w:color w:val="954F72" w:themeColor="followedHyperlink"/>
      <w:u w:val="single"/>
    </w:rPr>
  </w:style>
  <w:style w:type="table" w:styleId="ListTable3-Accent3">
    <w:name w:val="List Table 3 Accent 3"/>
    <w:basedOn w:val="TableNormal"/>
    <w:uiPriority w:val="48"/>
    <w:rsid w:val="0031315D"/>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customStyle="1" w:styleId="Heading1Char">
    <w:name w:val="Heading 1 Char"/>
    <w:basedOn w:val="DefaultParagraphFont"/>
    <w:link w:val="Heading1"/>
    <w:uiPriority w:val="9"/>
    <w:rsid w:val="00301280"/>
    <w:rPr>
      <w:rFonts w:ascii="Times New Roman" w:eastAsia="Times New Roman" w:hAnsi="Times New Roman" w:cs="Times New Roman"/>
      <w:b/>
      <w:bCs/>
      <w:kern w:val="36"/>
      <w:sz w:val="48"/>
      <w:szCs w:val="48"/>
      <w:lang w:val="de-DE" w:eastAsia="de-DE"/>
    </w:rPr>
  </w:style>
  <w:style w:type="table" w:styleId="GridTable4-Accent1">
    <w:name w:val="Grid Table 4 Accent 1"/>
    <w:basedOn w:val="TableNormal"/>
    <w:uiPriority w:val="49"/>
    <w:rsid w:val="00301280"/>
    <w:pPr>
      <w:spacing w:after="0" w:line="240" w:lineRule="auto"/>
    </w:pPr>
    <w:rPr>
      <w:rFonts w:ascii="Verdana" w:hAnsi="Verdana"/>
      <w:lang w:val="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LineNumber">
    <w:name w:val="line number"/>
    <w:basedOn w:val="DefaultParagraphFont"/>
    <w:uiPriority w:val="99"/>
    <w:semiHidden/>
    <w:unhideWhenUsed/>
    <w:rsid w:val="00BA5EA2"/>
  </w:style>
  <w:style w:type="paragraph" w:styleId="Header">
    <w:name w:val="header"/>
    <w:basedOn w:val="Normal"/>
    <w:link w:val="HeaderChar"/>
    <w:uiPriority w:val="99"/>
    <w:unhideWhenUsed/>
    <w:rsid w:val="00E01568"/>
    <w:pPr>
      <w:tabs>
        <w:tab w:val="center" w:pos="4536"/>
        <w:tab w:val="right" w:pos="9072"/>
      </w:tabs>
      <w:spacing w:after="0" w:line="240" w:lineRule="auto"/>
    </w:pPr>
  </w:style>
  <w:style w:type="character" w:customStyle="1" w:styleId="HeaderChar">
    <w:name w:val="Header Char"/>
    <w:basedOn w:val="DefaultParagraphFont"/>
    <w:link w:val="Header"/>
    <w:uiPriority w:val="99"/>
    <w:rsid w:val="00E01568"/>
  </w:style>
  <w:style w:type="paragraph" w:styleId="Footer">
    <w:name w:val="footer"/>
    <w:basedOn w:val="Normal"/>
    <w:link w:val="FooterChar"/>
    <w:uiPriority w:val="99"/>
    <w:unhideWhenUsed/>
    <w:rsid w:val="00E01568"/>
    <w:pPr>
      <w:tabs>
        <w:tab w:val="center" w:pos="4536"/>
        <w:tab w:val="right" w:pos="9072"/>
      </w:tabs>
      <w:spacing w:after="0" w:line="240" w:lineRule="auto"/>
    </w:pPr>
  </w:style>
  <w:style w:type="character" w:customStyle="1" w:styleId="FooterChar">
    <w:name w:val="Footer Char"/>
    <w:basedOn w:val="DefaultParagraphFont"/>
    <w:link w:val="Footer"/>
    <w:uiPriority w:val="99"/>
    <w:rsid w:val="00E01568"/>
  </w:style>
  <w:style w:type="character" w:customStyle="1" w:styleId="citation-doi">
    <w:name w:val="citation-doi"/>
    <w:basedOn w:val="DefaultParagraphFont"/>
    <w:rsid w:val="00FD7A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34678">
      <w:bodyDiv w:val="1"/>
      <w:marLeft w:val="0"/>
      <w:marRight w:val="0"/>
      <w:marTop w:val="0"/>
      <w:marBottom w:val="0"/>
      <w:divBdr>
        <w:top w:val="none" w:sz="0" w:space="0" w:color="auto"/>
        <w:left w:val="none" w:sz="0" w:space="0" w:color="auto"/>
        <w:bottom w:val="none" w:sz="0" w:space="0" w:color="auto"/>
        <w:right w:val="none" w:sz="0" w:space="0" w:color="auto"/>
      </w:divBdr>
    </w:div>
    <w:div w:id="192305274">
      <w:bodyDiv w:val="1"/>
      <w:marLeft w:val="0"/>
      <w:marRight w:val="0"/>
      <w:marTop w:val="0"/>
      <w:marBottom w:val="0"/>
      <w:divBdr>
        <w:top w:val="none" w:sz="0" w:space="0" w:color="auto"/>
        <w:left w:val="none" w:sz="0" w:space="0" w:color="auto"/>
        <w:bottom w:val="none" w:sz="0" w:space="0" w:color="auto"/>
        <w:right w:val="none" w:sz="0" w:space="0" w:color="auto"/>
      </w:divBdr>
    </w:div>
    <w:div w:id="193807040">
      <w:bodyDiv w:val="1"/>
      <w:marLeft w:val="0"/>
      <w:marRight w:val="0"/>
      <w:marTop w:val="0"/>
      <w:marBottom w:val="0"/>
      <w:divBdr>
        <w:top w:val="none" w:sz="0" w:space="0" w:color="auto"/>
        <w:left w:val="none" w:sz="0" w:space="0" w:color="auto"/>
        <w:bottom w:val="none" w:sz="0" w:space="0" w:color="auto"/>
        <w:right w:val="none" w:sz="0" w:space="0" w:color="auto"/>
      </w:divBdr>
    </w:div>
    <w:div w:id="226572210">
      <w:bodyDiv w:val="1"/>
      <w:marLeft w:val="0"/>
      <w:marRight w:val="0"/>
      <w:marTop w:val="0"/>
      <w:marBottom w:val="0"/>
      <w:divBdr>
        <w:top w:val="none" w:sz="0" w:space="0" w:color="auto"/>
        <w:left w:val="none" w:sz="0" w:space="0" w:color="auto"/>
        <w:bottom w:val="none" w:sz="0" w:space="0" w:color="auto"/>
        <w:right w:val="none" w:sz="0" w:space="0" w:color="auto"/>
      </w:divBdr>
    </w:div>
    <w:div w:id="422801016">
      <w:bodyDiv w:val="1"/>
      <w:marLeft w:val="0"/>
      <w:marRight w:val="0"/>
      <w:marTop w:val="0"/>
      <w:marBottom w:val="0"/>
      <w:divBdr>
        <w:top w:val="none" w:sz="0" w:space="0" w:color="auto"/>
        <w:left w:val="none" w:sz="0" w:space="0" w:color="auto"/>
        <w:bottom w:val="none" w:sz="0" w:space="0" w:color="auto"/>
        <w:right w:val="none" w:sz="0" w:space="0" w:color="auto"/>
      </w:divBdr>
    </w:div>
    <w:div w:id="515970559">
      <w:bodyDiv w:val="1"/>
      <w:marLeft w:val="0"/>
      <w:marRight w:val="0"/>
      <w:marTop w:val="0"/>
      <w:marBottom w:val="0"/>
      <w:divBdr>
        <w:top w:val="none" w:sz="0" w:space="0" w:color="auto"/>
        <w:left w:val="none" w:sz="0" w:space="0" w:color="auto"/>
        <w:bottom w:val="none" w:sz="0" w:space="0" w:color="auto"/>
        <w:right w:val="none" w:sz="0" w:space="0" w:color="auto"/>
      </w:divBdr>
    </w:div>
    <w:div w:id="527305047">
      <w:bodyDiv w:val="1"/>
      <w:marLeft w:val="0"/>
      <w:marRight w:val="0"/>
      <w:marTop w:val="0"/>
      <w:marBottom w:val="0"/>
      <w:divBdr>
        <w:top w:val="none" w:sz="0" w:space="0" w:color="auto"/>
        <w:left w:val="none" w:sz="0" w:space="0" w:color="auto"/>
        <w:bottom w:val="none" w:sz="0" w:space="0" w:color="auto"/>
        <w:right w:val="none" w:sz="0" w:space="0" w:color="auto"/>
      </w:divBdr>
    </w:div>
    <w:div w:id="529491969">
      <w:bodyDiv w:val="1"/>
      <w:marLeft w:val="0"/>
      <w:marRight w:val="0"/>
      <w:marTop w:val="0"/>
      <w:marBottom w:val="0"/>
      <w:divBdr>
        <w:top w:val="none" w:sz="0" w:space="0" w:color="auto"/>
        <w:left w:val="none" w:sz="0" w:space="0" w:color="auto"/>
        <w:bottom w:val="none" w:sz="0" w:space="0" w:color="auto"/>
        <w:right w:val="none" w:sz="0" w:space="0" w:color="auto"/>
      </w:divBdr>
    </w:div>
    <w:div w:id="572545142">
      <w:bodyDiv w:val="1"/>
      <w:marLeft w:val="0"/>
      <w:marRight w:val="0"/>
      <w:marTop w:val="0"/>
      <w:marBottom w:val="0"/>
      <w:divBdr>
        <w:top w:val="none" w:sz="0" w:space="0" w:color="auto"/>
        <w:left w:val="none" w:sz="0" w:space="0" w:color="auto"/>
        <w:bottom w:val="none" w:sz="0" w:space="0" w:color="auto"/>
        <w:right w:val="none" w:sz="0" w:space="0" w:color="auto"/>
      </w:divBdr>
    </w:div>
    <w:div w:id="671643556">
      <w:bodyDiv w:val="1"/>
      <w:marLeft w:val="0"/>
      <w:marRight w:val="0"/>
      <w:marTop w:val="0"/>
      <w:marBottom w:val="0"/>
      <w:divBdr>
        <w:top w:val="none" w:sz="0" w:space="0" w:color="auto"/>
        <w:left w:val="none" w:sz="0" w:space="0" w:color="auto"/>
        <w:bottom w:val="none" w:sz="0" w:space="0" w:color="auto"/>
        <w:right w:val="none" w:sz="0" w:space="0" w:color="auto"/>
      </w:divBdr>
    </w:div>
    <w:div w:id="677388820">
      <w:bodyDiv w:val="1"/>
      <w:marLeft w:val="0"/>
      <w:marRight w:val="0"/>
      <w:marTop w:val="0"/>
      <w:marBottom w:val="0"/>
      <w:divBdr>
        <w:top w:val="none" w:sz="0" w:space="0" w:color="auto"/>
        <w:left w:val="none" w:sz="0" w:space="0" w:color="auto"/>
        <w:bottom w:val="none" w:sz="0" w:space="0" w:color="auto"/>
        <w:right w:val="none" w:sz="0" w:space="0" w:color="auto"/>
      </w:divBdr>
    </w:div>
    <w:div w:id="739400243">
      <w:bodyDiv w:val="1"/>
      <w:marLeft w:val="0"/>
      <w:marRight w:val="0"/>
      <w:marTop w:val="0"/>
      <w:marBottom w:val="0"/>
      <w:divBdr>
        <w:top w:val="none" w:sz="0" w:space="0" w:color="auto"/>
        <w:left w:val="none" w:sz="0" w:space="0" w:color="auto"/>
        <w:bottom w:val="none" w:sz="0" w:space="0" w:color="auto"/>
        <w:right w:val="none" w:sz="0" w:space="0" w:color="auto"/>
      </w:divBdr>
    </w:div>
    <w:div w:id="766654289">
      <w:bodyDiv w:val="1"/>
      <w:marLeft w:val="0"/>
      <w:marRight w:val="0"/>
      <w:marTop w:val="0"/>
      <w:marBottom w:val="0"/>
      <w:divBdr>
        <w:top w:val="none" w:sz="0" w:space="0" w:color="auto"/>
        <w:left w:val="none" w:sz="0" w:space="0" w:color="auto"/>
        <w:bottom w:val="none" w:sz="0" w:space="0" w:color="auto"/>
        <w:right w:val="none" w:sz="0" w:space="0" w:color="auto"/>
      </w:divBdr>
    </w:div>
    <w:div w:id="801460448">
      <w:bodyDiv w:val="1"/>
      <w:marLeft w:val="0"/>
      <w:marRight w:val="0"/>
      <w:marTop w:val="0"/>
      <w:marBottom w:val="0"/>
      <w:divBdr>
        <w:top w:val="none" w:sz="0" w:space="0" w:color="auto"/>
        <w:left w:val="none" w:sz="0" w:space="0" w:color="auto"/>
        <w:bottom w:val="none" w:sz="0" w:space="0" w:color="auto"/>
        <w:right w:val="none" w:sz="0" w:space="0" w:color="auto"/>
      </w:divBdr>
    </w:div>
    <w:div w:id="843476650">
      <w:bodyDiv w:val="1"/>
      <w:marLeft w:val="0"/>
      <w:marRight w:val="0"/>
      <w:marTop w:val="0"/>
      <w:marBottom w:val="0"/>
      <w:divBdr>
        <w:top w:val="none" w:sz="0" w:space="0" w:color="auto"/>
        <w:left w:val="none" w:sz="0" w:space="0" w:color="auto"/>
        <w:bottom w:val="none" w:sz="0" w:space="0" w:color="auto"/>
        <w:right w:val="none" w:sz="0" w:space="0" w:color="auto"/>
      </w:divBdr>
    </w:div>
    <w:div w:id="1083799680">
      <w:bodyDiv w:val="1"/>
      <w:marLeft w:val="0"/>
      <w:marRight w:val="0"/>
      <w:marTop w:val="0"/>
      <w:marBottom w:val="0"/>
      <w:divBdr>
        <w:top w:val="none" w:sz="0" w:space="0" w:color="auto"/>
        <w:left w:val="none" w:sz="0" w:space="0" w:color="auto"/>
        <w:bottom w:val="none" w:sz="0" w:space="0" w:color="auto"/>
        <w:right w:val="none" w:sz="0" w:space="0" w:color="auto"/>
      </w:divBdr>
    </w:div>
    <w:div w:id="1093283771">
      <w:bodyDiv w:val="1"/>
      <w:marLeft w:val="0"/>
      <w:marRight w:val="0"/>
      <w:marTop w:val="0"/>
      <w:marBottom w:val="0"/>
      <w:divBdr>
        <w:top w:val="none" w:sz="0" w:space="0" w:color="auto"/>
        <w:left w:val="none" w:sz="0" w:space="0" w:color="auto"/>
        <w:bottom w:val="none" w:sz="0" w:space="0" w:color="auto"/>
        <w:right w:val="none" w:sz="0" w:space="0" w:color="auto"/>
      </w:divBdr>
    </w:div>
    <w:div w:id="1130906154">
      <w:bodyDiv w:val="1"/>
      <w:marLeft w:val="0"/>
      <w:marRight w:val="0"/>
      <w:marTop w:val="0"/>
      <w:marBottom w:val="0"/>
      <w:divBdr>
        <w:top w:val="none" w:sz="0" w:space="0" w:color="auto"/>
        <w:left w:val="none" w:sz="0" w:space="0" w:color="auto"/>
        <w:bottom w:val="none" w:sz="0" w:space="0" w:color="auto"/>
        <w:right w:val="none" w:sz="0" w:space="0" w:color="auto"/>
      </w:divBdr>
    </w:div>
    <w:div w:id="1267036124">
      <w:bodyDiv w:val="1"/>
      <w:marLeft w:val="0"/>
      <w:marRight w:val="0"/>
      <w:marTop w:val="0"/>
      <w:marBottom w:val="0"/>
      <w:divBdr>
        <w:top w:val="none" w:sz="0" w:space="0" w:color="auto"/>
        <w:left w:val="none" w:sz="0" w:space="0" w:color="auto"/>
        <w:bottom w:val="none" w:sz="0" w:space="0" w:color="auto"/>
        <w:right w:val="none" w:sz="0" w:space="0" w:color="auto"/>
      </w:divBdr>
    </w:div>
    <w:div w:id="1359618721">
      <w:bodyDiv w:val="1"/>
      <w:marLeft w:val="0"/>
      <w:marRight w:val="0"/>
      <w:marTop w:val="0"/>
      <w:marBottom w:val="0"/>
      <w:divBdr>
        <w:top w:val="none" w:sz="0" w:space="0" w:color="auto"/>
        <w:left w:val="none" w:sz="0" w:space="0" w:color="auto"/>
        <w:bottom w:val="none" w:sz="0" w:space="0" w:color="auto"/>
        <w:right w:val="none" w:sz="0" w:space="0" w:color="auto"/>
      </w:divBdr>
    </w:div>
    <w:div w:id="1432892968">
      <w:bodyDiv w:val="1"/>
      <w:marLeft w:val="0"/>
      <w:marRight w:val="0"/>
      <w:marTop w:val="0"/>
      <w:marBottom w:val="0"/>
      <w:divBdr>
        <w:top w:val="none" w:sz="0" w:space="0" w:color="auto"/>
        <w:left w:val="none" w:sz="0" w:space="0" w:color="auto"/>
        <w:bottom w:val="none" w:sz="0" w:space="0" w:color="auto"/>
        <w:right w:val="none" w:sz="0" w:space="0" w:color="auto"/>
      </w:divBdr>
    </w:div>
    <w:div w:id="1616328127">
      <w:bodyDiv w:val="1"/>
      <w:marLeft w:val="0"/>
      <w:marRight w:val="0"/>
      <w:marTop w:val="0"/>
      <w:marBottom w:val="0"/>
      <w:divBdr>
        <w:top w:val="none" w:sz="0" w:space="0" w:color="auto"/>
        <w:left w:val="none" w:sz="0" w:space="0" w:color="auto"/>
        <w:bottom w:val="none" w:sz="0" w:space="0" w:color="auto"/>
        <w:right w:val="none" w:sz="0" w:space="0" w:color="auto"/>
      </w:divBdr>
    </w:div>
    <w:div w:id="1698388112">
      <w:bodyDiv w:val="1"/>
      <w:marLeft w:val="0"/>
      <w:marRight w:val="0"/>
      <w:marTop w:val="0"/>
      <w:marBottom w:val="0"/>
      <w:divBdr>
        <w:top w:val="none" w:sz="0" w:space="0" w:color="auto"/>
        <w:left w:val="none" w:sz="0" w:space="0" w:color="auto"/>
        <w:bottom w:val="none" w:sz="0" w:space="0" w:color="auto"/>
        <w:right w:val="none" w:sz="0" w:space="0" w:color="auto"/>
      </w:divBdr>
    </w:div>
    <w:div w:id="1717779206">
      <w:bodyDiv w:val="1"/>
      <w:marLeft w:val="0"/>
      <w:marRight w:val="0"/>
      <w:marTop w:val="0"/>
      <w:marBottom w:val="0"/>
      <w:divBdr>
        <w:top w:val="none" w:sz="0" w:space="0" w:color="auto"/>
        <w:left w:val="none" w:sz="0" w:space="0" w:color="auto"/>
        <w:bottom w:val="none" w:sz="0" w:space="0" w:color="auto"/>
        <w:right w:val="none" w:sz="0" w:space="0" w:color="auto"/>
      </w:divBdr>
    </w:div>
    <w:div w:id="1790658288">
      <w:bodyDiv w:val="1"/>
      <w:marLeft w:val="0"/>
      <w:marRight w:val="0"/>
      <w:marTop w:val="0"/>
      <w:marBottom w:val="0"/>
      <w:divBdr>
        <w:top w:val="none" w:sz="0" w:space="0" w:color="auto"/>
        <w:left w:val="none" w:sz="0" w:space="0" w:color="auto"/>
        <w:bottom w:val="none" w:sz="0" w:space="0" w:color="auto"/>
        <w:right w:val="none" w:sz="0" w:space="0" w:color="auto"/>
      </w:divBdr>
    </w:div>
    <w:div w:id="1811900648">
      <w:bodyDiv w:val="1"/>
      <w:marLeft w:val="0"/>
      <w:marRight w:val="0"/>
      <w:marTop w:val="0"/>
      <w:marBottom w:val="0"/>
      <w:divBdr>
        <w:top w:val="none" w:sz="0" w:space="0" w:color="auto"/>
        <w:left w:val="none" w:sz="0" w:space="0" w:color="auto"/>
        <w:bottom w:val="none" w:sz="0" w:space="0" w:color="auto"/>
        <w:right w:val="none" w:sz="0" w:space="0" w:color="auto"/>
      </w:divBdr>
    </w:div>
    <w:div w:id="1890653239">
      <w:bodyDiv w:val="1"/>
      <w:marLeft w:val="0"/>
      <w:marRight w:val="0"/>
      <w:marTop w:val="0"/>
      <w:marBottom w:val="0"/>
      <w:divBdr>
        <w:top w:val="none" w:sz="0" w:space="0" w:color="auto"/>
        <w:left w:val="none" w:sz="0" w:space="0" w:color="auto"/>
        <w:bottom w:val="none" w:sz="0" w:space="0" w:color="auto"/>
        <w:right w:val="none" w:sz="0" w:space="0" w:color="auto"/>
      </w:divBdr>
    </w:div>
    <w:div w:id="1932883705">
      <w:bodyDiv w:val="1"/>
      <w:marLeft w:val="0"/>
      <w:marRight w:val="0"/>
      <w:marTop w:val="0"/>
      <w:marBottom w:val="0"/>
      <w:divBdr>
        <w:top w:val="none" w:sz="0" w:space="0" w:color="auto"/>
        <w:left w:val="none" w:sz="0" w:space="0" w:color="auto"/>
        <w:bottom w:val="none" w:sz="0" w:space="0" w:color="auto"/>
        <w:right w:val="none" w:sz="0" w:space="0" w:color="auto"/>
      </w:divBdr>
    </w:div>
    <w:div w:id="1977298162">
      <w:bodyDiv w:val="1"/>
      <w:marLeft w:val="0"/>
      <w:marRight w:val="0"/>
      <w:marTop w:val="0"/>
      <w:marBottom w:val="0"/>
      <w:divBdr>
        <w:top w:val="none" w:sz="0" w:space="0" w:color="auto"/>
        <w:left w:val="none" w:sz="0" w:space="0" w:color="auto"/>
        <w:bottom w:val="none" w:sz="0" w:space="0" w:color="auto"/>
        <w:right w:val="none" w:sz="0" w:space="0" w:color="auto"/>
      </w:divBdr>
    </w:div>
    <w:div w:id="1987390767">
      <w:bodyDiv w:val="1"/>
      <w:marLeft w:val="0"/>
      <w:marRight w:val="0"/>
      <w:marTop w:val="0"/>
      <w:marBottom w:val="0"/>
      <w:divBdr>
        <w:top w:val="none" w:sz="0" w:space="0" w:color="auto"/>
        <w:left w:val="none" w:sz="0" w:space="0" w:color="auto"/>
        <w:bottom w:val="none" w:sz="0" w:space="0" w:color="auto"/>
        <w:right w:val="none" w:sz="0" w:space="0" w:color="auto"/>
      </w:divBdr>
    </w:div>
    <w:div w:id="207083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A64F94D-95D0-485F-998F-4B7BB0D6D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1950</Words>
  <Characters>11119</Characters>
  <Application>Microsoft Office Word</Application>
  <DocSecurity>0</DocSecurity>
  <Lines>92</Lines>
  <Paragraphs>26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Stoll, Jasmin Theresa</dc:creator>
  <cp:keywords/>
  <dc:description/>
  <cp:lastModifiedBy>Trupti Sudge</cp:lastModifiedBy>
  <cp:revision>2</cp:revision>
  <cp:lastPrinted>2024-03-19T12:30:00Z</cp:lastPrinted>
  <dcterms:created xsi:type="dcterms:W3CDTF">2024-03-19T12:37:00Z</dcterms:created>
  <dcterms:modified xsi:type="dcterms:W3CDTF">2024-03-19T12:37:00Z</dcterms:modified>
</cp:coreProperties>
</file>