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ECBC9" w14:textId="77777777" w:rsidR="00BB1A10" w:rsidRPr="00E3798A" w:rsidRDefault="00BB1A10" w:rsidP="00BB1A10">
      <w:pPr>
        <w:pStyle w:val="Heading2"/>
        <w:shd w:val="clear" w:color="auto" w:fill="FFFFFF"/>
        <w:spacing w:before="0"/>
        <w:jc w:val="center"/>
        <w:rPr>
          <w:rFonts w:cs="Times New Roman"/>
          <w:sz w:val="28"/>
          <w:szCs w:val="28"/>
        </w:rPr>
      </w:pPr>
      <w:r w:rsidRPr="00E3798A">
        <w:rPr>
          <w:rFonts w:cs="Times New Roman"/>
          <w:sz w:val="28"/>
          <w:szCs w:val="28"/>
        </w:rPr>
        <w:t>Graphical abstract</w:t>
      </w:r>
    </w:p>
    <w:p w14:paraId="7DCCDB72" w14:textId="77777777" w:rsidR="00BB1A10" w:rsidRPr="00EA6BCE" w:rsidRDefault="00BB1A10" w:rsidP="00BB1A10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5518CEBF" wp14:editId="18A54287">
            <wp:extent cx="4320000" cy="1480111"/>
            <wp:effectExtent l="0" t="0" r="4445" b="6350"/>
            <wp:docPr id="1912161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48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BA72A" w14:textId="77777777" w:rsidR="00BB1A10" w:rsidRPr="00EA6BCE" w:rsidRDefault="00BB1A10" w:rsidP="00BB1A10">
      <w:pPr>
        <w:rPr>
          <w:color w:val="FF0000"/>
          <w:lang w:val="en-US"/>
        </w:rPr>
      </w:pPr>
      <w:r w:rsidRPr="00305E14">
        <w:t xml:space="preserve">Micro flow catalysis </w:t>
      </w:r>
      <w:r>
        <w:t>is</w:t>
      </w:r>
      <w:r w:rsidRPr="00305E14">
        <w:t xml:space="preserve"> a cutting-edge approach with the potential to significantly advance chemical synthesis and manufacturing in terms of control, safety, efficiency, and scalability. However, a notable challenge in this field is </w:t>
      </w:r>
      <w:r>
        <w:t>developing</w:t>
      </w:r>
      <w:r w:rsidRPr="00305E14">
        <w:t xml:space="preserve"> heterogeneous catalysts with high activity and stability for micro-flow catalysis.</w:t>
      </w:r>
      <w:r>
        <w:t xml:space="preserve"> </w:t>
      </w:r>
      <w:r w:rsidRPr="00305E14">
        <w:t xml:space="preserve">Here we showcase </w:t>
      </w:r>
      <w:r>
        <w:t>incorporating</w:t>
      </w:r>
      <w:r w:rsidRPr="00305E14">
        <w:t xml:space="preserve"> amine-containing metal-organic cages into automated microfluidic reactors through strong covalent bonds, enabling highly continuous flow catalysis</w:t>
      </w:r>
      <w:r w:rsidRPr="0093225C">
        <w:t>.</w:t>
      </w:r>
    </w:p>
    <w:p w14:paraId="085E42AD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A10"/>
    <w:rsid w:val="00110104"/>
    <w:rsid w:val="0021090F"/>
    <w:rsid w:val="00220E4E"/>
    <w:rsid w:val="003A76DF"/>
    <w:rsid w:val="00BB1A10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E5D55"/>
  <w15:chartTrackingRefBased/>
  <w15:docId w15:val="{DEEAA1DE-0924-4D4A-B31B-271781E7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A10"/>
    <w:pPr>
      <w:spacing w:after="0" w:line="480" w:lineRule="auto"/>
      <w:jc w:val="both"/>
    </w:pPr>
    <w:rPr>
      <w:rFonts w:ascii="Times New Roman" w:eastAsiaTheme="minorEastAsia" w:hAnsi="Times New Roman"/>
      <w:kern w:val="0"/>
      <w:sz w:val="24"/>
      <w:lang w:val="en-GB" w:eastAsia="zh-C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1A10"/>
    <w:pPr>
      <w:keepNext/>
      <w:keepLines/>
      <w:spacing w:before="4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B1A10"/>
    <w:rPr>
      <w:rFonts w:ascii="Times New Roman" w:eastAsiaTheme="majorEastAsia" w:hAnsi="Times New Roman" w:cstheme="majorBidi"/>
      <w:b/>
      <w:kern w:val="0"/>
      <w:sz w:val="24"/>
      <w:szCs w:val="26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Springer Nature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2024-03-12T09:52:00Z</dcterms:created>
  <dcterms:modified xsi:type="dcterms:W3CDTF">2024-03-12T09:52:00Z</dcterms:modified>
</cp:coreProperties>
</file>