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FAF0A" w14:textId="242BAA39" w:rsidR="006E1728" w:rsidRDefault="00D743CC" w:rsidP="006E1728">
      <w:r w:rsidRPr="00D743CC">
        <w:t>Supplementary data</w:t>
      </w:r>
      <w:r w:rsidR="006E1728">
        <w:t xml:space="preserve"> of </w:t>
      </w:r>
    </w:p>
    <w:p w14:paraId="570C585D" w14:textId="077A7926" w:rsidR="009B5417" w:rsidRDefault="00031AAE" w:rsidP="00E628C2">
      <w:pPr>
        <w:spacing w:before="600"/>
        <w:rPr>
          <w:rFonts w:cs="Times New Roman"/>
          <w:b/>
          <w:szCs w:val="24"/>
        </w:rPr>
      </w:pPr>
      <w:r w:rsidRPr="00031AAE">
        <w:rPr>
          <w:rFonts w:cs="Times New Roman"/>
          <w:b/>
          <w:szCs w:val="24"/>
        </w:rPr>
        <w:t xml:space="preserve">Causal </w:t>
      </w:r>
      <w:r w:rsidR="00C051E1" w:rsidRPr="00C051E1">
        <w:rPr>
          <w:rFonts w:cs="Times New Roman"/>
          <w:b/>
          <w:szCs w:val="24"/>
        </w:rPr>
        <w:t>interactions</w:t>
      </w:r>
      <w:r w:rsidRPr="00031AAE">
        <w:rPr>
          <w:rFonts w:cs="Times New Roman"/>
          <w:b/>
          <w:szCs w:val="24"/>
        </w:rPr>
        <w:t xml:space="preserve"> between ENSO and the North Tropical Atlantic </w:t>
      </w:r>
    </w:p>
    <w:p w14:paraId="25A1235A" w14:textId="77777777" w:rsidR="0017565D" w:rsidRDefault="0017565D" w:rsidP="0017565D">
      <w:pPr>
        <w:rPr>
          <w:sz w:val="28"/>
          <w:szCs w:val="28"/>
        </w:rPr>
      </w:pPr>
      <w:bookmarkStart w:id="0" w:name="_Hlk37753351"/>
    </w:p>
    <w:p w14:paraId="1CCD771B" w14:textId="04A0BDE1" w:rsidR="0017565D" w:rsidRPr="009F486E" w:rsidRDefault="0017565D" w:rsidP="0017565D">
      <w:pPr>
        <w:rPr>
          <w:sz w:val="28"/>
          <w:szCs w:val="28"/>
          <w:vertAlign w:val="superscript"/>
        </w:rPr>
      </w:pPr>
      <w:r w:rsidRPr="009F486E">
        <w:rPr>
          <w:sz w:val="28"/>
          <w:szCs w:val="28"/>
        </w:rPr>
        <w:t>Thanh Le</w:t>
      </w:r>
      <w:r w:rsidRPr="009F486E">
        <w:rPr>
          <w:sz w:val="28"/>
          <w:szCs w:val="28"/>
          <w:vertAlign w:val="superscript"/>
        </w:rPr>
        <w:t>1,2</w:t>
      </w:r>
      <w:r w:rsidRPr="009F486E">
        <w:rPr>
          <w:sz w:val="28"/>
          <w:szCs w:val="28"/>
          <w:vertAlign w:val="superscript"/>
        </w:rPr>
        <w:sym w:font="Wingdings 2" w:char="F0E9"/>
      </w:r>
      <w:r w:rsidRPr="009F486E">
        <w:rPr>
          <w:sz w:val="28"/>
          <w:szCs w:val="28"/>
        </w:rPr>
        <w:t xml:space="preserve"> and Deg-Hyo Bae</w:t>
      </w:r>
      <w:r w:rsidRPr="009F486E">
        <w:rPr>
          <w:sz w:val="28"/>
          <w:szCs w:val="28"/>
          <w:vertAlign w:val="superscript"/>
        </w:rPr>
        <w:t>2</w:t>
      </w:r>
      <w:r w:rsidRPr="009F486E">
        <w:rPr>
          <w:sz w:val="28"/>
          <w:szCs w:val="28"/>
          <w:vertAlign w:val="superscript"/>
        </w:rPr>
        <w:sym w:font="Wingdings 2" w:char="F0E9"/>
      </w:r>
    </w:p>
    <w:p w14:paraId="115F0560" w14:textId="77777777" w:rsidR="0017565D" w:rsidRPr="0023626A" w:rsidRDefault="0017565D" w:rsidP="0017565D">
      <w:r>
        <w:rPr>
          <w:vertAlign w:val="superscript"/>
        </w:rPr>
        <w:t>1</w:t>
      </w:r>
      <w:r w:rsidRPr="0023626A">
        <w:t>Key Laboratory of Meteorological Disaster, Ministry of Education (KLME)/Collaborative Innovation Center on Forecast and Evaluation of Meteorological Disasters (CIC-FEMD), Nanjing University of Information Science and Technology, Nanjing 210044, China</w:t>
      </w:r>
    </w:p>
    <w:p w14:paraId="055E010E" w14:textId="77777777" w:rsidR="0017565D" w:rsidRPr="00130F81" w:rsidRDefault="0017565D" w:rsidP="0017565D">
      <w:r>
        <w:rPr>
          <w:vertAlign w:val="superscript"/>
        </w:rPr>
        <w:t>2</w:t>
      </w:r>
      <w:r w:rsidRPr="00130F81">
        <w:t>Department of Civil and Environmental Engineering, Sejong University, Seoul 05006, Republic of Korea</w:t>
      </w:r>
      <w:r w:rsidRPr="00130F81" w:rsidDel="00C44D30">
        <w:t xml:space="preserve"> </w:t>
      </w:r>
    </w:p>
    <w:p w14:paraId="7BD63705" w14:textId="7D8B6C55" w:rsidR="0017565D" w:rsidRPr="00130F81" w:rsidRDefault="0017565D" w:rsidP="0017565D">
      <w:r w:rsidRPr="00130F81">
        <w:rPr>
          <w:sz w:val="28"/>
          <w:szCs w:val="28"/>
          <w:vertAlign w:val="superscript"/>
        </w:rPr>
        <w:sym w:font="Wingdings 2" w:char="F0E9"/>
      </w:r>
      <w:r w:rsidRPr="00130F81">
        <w:t xml:space="preserve">Corresponding author(s): </w:t>
      </w:r>
      <w:r w:rsidRPr="003118C3">
        <w:t>Thanh</w:t>
      </w:r>
      <w:r>
        <w:t xml:space="preserve"> </w:t>
      </w:r>
      <w:r w:rsidRPr="003118C3">
        <w:t>Le</w:t>
      </w:r>
      <w:r w:rsidRPr="00130F81">
        <w:t xml:space="preserve"> (</w:t>
      </w:r>
      <w:hyperlink r:id="rId8" w:history="1">
        <w:r w:rsidRPr="00217741">
          <w:rPr>
            <w:rStyle w:val="Hyperlink"/>
          </w:rPr>
          <w:t>levinhthanh.lvt@gmail.com</w:t>
        </w:r>
      </w:hyperlink>
      <w:r w:rsidRPr="00130F81">
        <w:t>) and Deg-Hyo Bae (</w:t>
      </w:r>
      <w:hyperlink r:id="rId9" w:history="1">
        <w:r w:rsidRPr="00130F81">
          <w:rPr>
            <w:rStyle w:val="Hyperlink"/>
          </w:rPr>
          <w:t>dhbae@sejong.ac.kr</w:t>
        </w:r>
      </w:hyperlink>
      <w:r w:rsidRPr="00130F81">
        <w:t>)</w:t>
      </w:r>
    </w:p>
    <w:bookmarkEnd w:id="0"/>
    <w:p w14:paraId="13B9BCB0" w14:textId="31585BF9" w:rsidR="003B23EA" w:rsidRPr="000E034B" w:rsidRDefault="003B23EA" w:rsidP="003B23EA">
      <w:pPr>
        <w:spacing w:before="100" w:beforeAutospacing="1" w:after="100" w:afterAutospacing="1"/>
        <w:jc w:val="center"/>
        <w:rPr>
          <w:rFonts w:cs="Times New Roman"/>
          <w:szCs w:val="24"/>
        </w:rPr>
      </w:pPr>
    </w:p>
    <w:p w14:paraId="578870B8" w14:textId="77777777" w:rsidR="003B23EA" w:rsidRPr="000E034B" w:rsidRDefault="003B23EA" w:rsidP="003B23EA">
      <w:pPr>
        <w:spacing w:before="100" w:beforeAutospacing="1" w:after="100" w:afterAutospacing="1"/>
        <w:jc w:val="center"/>
        <w:rPr>
          <w:rFonts w:cs="Times New Roman"/>
          <w:szCs w:val="24"/>
        </w:rPr>
      </w:pPr>
    </w:p>
    <w:p w14:paraId="2859394F" w14:textId="25F0DB3A" w:rsidR="003B23EA" w:rsidRPr="000E034B" w:rsidRDefault="003B23EA" w:rsidP="003B23EA">
      <w:pPr>
        <w:rPr>
          <w:rFonts w:cs="Times New Roman"/>
          <w:b/>
          <w:szCs w:val="24"/>
        </w:rPr>
      </w:pPr>
      <w:r w:rsidRPr="000E034B">
        <w:rPr>
          <w:rFonts w:cs="Times New Roman"/>
          <w:b/>
          <w:szCs w:val="24"/>
        </w:rPr>
        <w:t xml:space="preserve">Contents of this </w:t>
      </w:r>
      <w:r w:rsidR="00D743CC" w:rsidRPr="00D743CC">
        <w:rPr>
          <w:rFonts w:cs="Times New Roman"/>
          <w:b/>
          <w:szCs w:val="24"/>
        </w:rPr>
        <w:t>Supplementary data</w:t>
      </w:r>
    </w:p>
    <w:p w14:paraId="01F845D9" w14:textId="77777777" w:rsidR="003B23EA" w:rsidRPr="000E034B" w:rsidRDefault="003B23EA" w:rsidP="003B23EA">
      <w:pPr>
        <w:rPr>
          <w:rFonts w:cs="Times New Roman"/>
          <w:szCs w:val="24"/>
        </w:rPr>
      </w:pPr>
    </w:p>
    <w:p w14:paraId="2C9C4783" w14:textId="30F98236" w:rsidR="003B23EA" w:rsidRDefault="003B23EA" w:rsidP="003B23EA">
      <w:pPr>
        <w:ind w:left="720"/>
        <w:rPr>
          <w:rFonts w:cs="Times New Roman"/>
          <w:szCs w:val="24"/>
        </w:rPr>
      </w:pPr>
      <w:r w:rsidRPr="008262F1">
        <w:rPr>
          <w:rFonts w:cs="Times New Roman"/>
          <w:szCs w:val="24"/>
        </w:rPr>
        <w:t>T</w:t>
      </w:r>
      <w:r w:rsidR="002D3F0B">
        <w:rPr>
          <w:rFonts w:cs="Times New Roman"/>
          <w:szCs w:val="24"/>
        </w:rPr>
        <w:t>ext</w:t>
      </w:r>
      <w:r w:rsidRPr="008262F1">
        <w:rPr>
          <w:rFonts w:cs="Times New Roman"/>
          <w:szCs w:val="24"/>
        </w:rPr>
        <w:t xml:space="preserve"> S1 </w:t>
      </w:r>
    </w:p>
    <w:p w14:paraId="496333CB" w14:textId="1470FDDB" w:rsidR="002D3F0B" w:rsidRDefault="002D3F0B" w:rsidP="002D3F0B">
      <w:pPr>
        <w:ind w:left="720"/>
        <w:rPr>
          <w:rFonts w:cs="Times New Roman"/>
          <w:szCs w:val="24"/>
        </w:rPr>
      </w:pPr>
      <w:r w:rsidRPr="008262F1">
        <w:rPr>
          <w:rFonts w:cs="Times New Roman"/>
          <w:szCs w:val="24"/>
        </w:rPr>
        <w:t xml:space="preserve">Table S1 </w:t>
      </w:r>
    </w:p>
    <w:p w14:paraId="0270307B" w14:textId="47894C60" w:rsidR="003B23EA" w:rsidRDefault="003B23EA" w:rsidP="003B23EA">
      <w:pPr>
        <w:ind w:left="720"/>
        <w:rPr>
          <w:rFonts w:cs="Times New Roman"/>
          <w:szCs w:val="24"/>
        </w:rPr>
      </w:pPr>
      <w:r w:rsidRPr="000E034B">
        <w:rPr>
          <w:rFonts w:cs="Times New Roman"/>
          <w:szCs w:val="24"/>
        </w:rPr>
        <w:t>Figures S1</w:t>
      </w:r>
    </w:p>
    <w:p w14:paraId="61234F4B" w14:textId="13FAC8B0" w:rsidR="002D3F0B" w:rsidRDefault="002D3F0B" w:rsidP="002D3F0B">
      <w:pPr>
        <w:pStyle w:val="Heading1"/>
        <w:pageBreakBefore/>
        <w:numPr>
          <w:ilvl w:val="0"/>
          <w:numId w:val="0"/>
        </w:numPr>
        <w:ind w:left="432" w:hanging="432"/>
      </w:pPr>
      <w:r w:rsidRPr="008262F1">
        <w:lastRenderedPageBreak/>
        <w:t>T</w:t>
      </w:r>
      <w:r>
        <w:t>ext</w:t>
      </w:r>
      <w:r w:rsidRPr="008262F1">
        <w:t xml:space="preserve"> S1 </w:t>
      </w:r>
    </w:p>
    <w:p w14:paraId="1C238A64" w14:textId="7883B91D" w:rsidR="006C7AD7" w:rsidRDefault="00982234" w:rsidP="00EC72F0">
      <w:pPr>
        <w:pStyle w:val="Methods"/>
      </w:pPr>
      <w:r w:rsidRPr="0015269B">
        <w:t xml:space="preserve">The </w:t>
      </w:r>
      <w:r w:rsidR="004C4E57">
        <w:t>North Tropical Atlantic index (NTA)</w:t>
      </w:r>
      <w:r w:rsidRPr="0015269B">
        <w:t xml:space="preserve"> was given as the </w:t>
      </w:r>
      <w:r w:rsidR="00EC72F0" w:rsidRPr="0015269B">
        <w:t>average sea surface temperature (SST) anomalies in the</w:t>
      </w:r>
      <w:r w:rsidRPr="0015269B">
        <w:t xml:space="preserve"> boreal </w:t>
      </w:r>
      <w:r w:rsidR="00A11853">
        <w:t>spring</w:t>
      </w:r>
      <w:r w:rsidRPr="0015269B">
        <w:t xml:space="preserve"> (</w:t>
      </w:r>
      <w:r w:rsidR="00A11853">
        <w:t>March-April-May</w:t>
      </w:r>
      <w:r w:rsidR="00847CD8">
        <w:t xml:space="preserve">, </w:t>
      </w:r>
      <w:r w:rsidR="00A11853">
        <w:t>MAM</w:t>
      </w:r>
      <w:r w:rsidRPr="0015269B">
        <w:t>)</w:t>
      </w:r>
      <w:r w:rsidR="00EC72F0">
        <w:t xml:space="preserve"> over the North Tropical Atlantic region </w:t>
      </w:r>
      <w:r w:rsidR="00EC72F0" w:rsidRPr="0015269B">
        <w:t>(</w:t>
      </w:r>
      <w:r w:rsidR="00EC72F0">
        <w:t>90</w:t>
      </w:r>
      <w:r w:rsidR="00EC72F0" w:rsidRPr="0015269B">
        <w:t>°</w:t>
      </w:r>
      <w:r w:rsidR="00EC72F0">
        <w:t>W</w:t>
      </w:r>
      <w:r w:rsidR="00EC72F0" w:rsidRPr="0015269B">
        <w:t>–</w:t>
      </w:r>
      <w:r w:rsidR="00EC72F0">
        <w:t>2</w:t>
      </w:r>
      <w:r w:rsidR="00EC72F0" w:rsidRPr="0015269B">
        <w:t>0°</w:t>
      </w:r>
      <w:r w:rsidR="00EC72F0">
        <w:t>E</w:t>
      </w:r>
      <w:r w:rsidR="00EC72F0" w:rsidRPr="0015269B">
        <w:t xml:space="preserve">; </w:t>
      </w:r>
      <w:r w:rsidR="00EC72F0">
        <w:t>0</w:t>
      </w:r>
      <w:r w:rsidR="00EC72F0" w:rsidRPr="0015269B">
        <w:t>°N–</w:t>
      </w:r>
      <w:r w:rsidR="00EC72F0">
        <w:t>1</w:t>
      </w:r>
      <w:r w:rsidR="00EC72F0" w:rsidRPr="0015269B">
        <w:t>5°</w:t>
      </w:r>
      <w:r w:rsidR="00EC72F0">
        <w:t>N</w:t>
      </w:r>
      <w:r w:rsidR="00EC72F0" w:rsidRPr="0015269B">
        <w:t>)</w:t>
      </w:r>
      <w:r w:rsidRPr="0015269B">
        <w:t xml:space="preserve">. The ENSO index was computed as the average SST anomalies in the Niño 3.4 area (120–170°W; 5°N–5°S) </w:t>
      </w:r>
      <w:r>
        <w:t>in</w:t>
      </w:r>
      <w:r w:rsidRPr="0015269B">
        <w:t xml:space="preserve"> boreal winter (</w:t>
      </w:r>
      <w:bookmarkStart w:id="1" w:name="_Hlk49100511"/>
      <w:r w:rsidRPr="0015269B">
        <w:t>December–January–February</w:t>
      </w:r>
      <w:bookmarkEnd w:id="1"/>
      <w:r w:rsidR="00847CD8">
        <w:t>, DJF</w:t>
      </w:r>
      <w:r w:rsidRPr="0015269B">
        <w:t>).</w:t>
      </w:r>
      <w:r>
        <w:t xml:space="preserve"> </w:t>
      </w:r>
      <w:r w:rsidR="006C7AD7">
        <w:t>Confounding factors (i.e., the Indian Ocean Dipole</w:t>
      </w:r>
      <w:r w:rsidR="006C7AD7" w:rsidRPr="00047963">
        <w:t xml:space="preserve"> (</w:t>
      </w:r>
      <w:r w:rsidR="006C7AD7">
        <w:t>IOD</w:t>
      </w:r>
      <w:r w:rsidR="006C7AD7" w:rsidRPr="00047963">
        <w:t>)</w:t>
      </w:r>
      <w:r w:rsidR="006C7AD7" w:rsidRPr="005F4DD8">
        <w:t xml:space="preserve"> and the </w:t>
      </w:r>
      <w:r w:rsidR="006C7AD7">
        <w:t>Indian Ocean</w:t>
      </w:r>
      <w:r w:rsidR="006C7AD7" w:rsidRPr="00E1588F">
        <w:t xml:space="preserve"> </w:t>
      </w:r>
      <w:r w:rsidR="006C7AD7">
        <w:t xml:space="preserve">Basin </w:t>
      </w:r>
      <w:r w:rsidR="006C7AD7" w:rsidRPr="00E1588F">
        <w:t xml:space="preserve">mode </w:t>
      </w:r>
      <w:r w:rsidR="006C7AD7">
        <w:t xml:space="preserve">(IOB)) may have effects on the connections between NTA and ENSO. </w:t>
      </w:r>
      <w:r w:rsidR="006C7AD7" w:rsidRPr="0015269B">
        <w:t xml:space="preserve">The </w:t>
      </w:r>
      <w:r w:rsidR="006C7AD7">
        <w:t xml:space="preserve">IOD index </w:t>
      </w:r>
      <w:r w:rsidR="006C7AD7" w:rsidRPr="0015269B">
        <w:fldChar w:fldCharType="begin" w:fldLock="1"/>
      </w:r>
      <w:r w:rsidR="003B2455">
        <w:instrText>ADDIN CSL_CITATION {"citationItems":[{"id":"ITEM-1","itemData":{"DOI":"10.1038/43854","ISSN":"0028-0836","author":[{"dropping-particle":"","family":"Saji","given":"N H","non-dropping-particle":"","parse-names":false,"suffix":""},{"dropping-particle":"","family":"Goswami","given":"B. N.","non-dropping-particle":"","parse-names":false,"suffix":""},{"dropping-particle":"","family":"Vinayachandran","given":"P N","non-dropping-particle":"","parse-names":false,"suffix":""},{"dropping-particle":"","family":"Yamagata","given":"T.","non-dropping-particle":"","parse-names":false,"suffix":""}],"container-title":"Nature","id":"ITEM-1","issue":"6751","issued":{"date-parts":[["1999","9"]]},"page":"360-363","title":"A dipole mode in the tropical Indian Ocean","type":"article-journal","volume":"401"},"uris":["http://www.mendeley.com/documents/?uuid=c81ac08c-5395-44fa-9838-4ee9abec4b51"]}],"mendeley":{"formattedCitation":"(Saji &lt;i&gt;et al&lt;/i&gt; 1999)","plainTextFormattedCitation":"(Saji et al 1999)","previouslyFormattedCitation":"(Saji &lt;i&gt;et al&lt;/i&gt; 1999)"},"properties":{"noteIndex":0},"schema":"https://github.com/citation-style-language/schema/raw/master/csl-citation.json"}</w:instrText>
      </w:r>
      <w:r w:rsidR="006C7AD7" w:rsidRPr="0015269B">
        <w:fldChar w:fldCharType="separate"/>
      </w:r>
      <w:r w:rsidR="003B2455" w:rsidRPr="003B2455">
        <w:rPr>
          <w:noProof/>
        </w:rPr>
        <w:t xml:space="preserve">(Saji </w:t>
      </w:r>
      <w:r w:rsidR="003B2455" w:rsidRPr="003B2455">
        <w:rPr>
          <w:i/>
          <w:noProof/>
        </w:rPr>
        <w:t>et al</w:t>
      </w:r>
      <w:r w:rsidR="003B2455" w:rsidRPr="003B2455">
        <w:rPr>
          <w:noProof/>
        </w:rPr>
        <w:t xml:space="preserve"> 1999)</w:t>
      </w:r>
      <w:r w:rsidR="006C7AD7" w:rsidRPr="0015269B">
        <w:fldChar w:fldCharType="end"/>
      </w:r>
      <w:r w:rsidR="006C7AD7" w:rsidRPr="0015269B">
        <w:t xml:space="preserve"> was given as the difference in boreal fall (September–October–November</w:t>
      </w:r>
      <w:r w:rsidR="006C7AD7">
        <w:t>, SON</w:t>
      </w:r>
      <w:r w:rsidR="006C7AD7" w:rsidRPr="0015269B">
        <w:t>) sea surface temperature (SST) anomalies between two Indian Ocean regions of the western pole (50–70°E; 10°N–10°S) and southeastern pole (90–110°E; 0°N–10°S).</w:t>
      </w:r>
      <w:r w:rsidR="006C7AD7">
        <w:t xml:space="preserve"> The IOB index is computed as the </w:t>
      </w:r>
      <w:r w:rsidR="006C7AD7" w:rsidRPr="0015269B">
        <w:t xml:space="preserve">first empirical orthogonal function </w:t>
      </w:r>
      <w:r w:rsidR="006C7AD7" w:rsidRPr="00912662">
        <w:t xml:space="preserve">(EOF) of </w:t>
      </w:r>
      <w:r w:rsidR="006C7AD7">
        <w:t>boreal spring (MAM)</w:t>
      </w:r>
      <w:r w:rsidR="006C7AD7" w:rsidRPr="00912662">
        <w:t xml:space="preserve"> </w:t>
      </w:r>
      <w:r w:rsidR="006C7AD7">
        <w:t xml:space="preserve">SST </w:t>
      </w:r>
      <w:r w:rsidR="006C7AD7" w:rsidRPr="00912662">
        <w:t xml:space="preserve">anomalies in the </w:t>
      </w:r>
      <w:r w:rsidR="006C7AD7" w:rsidRPr="0015269B">
        <w:t>Indian Ocean</w:t>
      </w:r>
      <w:r w:rsidR="006C7AD7">
        <w:t xml:space="preserve"> basin</w:t>
      </w:r>
      <w:r w:rsidR="006C7AD7" w:rsidRPr="00912662">
        <w:t xml:space="preserve"> (</w:t>
      </w:r>
      <w:r w:rsidR="006C7AD7">
        <w:t>4</w:t>
      </w:r>
      <w:r w:rsidR="006C7AD7" w:rsidRPr="00912662">
        <w:t>0º</w:t>
      </w:r>
      <w:r w:rsidR="006C7AD7">
        <w:t>E</w:t>
      </w:r>
      <w:r w:rsidR="006C7AD7" w:rsidRPr="00912662">
        <w:t>-</w:t>
      </w:r>
      <w:r w:rsidR="006C7AD7">
        <w:t>12</w:t>
      </w:r>
      <w:r w:rsidR="006C7AD7" w:rsidRPr="00912662">
        <w:t>0ºE</w:t>
      </w:r>
      <w:r w:rsidR="006C7AD7">
        <w:t xml:space="preserve">, </w:t>
      </w:r>
      <w:r w:rsidR="006C7AD7" w:rsidRPr="00912662">
        <w:t>20º</w:t>
      </w:r>
      <w:r w:rsidR="006C7AD7">
        <w:t>N</w:t>
      </w:r>
      <w:r w:rsidR="006C7AD7" w:rsidRPr="00912662">
        <w:t>-</w:t>
      </w:r>
      <w:r w:rsidR="006C7AD7">
        <w:t>2</w:t>
      </w:r>
      <w:r w:rsidR="006C7AD7" w:rsidRPr="00912662">
        <w:t>0º</w:t>
      </w:r>
      <w:r w:rsidR="006C7AD7">
        <w:t>S</w:t>
      </w:r>
      <w:r w:rsidR="006C7AD7" w:rsidRPr="00912662">
        <w:t>)</w:t>
      </w:r>
      <w:r w:rsidR="006C7AD7">
        <w:t>.</w:t>
      </w:r>
    </w:p>
    <w:p w14:paraId="74CDD576" w14:textId="3E1AA78E" w:rsidR="002D3F0B" w:rsidRDefault="002D3F0B" w:rsidP="00EC72F0">
      <w:pPr>
        <w:pStyle w:val="Methods"/>
      </w:pPr>
      <w:r>
        <w:t xml:space="preserve">We use the following multivariate predictive model </w:t>
      </w:r>
      <w:r>
        <w:fldChar w:fldCharType="begin" w:fldLock="1"/>
      </w:r>
      <w:r w:rsidR="003B2455">
        <w:instrText>ADDIN CSL_CITATION {"citationItems":[{"id":"ITEM-1","itemData":{"DOI":"10.1007/s10584-013-1007-x","ISSN":"0165-0009","author":[{"dropping-particle":"","family":"Stern","given":"David I.","non-dropping-particle":"","parse-names":false,"suffix":""},{"dropping-particle":"","family":"Kaufmann","given":"Robert K.","non-dropping-particle":"","parse-names":false,"suffix":""}],"container-title":"Climatic Change","id":"ITEM-1","issue":"1-2","issued":{"date-parts":[["2013","11","20"]]},"page":"257-269","title":"Anthropogenic and natural causes of climate change","type":"article-journal","volume":"122"},"uris":["http://www.mendeley.com/documents/?uuid=2f95d3a2-0523-4e47-ab6f-9ae06d061085"]},{"id":"ITEM-2","itemData":{"DOI":"10.1175/JCLI3653.1","ISSN":"0894-8755","abstract":"This study uses a Granger causality time series modeling approach to quantitatively diagnose the feedback of daily sea surface temperatures (SSTs) on daily values of the North Atlantic Oscillation (NAO) as simulated by a realistic coupled general circulation model (GCM). Bivariate vector autoregressive time series models are carefully fitted to daily wintertime SST and NAO time series produced by a 50-yr simulation of the Third Hadley Centre Coupled Ocean–Atmosphere GCM (HadCM3). The approach demonstrates that there is a small yet statistically significant feedback of SSTs on the NAO. The SST tripole index is found to provide additional predictive information for the NAO than that available by using only past values of NAO—the SST tripole is Granger causal for the NAO. Careful examination of local SSTs reveals that much of this effect is due to the effect of SSTs in the region of the Gulf Steam, especially south of Cape Hatteras. The effect of SSTs on NAO is responsible for the slower-than-exponential decay in lag-autocorrelations of NAO notable at lags longer than 10 days. The persistence induced in daily NAO by SSTs causes long-term means of NAO to have more variance than expected from averaging NAO noise if there is no feedback of the ocean on the atmosphere. There are greater long-term trends in NAO than can be expected from aggregating just short-term atmospheric noise, and NAO is potentially predictable provided that future SSTs are known. For example, there is about 10%–30% more variance in seasonal wintertime means of NAO and almost 70% more variance in annual means of NAO due to SST effects than one would expect if NAO were a purely atmospheric process.","author":[{"dropping-particle":"","family":"Mosedale","given":"Timothy J.","non-dropping-particle":"","parse-names":false,"suffix":""},{"dropping-particle":"","family":"Stephenson","given":"David B.","non-dropping-particle":"","parse-names":false,"suffix":""},{"dropping-particle":"","family":"Collins","given":"Matthew","non-dropping-particle":"","parse-names":false,"suffix":""},{"dropping-particle":"","family":"Mills","given":"Terence C.","non-dropping-particle":"","parse-names":false,"suffix":""}],"container-title":"Journal of Climate","id":"ITEM-2","issue":"7","issued":{"date-parts":[["2006","4"]]},"page":"1182-1194","title":"Granger Causality of Coupled Climate Processes: Ocean Feedback on the North Atlantic Oscillation","type":"article-journal","volume":"19"},"uris":["http://www.mendeley.com/documents/?uuid=5910438a-7269-4f97-8886-3c29702d746c"]}],"mendeley":{"formattedCitation":"(Stern and Kaufmann 2013, Mosedale &lt;i&gt;et al&lt;/i&gt; 2006)","manualFormatting":"(e.g., Stern and Kaufmann 2013, Mosedale et al 2006)","plainTextFormattedCitation":"(Stern and Kaufmann 2013, Mosedale et al 2006)","previouslyFormattedCitation":"(Stern and Kaufmann 2013, Mosedale &lt;i&gt;et al&lt;/i&gt; 2006)"},"properties":{"noteIndex":0},"schema":"https://github.com/citation-style-language/schema/raw/master/csl-citation.json"}</w:instrText>
      </w:r>
      <w:r>
        <w:fldChar w:fldCharType="separate"/>
      </w:r>
      <w:r w:rsidRPr="000C6F1E">
        <w:rPr>
          <w:noProof/>
        </w:rPr>
        <w:t>(</w:t>
      </w:r>
      <w:r>
        <w:rPr>
          <w:noProof/>
        </w:rPr>
        <w:t xml:space="preserve">e.g., </w:t>
      </w:r>
      <w:r w:rsidRPr="000C6F1E">
        <w:rPr>
          <w:noProof/>
        </w:rPr>
        <w:t xml:space="preserve">Stern and Kaufmann 2013, Mosedale </w:t>
      </w:r>
      <w:r w:rsidRPr="000C6F1E">
        <w:rPr>
          <w:i/>
          <w:noProof/>
        </w:rPr>
        <w:t>et al</w:t>
      </w:r>
      <w:r w:rsidRPr="000C6F1E">
        <w:rPr>
          <w:noProof/>
        </w:rPr>
        <w:t xml:space="preserve"> 2006)</w:t>
      </w:r>
      <w:r>
        <w:fldChar w:fldCharType="end"/>
      </w:r>
      <w:r>
        <w:t xml:space="preserve"> to estimate the causal link</w:t>
      </w:r>
      <w:r w:rsidR="002E36E4">
        <w:t>s</w:t>
      </w:r>
      <w:r>
        <w:t xml:space="preserve"> between </w:t>
      </w:r>
      <w:r w:rsidR="00C6412D">
        <w:t xml:space="preserve">the </w:t>
      </w:r>
      <w:r w:rsidR="004C4E57">
        <w:t>NTA</w:t>
      </w:r>
      <w:r>
        <w:t xml:space="preserve"> and ENSO:</w:t>
      </w:r>
      <w:r w:rsidRPr="00721CE8">
        <w:t xml:space="preserve"> </w:t>
      </w:r>
    </w:p>
    <w:p w14:paraId="1782F77F" w14:textId="77E2E965" w:rsidR="002D3F0B" w:rsidRDefault="00000000" w:rsidP="008F431D">
      <w:pPr>
        <w:pStyle w:val="Caption"/>
      </w:pPr>
      <m:oMath>
        <m:sSub>
          <m:sSubPr>
            <m:ctrlPr>
              <w:rPr>
                <w:rFonts w:ascii="Cambria Math" w:hAnsi="Cambria Math"/>
                <w:i/>
                <w:color w:val="auto"/>
                <w:sz w:val="24"/>
                <w:szCs w:val="24"/>
              </w:rPr>
            </m:ctrlPr>
          </m:sSubPr>
          <m:e>
            <m:r>
              <m:rPr>
                <m:sty m:val="bi"/>
              </m:rPr>
              <w:rPr>
                <w:rFonts w:ascii="Cambria Math"/>
                <w:color w:val="auto"/>
                <w:sz w:val="24"/>
                <w:szCs w:val="24"/>
              </w:rPr>
              <m:t>X</m:t>
            </m:r>
          </m:e>
          <m:sub>
            <m:r>
              <m:rPr>
                <m:sty m:val="bi"/>
              </m:rPr>
              <w:rPr>
                <w:rFonts w:ascii="Cambria Math"/>
                <w:color w:val="auto"/>
                <w:sz w:val="24"/>
                <w:szCs w:val="24"/>
              </w:rPr>
              <m:t>t</m:t>
            </m:r>
          </m:sub>
        </m:sSub>
        <m:r>
          <m:rPr>
            <m:sty m:val="bi"/>
          </m:rPr>
          <w:rPr>
            <w:rFonts w:ascii="Cambria Math"/>
            <w:color w:val="auto"/>
            <w:sz w:val="24"/>
            <w:szCs w:val="24"/>
          </w:rPr>
          <m:t>=</m:t>
        </m:r>
        <m:nary>
          <m:naryPr>
            <m:chr m:val="∑"/>
            <m:ctrlPr>
              <w:rPr>
                <w:rFonts w:ascii="Cambria Math" w:hAnsi="Cambria Math"/>
                <w:i/>
                <w:color w:val="auto"/>
                <w:sz w:val="24"/>
                <w:szCs w:val="24"/>
              </w:rPr>
            </m:ctrlPr>
          </m:naryPr>
          <m:sub>
            <m:r>
              <m:rPr>
                <m:sty m:val="bi"/>
              </m:rPr>
              <w:rPr>
                <w:rFonts w:ascii="Cambria Math"/>
                <w:color w:val="auto"/>
                <w:sz w:val="24"/>
                <w:szCs w:val="24"/>
              </w:rPr>
              <m:t>i=1</m:t>
            </m:r>
          </m:sub>
          <m:sup>
            <m:r>
              <m:rPr>
                <m:sty m:val="bi"/>
              </m:rPr>
              <w:rPr>
                <w:rFonts w:ascii="Cambria Math"/>
                <w:color w:val="auto"/>
                <w:sz w:val="24"/>
                <w:szCs w:val="24"/>
              </w:rPr>
              <m:t>p</m:t>
            </m:r>
          </m:sup>
          <m:e>
            <m:sSub>
              <m:sSubPr>
                <m:ctrlPr>
                  <w:rPr>
                    <w:rFonts w:ascii="Cambria Math" w:hAnsi="Cambria Math"/>
                    <w:i/>
                    <w:color w:val="auto"/>
                    <w:sz w:val="24"/>
                    <w:szCs w:val="24"/>
                  </w:rPr>
                </m:ctrlPr>
              </m:sSubPr>
              <m:e>
                <m:r>
                  <m:rPr>
                    <m:sty m:val="bi"/>
                  </m:rPr>
                  <w:rPr>
                    <w:rFonts w:ascii="Cambria Math"/>
                    <w:color w:val="auto"/>
                    <w:sz w:val="24"/>
                    <w:szCs w:val="24"/>
                  </w:rPr>
                  <m:t>α</m:t>
                </m:r>
              </m:e>
              <m:sub>
                <m:r>
                  <m:rPr>
                    <m:sty m:val="bi"/>
                  </m:rPr>
                  <w:rPr>
                    <w:rFonts w:ascii="Cambria Math"/>
                    <w:color w:val="auto"/>
                    <w:sz w:val="24"/>
                    <w:szCs w:val="24"/>
                  </w:rPr>
                  <m:t>i</m:t>
                </m:r>
              </m:sub>
            </m:sSub>
            <m:sSub>
              <m:sSubPr>
                <m:ctrlPr>
                  <w:rPr>
                    <w:rFonts w:ascii="Cambria Math" w:hAnsi="Cambria Math"/>
                    <w:i/>
                    <w:color w:val="auto"/>
                    <w:sz w:val="24"/>
                    <w:szCs w:val="24"/>
                  </w:rPr>
                </m:ctrlPr>
              </m:sSubPr>
              <m:e>
                <m:r>
                  <m:rPr>
                    <m:sty m:val="bi"/>
                  </m:rPr>
                  <w:rPr>
                    <w:rFonts w:ascii="Cambria Math"/>
                    <w:color w:val="auto"/>
                    <w:sz w:val="24"/>
                    <w:szCs w:val="24"/>
                  </w:rPr>
                  <m:t>X</m:t>
                </m:r>
              </m:e>
              <m:sub>
                <m:r>
                  <m:rPr>
                    <m:sty m:val="bi"/>
                  </m:rPr>
                  <w:rPr>
                    <w:rFonts w:ascii="Cambria Math"/>
                    <w:color w:val="auto"/>
                    <w:sz w:val="24"/>
                    <w:szCs w:val="24"/>
                  </w:rPr>
                  <m:t>t</m:t>
                </m:r>
                <m:r>
                  <m:rPr>
                    <m:sty m:val="bi"/>
                  </m:rPr>
                  <w:rPr>
                    <w:rFonts w:ascii="Cambria Math"/>
                    <w:color w:val="auto"/>
                    <w:sz w:val="24"/>
                    <w:szCs w:val="24"/>
                  </w:rPr>
                  <m:t>-</m:t>
                </m:r>
                <m:r>
                  <m:rPr>
                    <m:sty m:val="bi"/>
                  </m:rPr>
                  <w:rPr>
                    <w:rFonts w:ascii="Cambria Math"/>
                    <w:color w:val="auto"/>
                    <w:sz w:val="24"/>
                    <w:szCs w:val="24"/>
                  </w:rPr>
                  <m:t>i</m:t>
                </m:r>
              </m:sub>
            </m:sSub>
            <m:r>
              <m:rPr>
                <m:sty m:val="bi"/>
              </m:rPr>
              <w:rPr>
                <w:rFonts w:ascii="Cambria Math"/>
                <w:color w:val="auto"/>
                <w:sz w:val="24"/>
                <w:szCs w:val="24"/>
              </w:rPr>
              <m:t>+</m:t>
            </m:r>
          </m:e>
        </m:nary>
        <m:nary>
          <m:naryPr>
            <m:chr m:val="∑"/>
            <m:ctrlPr>
              <w:rPr>
                <w:rFonts w:ascii="Cambria Math" w:hAnsi="Cambria Math"/>
                <w:i/>
                <w:color w:val="auto"/>
                <w:sz w:val="24"/>
                <w:szCs w:val="24"/>
              </w:rPr>
            </m:ctrlPr>
          </m:naryPr>
          <m:sub>
            <m:r>
              <m:rPr>
                <m:sty m:val="bi"/>
              </m:rPr>
              <w:rPr>
                <w:rFonts w:ascii="Cambria Math"/>
                <w:color w:val="auto"/>
                <w:sz w:val="24"/>
                <w:szCs w:val="24"/>
              </w:rPr>
              <m:t>i=1</m:t>
            </m:r>
          </m:sub>
          <m:sup>
            <m:r>
              <m:rPr>
                <m:sty m:val="bi"/>
              </m:rPr>
              <w:rPr>
                <w:rFonts w:ascii="Cambria Math"/>
                <w:color w:val="auto"/>
                <w:sz w:val="24"/>
                <w:szCs w:val="24"/>
              </w:rPr>
              <m:t>p</m:t>
            </m:r>
          </m:sup>
          <m:e>
            <m:sSub>
              <m:sSubPr>
                <m:ctrlPr>
                  <w:rPr>
                    <w:rFonts w:ascii="Cambria Math" w:hAnsi="Cambria Math"/>
                    <w:i/>
                    <w:color w:val="auto"/>
                    <w:sz w:val="24"/>
                    <w:szCs w:val="24"/>
                  </w:rPr>
                </m:ctrlPr>
              </m:sSubPr>
              <m:e>
                <m:r>
                  <m:rPr>
                    <m:sty m:val="bi"/>
                  </m:rPr>
                  <w:rPr>
                    <w:rFonts w:ascii="Cambria Math"/>
                    <w:color w:val="auto"/>
                    <w:sz w:val="24"/>
                    <w:szCs w:val="24"/>
                  </w:rPr>
                  <m:t>β</m:t>
                </m:r>
              </m:e>
              <m:sub>
                <m:r>
                  <m:rPr>
                    <m:sty m:val="bi"/>
                  </m:rPr>
                  <w:rPr>
                    <w:rFonts w:ascii="Cambria Math"/>
                    <w:color w:val="auto"/>
                    <w:sz w:val="24"/>
                    <w:szCs w:val="24"/>
                  </w:rPr>
                  <m:t>i</m:t>
                </m:r>
              </m:sub>
            </m:sSub>
            <m:sSub>
              <m:sSubPr>
                <m:ctrlPr>
                  <w:rPr>
                    <w:rFonts w:ascii="Cambria Math" w:hAnsi="Cambria Math"/>
                    <w:i/>
                    <w:color w:val="auto"/>
                    <w:sz w:val="24"/>
                    <w:szCs w:val="24"/>
                  </w:rPr>
                </m:ctrlPr>
              </m:sSubPr>
              <m:e>
                <m:r>
                  <m:rPr>
                    <m:sty m:val="bi"/>
                  </m:rPr>
                  <w:rPr>
                    <w:rFonts w:ascii="Cambria Math"/>
                    <w:color w:val="auto"/>
                    <w:sz w:val="24"/>
                    <w:szCs w:val="24"/>
                  </w:rPr>
                  <m:t>Y</m:t>
                </m:r>
              </m:e>
              <m:sub>
                <m:r>
                  <m:rPr>
                    <m:sty m:val="bi"/>
                  </m:rPr>
                  <w:rPr>
                    <w:rFonts w:ascii="Cambria Math"/>
                    <w:color w:val="auto"/>
                    <w:sz w:val="24"/>
                    <w:szCs w:val="24"/>
                  </w:rPr>
                  <m:t>t</m:t>
                </m:r>
                <m:r>
                  <m:rPr>
                    <m:sty m:val="bi"/>
                  </m:rPr>
                  <w:rPr>
                    <w:rFonts w:ascii="Cambria Math"/>
                    <w:color w:val="auto"/>
                    <w:sz w:val="24"/>
                    <w:szCs w:val="24"/>
                  </w:rPr>
                  <m:t>-</m:t>
                </m:r>
                <m:r>
                  <m:rPr>
                    <m:sty m:val="bi"/>
                  </m:rPr>
                  <w:rPr>
                    <w:rFonts w:ascii="Cambria Math"/>
                    <w:color w:val="auto"/>
                    <w:sz w:val="24"/>
                    <w:szCs w:val="24"/>
                  </w:rPr>
                  <m:t>i</m:t>
                </m:r>
              </m:sub>
            </m:sSub>
            <m:r>
              <m:rPr>
                <m:sty m:val="bi"/>
              </m:rPr>
              <w:rPr>
                <w:rFonts w:ascii="Cambria Math"/>
                <w:color w:val="auto"/>
                <w:sz w:val="24"/>
                <w:szCs w:val="24"/>
              </w:rPr>
              <m:t>+</m:t>
            </m:r>
          </m:e>
        </m:nary>
        <m:nary>
          <m:naryPr>
            <m:chr m:val="∑"/>
            <m:ctrlPr>
              <w:rPr>
                <w:rFonts w:ascii="Cambria Math" w:hAnsi="Cambria Math"/>
                <w:i/>
                <w:color w:val="auto"/>
                <w:sz w:val="24"/>
                <w:szCs w:val="24"/>
              </w:rPr>
            </m:ctrlPr>
          </m:naryPr>
          <m:sub>
            <m:r>
              <m:rPr>
                <m:sty m:val="bi"/>
              </m:rPr>
              <w:rPr>
                <w:rFonts w:ascii="Cambria Math"/>
                <w:color w:val="auto"/>
                <w:sz w:val="24"/>
                <w:szCs w:val="24"/>
              </w:rPr>
              <m:t>j=1</m:t>
            </m:r>
          </m:sub>
          <m:sup>
            <m:r>
              <m:rPr>
                <m:sty m:val="bi"/>
              </m:rPr>
              <w:rPr>
                <w:rFonts w:ascii="Cambria Math"/>
                <w:color w:val="auto"/>
                <w:sz w:val="24"/>
                <w:szCs w:val="24"/>
              </w:rPr>
              <m:t>m</m:t>
            </m:r>
          </m:sup>
          <m:e>
            <m:nary>
              <m:naryPr>
                <m:chr m:val="∑"/>
                <m:ctrlPr>
                  <w:rPr>
                    <w:rFonts w:ascii="Cambria Math" w:hAnsi="Cambria Math"/>
                    <w:i/>
                    <w:color w:val="auto"/>
                    <w:sz w:val="24"/>
                    <w:szCs w:val="24"/>
                  </w:rPr>
                </m:ctrlPr>
              </m:naryPr>
              <m:sub>
                <m:r>
                  <m:rPr>
                    <m:sty m:val="bi"/>
                  </m:rPr>
                  <w:rPr>
                    <w:rFonts w:ascii="Cambria Math"/>
                    <w:color w:val="auto"/>
                    <w:sz w:val="24"/>
                    <w:szCs w:val="24"/>
                  </w:rPr>
                  <m:t>i=1</m:t>
                </m:r>
              </m:sub>
              <m:sup>
                <m:r>
                  <m:rPr>
                    <m:sty m:val="bi"/>
                  </m:rPr>
                  <w:rPr>
                    <w:rFonts w:ascii="Cambria Math"/>
                    <w:color w:val="auto"/>
                    <w:sz w:val="24"/>
                    <w:szCs w:val="24"/>
                  </w:rPr>
                  <m:t>p</m:t>
                </m:r>
              </m:sup>
              <m:e>
                <m:sSub>
                  <m:sSubPr>
                    <m:ctrlPr>
                      <w:rPr>
                        <w:rFonts w:ascii="Cambria Math" w:hAnsi="Cambria Math"/>
                        <w:i/>
                        <w:color w:val="auto"/>
                        <w:sz w:val="24"/>
                        <w:szCs w:val="24"/>
                      </w:rPr>
                    </m:ctrlPr>
                  </m:sSubPr>
                  <m:e>
                    <m:r>
                      <m:rPr>
                        <m:sty m:val="bi"/>
                      </m:rPr>
                      <w:rPr>
                        <w:rFonts w:ascii="Cambria Math"/>
                        <w:color w:val="auto"/>
                        <w:sz w:val="24"/>
                        <w:szCs w:val="24"/>
                      </w:rPr>
                      <m:t>δ</m:t>
                    </m:r>
                  </m:e>
                  <m:sub>
                    <m:r>
                      <m:rPr>
                        <m:sty m:val="bi"/>
                      </m:rPr>
                      <w:rPr>
                        <w:rFonts w:ascii="Cambria Math"/>
                        <w:color w:val="auto"/>
                        <w:sz w:val="24"/>
                        <w:szCs w:val="24"/>
                      </w:rPr>
                      <m:t>j,i</m:t>
                    </m:r>
                  </m:sub>
                </m:sSub>
                <m:sSub>
                  <m:sSubPr>
                    <m:ctrlPr>
                      <w:rPr>
                        <w:rFonts w:ascii="Cambria Math" w:hAnsi="Cambria Math"/>
                        <w:i/>
                        <w:color w:val="auto"/>
                        <w:sz w:val="24"/>
                        <w:szCs w:val="24"/>
                      </w:rPr>
                    </m:ctrlPr>
                  </m:sSubPr>
                  <m:e>
                    <m:r>
                      <m:rPr>
                        <m:sty m:val="bi"/>
                      </m:rPr>
                      <w:rPr>
                        <w:rFonts w:ascii="Cambria Math"/>
                        <w:color w:val="auto"/>
                        <w:sz w:val="24"/>
                        <w:szCs w:val="24"/>
                      </w:rPr>
                      <m:t>Z</m:t>
                    </m:r>
                  </m:e>
                  <m:sub>
                    <m:r>
                      <m:rPr>
                        <m:sty m:val="bi"/>
                      </m:rPr>
                      <w:rPr>
                        <w:rFonts w:ascii="Cambria Math"/>
                        <w:color w:val="auto"/>
                        <w:sz w:val="24"/>
                        <w:szCs w:val="24"/>
                      </w:rPr>
                      <m:t>j,t</m:t>
                    </m:r>
                    <m:r>
                      <m:rPr>
                        <m:sty m:val="bi"/>
                      </m:rPr>
                      <w:rPr>
                        <w:rFonts w:ascii="Cambria Math"/>
                        <w:color w:val="auto"/>
                        <w:sz w:val="24"/>
                        <w:szCs w:val="24"/>
                      </w:rPr>
                      <m:t>-</m:t>
                    </m:r>
                    <m:r>
                      <m:rPr>
                        <m:sty m:val="bi"/>
                      </m:rPr>
                      <w:rPr>
                        <w:rFonts w:ascii="Cambria Math"/>
                        <w:color w:val="auto"/>
                        <w:sz w:val="24"/>
                        <w:szCs w:val="24"/>
                      </w:rPr>
                      <m:t>i</m:t>
                    </m:r>
                  </m:sub>
                </m:sSub>
                <m:r>
                  <m:rPr>
                    <m:sty m:val="bi"/>
                  </m:rPr>
                  <w:rPr>
                    <w:rFonts w:ascii="Cambria Math"/>
                    <w:color w:val="auto"/>
                    <w:sz w:val="24"/>
                    <w:szCs w:val="24"/>
                  </w:rPr>
                  <m:t>+</m:t>
                </m:r>
              </m:e>
            </m:nary>
            <m:sSub>
              <m:sSubPr>
                <m:ctrlPr>
                  <w:rPr>
                    <w:rFonts w:ascii="Cambria Math" w:hAnsi="Cambria Math"/>
                    <w:i/>
                    <w:color w:val="auto"/>
                    <w:sz w:val="24"/>
                    <w:szCs w:val="24"/>
                  </w:rPr>
                </m:ctrlPr>
              </m:sSubPr>
              <m:e>
                <m:r>
                  <m:rPr>
                    <m:sty m:val="bi"/>
                  </m:rPr>
                  <w:rPr>
                    <w:rFonts w:ascii="Cambria Math"/>
                    <w:color w:val="auto"/>
                    <w:sz w:val="24"/>
                    <w:szCs w:val="24"/>
                  </w:rPr>
                  <m:t>ε</m:t>
                </m:r>
              </m:e>
              <m:sub>
                <m:r>
                  <m:rPr>
                    <m:sty m:val="bi"/>
                  </m:rPr>
                  <w:rPr>
                    <w:rFonts w:ascii="Cambria Math"/>
                    <w:color w:val="auto"/>
                    <w:sz w:val="24"/>
                    <w:szCs w:val="24"/>
                  </w:rPr>
                  <m:t>t</m:t>
                </m:r>
              </m:sub>
            </m:sSub>
          </m:e>
        </m:nary>
      </m:oMath>
      <w:r w:rsidR="002D3F0B" w:rsidRPr="00473F13">
        <w:rPr>
          <w:sz w:val="24"/>
          <w:szCs w:val="24"/>
        </w:rPr>
        <w:t xml:space="preserve">   </w:t>
      </w:r>
      <w:r w:rsidR="002D3F0B">
        <w:t xml:space="preserve">                                                 </w:t>
      </w:r>
      <w:r w:rsidR="008A3809">
        <w:t xml:space="preserve">                     </w:t>
      </w:r>
      <w:r w:rsidR="008A3809">
        <w:rPr>
          <w:color w:val="auto"/>
          <w:sz w:val="24"/>
          <w:szCs w:val="24"/>
        </w:rPr>
        <w:t>(</w:t>
      </w:r>
      <w:r w:rsidR="008A3809">
        <w:rPr>
          <w:color w:val="auto"/>
          <w:sz w:val="24"/>
          <w:szCs w:val="24"/>
        </w:rPr>
        <w:fldChar w:fldCharType="begin"/>
      </w:r>
      <w:r w:rsidR="008A3809">
        <w:rPr>
          <w:color w:val="auto"/>
          <w:sz w:val="24"/>
          <w:szCs w:val="24"/>
        </w:rPr>
        <w:instrText xml:space="preserve"> SEQ Equation \* ARABIC </w:instrText>
      </w:r>
      <w:r w:rsidR="008A3809">
        <w:rPr>
          <w:color w:val="auto"/>
          <w:sz w:val="24"/>
          <w:szCs w:val="24"/>
        </w:rPr>
        <w:fldChar w:fldCharType="separate"/>
      </w:r>
      <w:r w:rsidR="00263C04">
        <w:rPr>
          <w:noProof/>
          <w:color w:val="auto"/>
          <w:sz w:val="24"/>
          <w:szCs w:val="24"/>
        </w:rPr>
        <w:t>1</w:t>
      </w:r>
      <w:r w:rsidR="008A3809">
        <w:rPr>
          <w:color w:val="auto"/>
          <w:sz w:val="24"/>
          <w:szCs w:val="24"/>
        </w:rPr>
        <w:fldChar w:fldCharType="end"/>
      </w:r>
      <w:r w:rsidR="008A3809">
        <w:rPr>
          <w:color w:val="auto"/>
          <w:sz w:val="24"/>
          <w:szCs w:val="24"/>
        </w:rPr>
        <w:t>)</w:t>
      </w:r>
      <w:r w:rsidR="008A3809">
        <w:t xml:space="preserve">                                                                           </w:t>
      </w:r>
      <w:r w:rsidR="002D3F0B">
        <w:t xml:space="preserve">     </w:t>
      </w:r>
      <w:r w:rsidR="008F431D">
        <w:t xml:space="preserve">                  </w:t>
      </w:r>
    </w:p>
    <w:p w14:paraId="6DE696B2" w14:textId="46AE8EDF" w:rsidR="00677F1F" w:rsidRDefault="002D3F0B" w:rsidP="002D3F0B">
      <w:pPr>
        <w:pStyle w:val="Methods"/>
      </w:pPr>
      <w:r>
        <w:t xml:space="preserve">where </w:t>
      </w:r>
      <w:proofErr w:type="spellStart"/>
      <w:r>
        <w:rPr>
          <w:i/>
        </w:rPr>
        <w:t>X</w:t>
      </w:r>
      <w:r>
        <w:rPr>
          <w:i/>
          <w:vertAlign w:val="subscript"/>
        </w:rPr>
        <w:t>t</w:t>
      </w:r>
      <w:proofErr w:type="spellEnd"/>
      <w:r>
        <w:t xml:space="preserve"> is the </w:t>
      </w:r>
      <w:r w:rsidR="004C4E57">
        <w:t>NTA</w:t>
      </w:r>
      <w:r w:rsidR="00C6412D">
        <w:t xml:space="preserve"> </w:t>
      </w:r>
      <w:r>
        <w:t xml:space="preserve">(or ENSO index) for year </w:t>
      </w:r>
      <w:r>
        <w:rPr>
          <w:i/>
        </w:rPr>
        <w:t>t</w:t>
      </w:r>
      <w:r>
        <w:t xml:space="preserve">, </w:t>
      </w:r>
      <w:proofErr w:type="spellStart"/>
      <w:r>
        <w:rPr>
          <w:i/>
        </w:rPr>
        <w:t>Y</w:t>
      </w:r>
      <w:r>
        <w:rPr>
          <w:i/>
          <w:vertAlign w:val="subscript"/>
        </w:rPr>
        <w:t>t</w:t>
      </w:r>
      <w:proofErr w:type="spellEnd"/>
      <w:r>
        <w:t xml:space="preserve"> is the ENSO index (or </w:t>
      </w:r>
      <w:r w:rsidR="004C4E57">
        <w:t>NTA</w:t>
      </w:r>
      <w:r>
        <w:t xml:space="preserve">), and </w:t>
      </w:r>
      <w:proofErr w:type="spellStart"/>
      <w:r>
        <w:rPr>
          <w:i/>
        </w:rPr>
        <w:t>Z</w:t>
      </w:r>
      <w:r>
        <w:rPr>
          <w:i/>
          <w:vertAlign w:val="subscript"/>
        </w:rPr>
        <w:t>j,t</w:t>
      </w:r>
      <w:proofErr w:type="spellEnd"/>
      <w:r>
        <w:t xml:space="preserve"> is the confounding factor </w:t>
      </w:r>
      <w:r>
        <w:rPr>
          <w:i/>
        </w:rPr>
        <w:t>j</w:t>
      </w:r>
      <w:r>
        <w:t xml:space="preserve"> for year </w:t>
      </w:r>
      <w:r>
        <w:rPr>
          <w:i/>
        </w:rPr>
        <w:t>t</w:t>
      </w:r>
      <w:r>
        <w:t xml:space="preserve">. </w:t>
      </w:r>
      <w:r w:rsidR="00847CD8">
        <w:t xml:space="preserve">For example, the </w:t>
      </w:r>
      <w:r w:rsidR="004C4E57">
        <w:t>NTA</w:t>
      </w:r>
      <w:r w:rsidR="00847CD8">
        <w:t xml:space="preserve"> for year </w:t>
      </w:r>
      <w:r w:rsidR="005E4F8A">
        <w:rPr>
          <w:i/>
          <w:iCs/>
        </w:rPr>
        <w:t>1</w:t>
      </w:r>
      <w:r w:rsidR="00847CD8">
        <w:t xml:space="preserve"> </w:t>
      </w:r>
      <w:r w:rsidR="00B421B7">
        <w:t xml:space="preserve">[i.e., </w:t>
      </w:r>
      <w:r w:rsidR="005E4F8A">
        <w:t>MAM</w:t>
      </w:r>
      <w:r w:rsidR="00847CD8">
        <w:t>(</w:t>
      </w:r>
      <w:r w:rsidR="005E4F8A">
        <w:rPr>
          <w:i/>
          <w:iCs/>
        </w:rPr>
        <w:t>1</w:t>
      </w:r>
      <w:r w:rsidR="00847CD8">
        <w:t>)</w:t>
      </w:r>
      <w:r w:rsidR="00B421B7">
        <w:t>]</w:t>
      </w:r>
      <w:r w:rsidR="00847CD8">
        <w:t xml:space="preserve"> may have predictive power on ENSO </w:t>
      </w:r>
      <w:r w:rsidR="00B421B7">
        <w:t xml:space="preserve">for year </w:t>
      </w:r>
      <w:r w:rsidR="00B421B7" w:rsidRPr="003A09BF">
        <w:rPr>
          <w:i/>
          <w:iCs/>
        </w:rPr>
        <w:t>1</w:t>
      </w:r>
      <w:r w:rsidR="00B421B7">
        <w:t xml:space="preserve"> [i.e., D(</w:t>
      </w:r>
      <w:r w:rsidR="00B421B7" w:rsidRPr="003A09BF">
        <w:rPr>
          <w:i/>
          <w:iCs/>
        </w:rPr>
        <w:t>1</w:t>
      </w:r>
      <w:r w:rsidR="00B421B7">
        <w:t>)JF(</w:t>
      </w:r>
      <w:r w:rsidR="00B421B7" w:rsidRPr="003A09BF">
        <w:rPr>
          <w:i/>
          <w:iCs/>
        </w:rPr>
        <w:t>2</w:t>
      </w:r>
      <w:r w:rsidR="00B421B7">
        <w:t xml:space="preserve">)] and ENSO for year </w:t>
      </w:r>
      <w:r w:rsidR="00B421B7" w:rsidRPr="003A09BF">
        <w:rPr>
          <w:i/>
          <w:iCs/>
        </w:rPr>
        <w:t>2</w:t>
      </w:r>
      <w:r w:rsidR="00B421B7">
        <w:t xml:space="preserve"> [i.e., D(</w:t>
      </w:r>
      <w:r w:rsidR="00B421B7" w:rsidRPr="003A09BF">
        <w:rPr>
          <w:i/>
          <w:iCs/>
        </w:rPr>
        <w:t>2</w:t>
      </w:r>
      <w:r w:rsidR="00B421B7">
        <w:t>)JF(</w:t>
      </w:r>
      <w:r w:rsidR="00B421B7" w:rsidRPr="003A09BF">
        <w:rPr>
          <w:i/>
          <w:iCs/>
        </w:rPr>
        <w:t>3</w:t>
      </w:r>
      <w:r w:rsidR="00B421B7">
        <w:t>)]</w:t>
      </w:r>
      <w:r w:rsidR="00847CD8">
        <w:t>.</w:t>
      </w:r>
      <w:r w:rsidR="00CA0D93">
        <w:t xml:space="preserve"> Conversely, ENSO for year </w:t>
      </w:r>
      <w:r w:rsidR="00CA0D93" w:rsidRPr="003A09BF">
        <w:rPr>
          <w:i/>
          <w:iCs/>
        </w:rPr>
        <w:t>0</w:t>
      </w:r>
      <w:r w:rsidR="00CA0D93">
        <w:t xml:space="preserve"> [i.e., D(</w:t>
      </w:r>
      <w:r w:rsidR="00CA0D93" w:rsidRPr="003A09BF">
        <w:rPr>
          <w:i/>
          <w:iCs/>
        </w:rPr>
        <w:t>0</w:t>
      </w:r>
      <w:r w:rsidR="00CA0D93">
        <w:t>)JF(</w:t>
      </w:r>
      <w:r w:rsidR="00CA0D93" w:rsidRPr="003A09BF">
        <w:rPr>
          <w:i/>
          <w:iCs/>
        </w:rPr>
        <w:t>1</w:t>
      </w:r>
      <w:r w:rsidR="00CA0D93">
        <w:t xml:space="preserve">)] may have predictive power on the </w:t>
      </w:r>
      <w:r w:rsidR="004C4E57">
        <w:t>NTA</w:t>
      </w:r>
      <w:r w:rsidR="00CA0D93">
        <w:t xml:space="preserve"> for year </w:t>
      </w:r>
      <w:r w:rsidR="00CA0D93" w:rsidRPr="003A09BF">
        <w:rPr>
          <w:i/>
          <w:iCs/>
        </w:rPr>
        <w:t>1</w:t>
      </w:r>
      <w:r w:rsidR="00CA0D93">
        <w:t xml:space="preserve"> [i.e., </w:t>
      </w:r>
      <w:r w:rsidR="005E4F8A">
        <w:t>MAM</w:t>
      </w:r>
      <w:r w:rsidR="00CA0D93">
        <w:t>(</w:t>
      </w:r>
      <w:r w:rsidR="00CA0D93" w:rsidRPr="003A09BF">
        <w:rPr>
          <w:i/>
          <w:iCs/>
        </w:rPr>
        <w:t>1</w:t>
      </w:r>
      <w:r w:rsidR="00CA0D93">
        <w:t xml:space="preserve">)] and the </w:t>
      </w:r>
      <w:r w:rsidR="004C4E57">
        <w:t>NTA</w:t>
      </w:r>
      <w:r w:rsidR="00CA0D93">
        <w:t xml:space="preserve"> for year </w:t>
      </w:r>
      <w:r w:rsidR="00CA0D93" w:rsidRPr="003A09BF">
        <w:rPr>
          <w:i/>
          <w:iCs/>
        </w:rPr>
        <w:t>2</w:t>
      </w:r>
      <w:r w:rsidR="00CA0D93">
        <w:t xml:space="preserve"> [i.e., </w:t>
      </w:r>
      <w:r w:rsidR="005E4F8A">
        <w:t>MAM</w:t>
      </w:r>
      <w:r w:rsidR="00CA0D93">
        <w:t>(</w:t>
      </w:r>
      <w:r w:rsidR="00CA0D93" w:rsidRPr="003A09BF">
        <w:rPr>
          <w:i/>
          <w:iCs/>
        </w:rPr>
        <w:t>2</w:t>
      </w:r>
      <w:r w:rsidR="00CA0D93">
        <w:t>)].</w:t>
      </w:r>
      <w:r w:rsidR="00847CD8">
        <w:t xml:space="preserve"> </w:t>
      </w:r>
      <w:r w:rsidR="00AB1D32" w:rsidRPr="00AB1D32">
        <w:t xml:space="preserve">In the predictive model shown in equation 1, while estimating the influence of </w:t>
      </w:r>
      <m:oMath>
        <m:r>
          <w:rPr>
            <w:rFonts w:ascii="Cambria Math"/>
            <w:szCs w:val="24"/>
          </w:rPr>
          <m:t>Y</m:t>
        </m:r>
      </m:oMath>
      <w:r w:rsidR="00AB1D32" w:rsidRPr="00AB1D32">
        <w:t xml:space="preserve"> on </w:t>
      </w:r>
      <m:oMath>
        <m:r>
          <w:rPr>
            <w:rFonts w:ascii="Cambria Math"/>
            <w:szCs w:val="24"/>
          </w:rPr>
          <m:t>X</m:t>
        </m:r>
      </m:oMath>
      <w:r w:rsidR="00AB1D32" w:rsidRPr="00AB1D32">
        <w:t xml:space="preserve"> (i.e., the contribution of the term </w:t>
      </w:r>
      <m:oMath>
        <m:nary>
          <m:naryPr>
            <m:chr m:val="∑"/>
            <m:ctrlPr>
              <w:rPr>
                <w:rFonts w:ascii="Cambria Math" w:hAnsi="Cambria Math"/>
                <w:i/>
                <w:szCs w:val="24"/>
              </w:rPr>
            </m:ctrlPr>
          </m:naryPr>
          <m:sub>
            <m:r>
              <w:rPr>
                <w:rFonts w:ascii="Cambria Math"/>
                <w:szCs w:val="24"/>
              </w:rPr>
              <m:t>i=1</m:t>
            </m:r>
          </m:sub>
          <m:sup>
            <m:r>
              <w:rPr>
                <w:rFonts w:ascii="Cambria Math"/>
                <w:szCs w:val="24"/>
              </w:rPr>
              <m:t>p</m:t>
            </m:r>
          </m:sup>
          <m:e>
            <m:sSub>
              <m:sSubPr>
                <m:ctrlPr>
                  <w:rPr>
                    <w:rFonts w:ascii="Cambria Math" w:hAnsi="Cambria Math"/>
                    <w:i/>
                    <w:szCs w:val="24"/>
                  </w:rPr>
                </m:ctrlPr>
              </m:sSubPr>
              <m:e>
                <m:r>
                  <w:rPr>
                    <w:rFonts w:ascii="Cambria Math"/>
                    <w:szCs w:val="24"/>
                  </w:rPr>
                  <m:t>β</m:t>
                </m:r>
              </m:e>
              <m:sub>
                <m:r>
                  <w:rPr>
                    <w:rFonts w:ascii="Cambria Math"/>
                    <w:szCs w:val="24"/>
                  </w:rPr>
                  <m:t>i</m:t>
                </m:r>
              </m:sub>
            </m:sSub>
            <m:sSub>
              <m:sSubPr>
                <m:ctrlPr>
                  <w:rPr>
                    <w:rFonts w:ascii="Cambria Math" w:hAnsi="Cambria Math"/>
                    <w:i/>
                    <w:szCs w:val="24"/>
                  </w:rPr>
                </m:ctrlPr>
              </m:sSubPr>
              <m:e>
                <m:r>
                  <w:rPr>
                    <w:rFonts w:ascii="Cambria Math"/>
                    <w:szCs w:val="24"/>
                  </w:rPr>
                  <m:t>Y</m:t>
                </m:r>
              </m:e>
              <m:sub>
                <m:r>
                  <w:rPr>
                    <w:rFonts w:ascii="Cambria Math"/>
                    <w:szCs w:val="24"/>
                  </w:rPr>
                  <m:t>t</m:t>
                </m:r>
                <m:r>
                  <w:rPr>
                    <w:rFonts w:ascii="Cambria Math"/>
                    <w:szCs w:val="24"/>
                  </w:rPr>
                  <m:t>-</m:t>
                </m:r>
                <m:r>
                  <w:rPr>
                    <w:rFonts w:ascii="Cambria Math"/>
                    <w:szCs w:val="24"/>
                  </w:rPr>
                  <m:t>i</m:t>
                </m:r>
              </m:sub>
            </m:sSub>
            <m:r>
              <w:rPr>
                <w:rFonts w:ascii="Cambria Math"/>
                <w:szCs w:val="24"/>
              </w:rPr>
              <m:t xml:space="preserve"> </m:t>
            </m:r>
          </m:e>
        </m:nary>
      </m:oMath>
      <w:r w:rsidR="00AB1D32" w:rsidRPr="00AB1D32">
        <w:t xml:space="preserve">in predicting </w:t>
      </w:r>
      <m:oMath>
        <m:r>
          <w:rPr>
            <w:rFonts w:ascii="Cambria Math"/>
            <w:szCs w:val="24"/>
          </w:rPr>
          <m:t>X</m:t>
        </m:r>
      </m:oMath>
      <w:r w:rsidR="00AB1D32" w:rsidRPr="00AB1D32">
        <w:t xml:space="preserve">), the contribution of past </w:t>
      </w:r>
      <m:oMath>
        <m:r>
          <w:rPr>
            <w:rFonts w:ascii="Cambria Math"/>
            <w:szCs w:val="24"/>
          </w:rPr>
          <m:t>X</m:t>
        </m:r>
      </m:oMath>
      <w:r w:rsidR="00AB1D32" w:rsidRPr="00AB1D32">
        <w:t xml:space="preserve"> events are already taken into account by adding the term</w:t>
      </w:r>
      <w:r w:rsidR="00AB1D32">
        <w:t xml:space="preserve"> </w:t>
      </w:r>
      <m:oMath>
        <m:nary>
          <m:naryPr>
            <m:chr m:val="∑"/>
            <m:ctrlPr>
              <w:rPr>
                <w:rFonts w:ascii="Cambria Math" w:hAnsi="Cambria Math"/>
                <w:i/>
                <w:szCs w:val="24"/>
              </w:rPr>
            </m:ctrlPr>
          </m:naryPr>
          <m:sub>
            <m:r>
              <w:rPr>
                <w:rFonts w:ascii="Cambria Math"/>
                <w:szCs w:val="24"/>
              </w:rPr>
              <m:t>i=1</m:t>
            </m:r>
          </m:sub>
          <m:sup>
            <m:r>
              <w:rPr>
                <w:rFonts w:ascii="Cambria Math"/>
                <w:szCs w:val="24"/>
              </w:rPr>
              <m:t>p</m:t>
            </m:r>
          </m:sup>
          <m:e>
            <m:sSub>
              <m:sSubPr>
                <m:ctrlPr>
                  <w:rPr>
                    <w:rFonts w:ascii="Cambria Math" w:hAnsi="Cambria Math"/>
                    <w:i/>
                    <w:szCs w:val="24"/>
                  </w:rPr>
                </m:ctrlPr>
              </m:sSubPr>
              <m:e>
                <m:r>
                  <w:rPr>
                    <w:rFonts w:ascii="Cambria Math"/>
                    <w:szCs w:val="24"/>
                  </w:rPr>
                  <m:t>α</m:t>
                </m:r>
              </m:e>
              <m:sub>
                <m:r>
                  <w:rPr>
                    <w:rFonts w:ascii="Cambria Math"/>
                    <w:szCs w:val="24"/>
                  </w:rPr>
                  <m:t>i</m:t>
                </m:r>
              </m:sub>
            </m:sSub>
            <m:sSub>
              <m:sSubPr>
                <m:ctrlPr>
                  <w:rPr>
                    <w:rFonts w:ascii="Cambria Math" w:hAnsi="Cambria Math"/>
                    <w:i/>
                    <w:szCs w:val="24"/>
                  </w:rPr>
                </m:ctrlPr>
              </m:sSubPr>
              <m:e>
                <m:r>
                  <w:rPr>
                    <w:rFonts w:ascii="Cambria Math"/>
                    <w:szCs w:val="24"/>
                  </w:rPr>
                  <m:t>X</m:t>
                </m:r>
              </m:e>
              <m:sub>
                <m:r>
                  <w:rPr>
                    <w:rFonts w:ascii="Cambria Math"/>
                    <w:szCs w:val="24"/>
                  </w:rPr>
                  <m:t>t</m:t>
                </m:r>
                <m:r>
                  <w:rPr>
                    <w:rFonts w:ascii="Cambria Math"/>
                    <w:szCs w:val="24"/>
                  </w:rPr>
                  <m:t>-</m:t>
                </m:r>
                <m:r>
                  <w:rPr>
                    <w:rFonts w:ascii="Cambria Math"/>
                    <w:szCs w:val="24"/>
                  </w:rPr>
                  <m:t>i</m:t>
                </m:r>
              </m:sub>
            </m:sSub>
          </m:e>
        </m:nary>
      </m:oMath>
      <w:r w:rsidR="00AB1D32" w:rsidRPr="00AB1D32">
        <w:t xml:space="preserve">. Thus, the causal influence of </w:t>
      </w:r>
      <m:oMath>
        <m:r>
          <w:rPr>
            <w:rFonts w:ascii="Cambria Math"/>
            <w:szCs w:val="24"/>
          </w:rPr>
          <m:t>Y</m:t>
        </m:r>
      </m:oMath>
      <w:r w:rsidR="00925319" w:rsidRPr="00AB1D32">
        <w:t xml:space="preserve"> on </w:t>
      </w:r>
      <m:oMath>
        <m:r>
          <w:rPr>
            <w:rFonts w:ascii="Cambria Math"/>
            <w:szCs w:val="24"/>
          </w:rPr>
          <m:t>X</m:t>
        </m:r>
      </m:oMath>
      <w:r w:rsidR="00AB1D32" w:rsidRPr="00AB1D32">
        <w:t xml:space="preserve">, if detected, is robust and the contribution of past </w:t>
      </w:r>
      <m:oMath>
        <m:r>
          <w:rPr>
            <w:rFonts w:ascii="Cambria Math"/>
            <w:szCs w:val="24"/>
          </w:rPr>
          <m:t>X</m:t>
        </m:r>
      </m:oMath>
      <w:r w:rsidR="00AB1D32" w:rsidRPr="00AB1D32">
        <w:t xml:space="preserve"> events </w:t>
      </w:r>
      <w:r w:rsidR="00925319">
        <w:t>are</w:t>
      </w:r>
      <w:r w:rsidR="00AB1D32" w:rsidRPr="00AB1D32">
        <w:t xml:space="preserve"> already considered in our analyses. </w:t>
      </w:r>
    </w:p>
    <w:p w14:paraId="2AA79E13" w14:textId="594CB6D6" w:rsidR="00847CD8" w:rsidRDefault="002D3F0B" w:rsidP="002D3F0B">
      <w:pPr>
        <w:pStyle w:val="Methods"/>
      </w:pPr>
      <w:r>
        <w:t xml:space="preserve">Here, </w:t>
      </w:r>
      <w:r>
        <w:rPr>
          <w:i/>
        </w:rPr>
        <w:t>m</w:t>
      </w:r>
      <w:r>
        <w:t xml:space="preserve"> is number of </w:t>
      </w:r>
      <w:bookmarkStart w:id="2" w:name="_Hlk13006214"/>
      <w:r>
        <w:t>confounding</w:t>
      </w:r>
      <w:bookmarkEnd w:id="2"/>
      <w:r>
        <w:t xml:space="preserve"> factors and</w:t>
      </w:r>
      <w:r w:rsidRPr="001A3D53">
        <w:rPr>
          <w:i/>
        </w:rPr>
        <w:t xml:space="preserve"> </w:t>
      </w:r>
      <w:r>
        <w:rPr>
          <w:i/>
        </w:rPr>
        <w:t>p</w:t>
      </w:r>
      <w:r>
        <w:t xml:space="preserve"> </w:t>
      </w:r>
      <w:r>
        <w:rPr>
          <w:rFonts w:cs="Times New Roman"/>
        </w:rPr>
        <w:t xml:space="preserve">≥ </w:t>
      </w:r>
      <w:r>
        <w:t>1 is the order of the multivariate predictive model.</w:t>
      </w:r>
      <w:r w:rsidRPr="005A45C9">
        <w:t xml:space="preserve"> </w:t>
      </w:r>
      <w:bookmarkStart w:id="3" w:name="_Hlk22655500"/>
      <w:r>
        <w:t xml:space="preserve">The optimal order </w:t>
      </w:r>
      <w:bookmarkStart w:id="4" w:name="_Hlk20207942"/>
      <w:r w:rsidRPr="003029E4">
        <w:rPr>
          <w:i/>
          <w:iCs/>
        </w:rPr>
        <w:t>p</w:t>
      </w:r>
      <w:r>
        <w:t xml:space="preserve"> is </w:t>
      </w:r>
      <w:bookmarkEnd w:id="4"/>
      <w:r>
        <w:t xml:space="preserve">computed by minimizing the </w:t>
      </w:r>
      <w:r w:rsidR="00277450" w:rsidRPr="00045B9C">
        <w:t>Schwarz criterion</w:t>
      </w:r>
      <w:r w:rsidR="00277450">
        <w:t xml:space="preserve"> </w:t>
      </w:r>
      <w:r>
        <w:t xml:space="preserve">or </w:t>
      </w:r>
      <w:r w:rsidR="00277450">
        <w:t xml:space="preserve">the </w:t>
      </w:r>
      <w:r w:rsidR="00277450" w:rsidRPr="00045B9C">
        <w:t>Bayesian information criterion</w:t>
      </w:r>
      <w:r w:rsidR="00277450">
        <w:t xml:space="preserve"> </w:t>
      </w:r>
      <w:r>
        <w:fldChar w:fldCharType="begin" w:fldLock="1"/>
      </w:r>
      <w:r w:rsidR="003B2455">
        <w:instrText>ADDIN CSL_CITATION {"citationItems":[{"id":"ITEM-1","itemData":{"author":[{"dropping-particle":"","family":"Schwarz","given":"G","non-dropping-particle":"","parse-names":false,"suffix":""}],"container-title":"The annals of statistics","id":"ITEM-1","issued":{"date-parts":[["1978"]]},"title":"Estimating the dimension of a model","type":"article-journal"},"uris":["http://www.mendeley.com/documents/?uuid=c3f931a1-15d2-4a90-a870-1f85dfb31518"]}],"mendeley":{"formattedCitation":"(Schwarz 1978)","plainTextFormattedCitation":"(Schwarz 1978)","previouslyFormattedCitation":"(Schwarz 1978)"},"properties":{"noteIndex":0},"schema":"https://github.com/citation-style-language/schema/raw/master/csl-citation.json"}</w:instrText>
      </w:r>
      <w:r>
        <w:fldChar w:fldCharType="separate"/>
      </w:r>
      <w:r w:rsidR="003B2455" w:rsidRPr="003B2455">
        <w:rPr>
          <w:noProof/>
        </w:rPr>
        <w:t>(Schwarz 1978)</w:t>
      </w:r>
      <w:r>
        <w:fldChar w:fldCharType="end"/>
      </w:r>
      <w:r w:rsidR="00677F1F">
        <w:t>.</w:t>
      </w:r>
      <w:r>
        <w:t xml:space="preserve"> </w:t>
      </w:r>
      <w:bookmarkEnd w:id="3"/>
      <w:r>
        <w:t xml:space="preserve">The optimal orders might be different for each model. Here we consider the simultaneous impacts of confounding factors and thus provide more information of the real-world teleconnections. Our analysis </w:t>
      </w:r>
      <w:bookmarkStart w:id="5" w:name="_Hlk20208034"/>
      <w:r>
        <w:t xml:space="preserve">uses two different confounding </w:t>
      </w:r>
      <w:r>
        <w:lastRenderedPageBreak/>
        <w:t>factors</w:t>
      </w:r>
      <w:bookmarkEnd w:id="5"/>
      <w:r>
        <w:t xml:space="preserve">; thus, </w:t>
      </w:r>
      <w:r>
        <w:rPr>
          <w:i/>
        </w:rPr>
        <w:t>m</w:t>
      </w:r>
      <w:r>
        <w:t xml:space="preserve"> is equal to </w:t>
      </w:r>
      <w:r w:rsidR="008A10E3">
        <w:t>2</w:t>
      </w:r>
      <w:r>
        <w:t xml:space="preserve">. The noise residuals </w:t>
      </w:r>
      <w:proofErr w:type="spellStart"/>
      <w:r>
        <w:rPr>
          <w:rFonts w:cs="Times New Roman"/>
          <w:i/>
        </w:rPr>
        <w:t>ε</w:t>
      </w:r>
      <w:r>
        <w:rPr>
          <w:rFonts w:cs="Times New Roman"/>
          <w:i/>
          <w:vertAlign w:val="subscript"/>
        </w:rPr>
        <w:t>t</w:t>
      </w:r>
      <w:proofErr w:type="spellEnd"/>
      <w:r>
        <w:t xml:space="preserve"> and the regression coefficients </w:t>
      </w:r>
      <w:r>
        <w:rPr>
          <w:rFonts w:cs="Times New Roman"/>
          <w:i/>
        </w:rPr>
        <w:t>α</w:t>
      </w:r>
      <w:proofErr w:type="spellStart"/>
      <w:r>
        <w:rPr>
          <w:i/>
          <w:vertAlign w:val="subscript"/>
        </w:rPr>
        <w:t>i</w:t>
      </w:r>
      <w:proofErr w:type="spellEnd"/>
      <w:r>
        <w:t xml:space="preserve">, </w:t>
      </w:r>
      <w:r>
        <w:rPr>
          <w:rFonts w:cs="Times New Roman"/>
          <w:i/>
        </w:rPr>
        <w:t>β</w:t>
      </w:r>
      <w:proofErr w:type="spellStart"/>
      <w:r>
        <w:rPr>
          <w:i/>
          <w:vertAlign w:val="subscript"/>
        </w:rPr>
        <w:t>i</w:t>
      </w:r>
      <w:proofErr w:type="spellEnd"/>
      <w:r>
        <w:t xml:space="preserve"> and </w:t>
      </w:r>
      <w:proofErr w:type="spellStart"/>
      <w:r>
        <w:rPr>
          <w:rFonts w:cs="Times New Roman"/>
          <w:i/>
        </w:rPr>
        <w:t>δ</w:t>
      </w:r>
      <w:r>
        <w:rPr>
          <w:rFonts w:cs="Times New Roman"/>
          <w:i/>
          <w:vertAlign w:val="subscript"/>
        </w:rPr>
        <w:t>j,i</w:t>
      </w:r>
      <w:proofErr w:type="spellEnd"/>
      <w:r>
        <w:t xml:space="preserve"> are the results of the multiple linear regression analysis</w:t>
      </w:r>
      <w:r w:rsidRPr="00C81736">
        <w:t xml:space="preserve"> </w:t>
      </w:r>
      <w:r>
        <w:t xml:space="preserve">using the least squares method. We detrend and normalize all the climate indices. </w:t>
      </w:r>
    </w:p>
    <w:p w14:paraId="23562BBA" w14:textId="53F58BDF" w:rsidR="002D3F0B" w:rsidRDefault="002D3F0B" w:rsidP="00893551">
      <w:pPr>
        <w:pStyle w:val="Methods"/>
      </w:pPr>
      <w:r>
        <w:t xml:space="preserve">We </w:t>
      </w:r>
      <w:r w:rsidR="00D11E39">
        <w:t xml:space="preserve">estimate </w:t>
      </w:r>
      <w:r w:rsidR="00D11E39" w:rsidRPr="00D11E39">
        <w:t>the probability of</w:t>
      </w:r>
      <w:r w:rsidR="00D11E39">
        <w:t xml:space="preserve"> </w:t>
      </w:r>
      <w:r w:rsidR="00D11E39" w:rsidRPr="00D11E39">
        <w:t>no Granger causality</w:t>
      </w:r>
      <w:r w:rsidR="00D11E39">
        <w:t xml:space="preserve"> by</w:t>
      </w:r>
      <w:r>
        <w:t xml:space="preserve"> appl</w:t>
      </w:r>
      <w:r w:rsidR="00D11E39">
        <w:t>ying</w:t>
      </w:r>
      <w:r>
        <w:t xml:space="preserve"> a test of Granger causality </w:t>
      </w:r>
      <w:r>
        <w:fldChar w:fldCharType="begin" w:fldLock="1"/>
      </w:r>
      <w:r w:rsidR="003B2455">
        <w:instrText>ADDIN CSL_CITATION {"citationItems":[{"id":"ITEM-1","itemData":{"DOI":"10.1175/JCLI3653.1","ISSN":"0894-8755","abstract":"This study uses a Granger causality time series modeling approach to quantitatively diagnose the feedback of daily sea surface temperatures (SSTs) on daily values of the North Atlantic Oscillation (NAO) as simulated by a realistic coupled general circulation model (GCM). Bivariate vector autoregressive time series models are carefully fitted to daily wintertime SST and NAO time series produced by a 50-yr simulation of the Third Hadley Centre Coupled Ocean–Atmosphere GCM (HadCM3). The approach demonstrates that there is a small yet statistically significant feedback of SSTs on the NAO. The SST tripole index is found to provide additional predictive information for the NAO than that available by using only past values of NAO—the SST tripole is Granger causal for the NAO. Careful examination of local SSTs reveals that much of this effect is due to the effect of SSTs in the region of the Gulf Steam, especially south of Cape Hatteras. The effect of SSTs on NAO is responsible for the slower-than-exponential decay in lag-autocorrelations of NAO notable at lags longer than 10 days. The persistence induced in daily NAO by SSTs causes long-term means of NAO to have more variance than expected from averaging NAO noise if there is no feedback of the ocean on the atmosphere. There are greater long-term trends in NAO than can be expected from aggregating just short-term atmospheric noise, and NAO is potentially predictable provided that future SSTs are known. For example, there is about 10%–30% more variance in seasonal wintertime means of NAO and almost 70% more variance in annual means of NAO due to SST effects than one would expect if NAO were a purely atmospheric process.","author":[{"dropping-particle":"","family":"Mosedale","given":"Timothy J.","non-dropping-particle":"","parse-names":false,"suffix":""},{"dropping-particle":"","family":"Stephenson","given":"David B.","non-dropping-particle":"","parse-names":false,"suffix":""},{"dropping-particle":"","family":"Collins","given":"Matthew","non-dropping-particle":"","parse-names":false,"suffix":""},{"dropping-particle":"","family":"Mills","given":"Terence C.","non-dropping-particle":"","parse-names":false,"suffix":""}],"container-title":"Journal of Climate","id":"ITEM-1","issue":"7","issued":{"date-parts":[["2006","4"]]},"page":"1182-1194","title":"Granger Causality of Coupled Climate Processes: Ocean Feedback on the North Atlantic Oscillation","type":"article-journal","volume":"19"},"uris":["http://www.mendeley.com/documents/?uuid=5910438a-7269-4f97-8886-3c29702d746c"]},{"id":"ITEM-2","itemData":{"DOI":"10.1007/s10584-013-1007-x","ISSN":"0165-0009","author":[{"dropping-particle":"","family":"Stern","given":"David I.","non-dropping-particle":"","parse-names":false,"suffix":""},{"dropping-particle":"","family":"Kaufmann","given":"Robert K.","non-dropping-particle":"","parse-names":false,"suffix":""}],"container-title":"Climatic Change","id":"ITEM-2","issue":"1-2","issued":{"date-parts":[["2013","11","20"]]},"page":"257-269","title":"Anthropogenic and natural causes of climate change","type":"article-journal","volume":"122"},"uris":["http://www.mendeley.com/documents/?uuid=2f95d3a2-0523-4e47-ab6f-9ae06d061085"]},{"id":"ITEM-3","itemData":{"DOI":"10.1029/2018GL081633","ISSN":"19448007","abstract":"Here we investigate the causal links of interannual variability between the El Niño–Southern Oscillation (ENSO) and the Indian Ocean Dipole (IOD) in Coupled Model Intercomparison Project Phase 5 (CMIP5) RCP8.5 future simulations. The analyses account for possible simultaneous impacts of the southern annular mode and the Indian summer monsoon rainfall on future ENSO-IOD connection. We found robust causal influence of ENSO on IOD for majority (14/22) of models. ENSO variations cause changes of tropical Indian Ocean zonal wind and sea surface temperature and thus directly influence IOD. However, the specific mechanisms of this impact remain elusive in multimodel point of view. The results show significant impact of IOD on ENSO in the 2006–2100 period for 10/22 models. These results suggest that ENSO influence on IOD is slightly more robust than vice versa. We emphasize the uncertainty in the two-way future causal relationship between ENSO and IOD.","author":[{"dropping-particle":"","family":"Le","given":"Thanh","non-dropping-particle":"","parse-names":false,"suffix":""},{"dropping-particle":"","family":"Bae","given":"Deg Hyo","non-dropping-particle":"","parse-names":false,"suffix":""}],"container-title":"Geophysical Research Letters","id":"ITEM-3","issue":"5","issued":{"date-parts":[["2019"]]},"page":"2820-2828","title":"Causal Links on Interannual Timescale Between ENSO and the IOD in CMIP5 Future Simulations","type":"article-journal","volume":"46"},"uris":["http://www.mendeley.com/documents/?uuid=a66a634a-83ab-4451-87ca-c7a0a4cc8006"]}],"mendeley":{"formattedCitation":"(Mosedale &lt;i&gt;et al&lt;/i&gt; 2006, Stern and Kaufmann 2013, Le and Bae 2019)","plainTextFormattedCitation":"(Mosedale et al 2006, Stern and Kaufmann 2013, Le and Bae 2019)","previouslyFormattedCitation":"(Mosedale &lt;i&gt;et al&lt;/i&gt; 2006, Stern and Kaufmann 2013, Le and Bae 2019)"},"properties":{"noteIndex":0},"schema":"https://github.com/citation-style-language/schema/raw/master/csl-citation.json"}</w:instrText>
      </w:r>
      <w:r>
        <w:fldChar w:fldCharType="separate"/>
      </w:r>
      <w:r w:rsidR="003B2455" w:rsidRPr="003B2455">
        <w:rPr>
          <w:noProof/>
        </w:rPr>
        <w:t xml:space="preserve">(Mosedale </w:t>
      </w:r>
      <w:r w:rsidR="003B2455" w:rsidRPr="003B2455">
        <w:rPr>
          <w:i/>
          <w:noProof/>
        </w:rPr>
        <w:t>et al</w:t>
      </w:r>
      <w:r w:rsidR="003B2455" w:rsidRPr="003B2455">
        <w:rPr>
          <w:noProof/>
        </w:rPr>
        <w:t xml:space="preserve"> 2006, Stern and Kaufmann 2013, Le and Bae 2019)</w:t>
      </w:r>
      <w:r>
        <w:fldChar w:fldCharType="end"/>
      </w:r>
      <w:r>
        <w:t xml:space="preserve"> for the multivariate predictive model shown in equation 1. </w:t>
      </w:r>
    </w:p>
    <w:p w14:paraId="6512A9E1" w14:textId="535132FC" w:rsidR="00761912" w:rsidRDefault="00761912" w:rsidP="00761912">
      <w:pPr>
        <w:pStyle w:val="Methods"/>
      </w:pPr>
      <w:bookmarkStart w:id="6" w:name="_Hlk73781092"/>
      <w:r w:rsidRPr="00287643">
        <w:t xml:space="preserve">For computing the degree of uncertainty, we followed recent guidance </w:t>
      </w:r>
      <w:r w:rsidRPr="00287643">
        <w:fldChar w:fldCharType="begin" w:fldLock="1"/>
      </w:r>
      <w:r w:rsidR="003B2455">
        <w:instrText>ADDIN CSL_CITATION {"citationItems":[{"id":"ITEM-1","itemData":{"DOI":"10.1017/CBO9781107415324.005","ISBN":"9781107661820","abstract":"IPCC (2007) Climate change: The physical science basis. Contribution of Working Group I to the Fourth Assessment Report of the IPCC. Cambridge: Cambridge University Press. 4.","author":[{"dropping-particle":"","family":"Stocker","given":"T.F.","non-dropping-particle":"","parse-names":false,"suffix":""},{"dropping-particle":"","family":"Qin","given":"D.","non-dropping-particle":"","parse-names":false,"suffix":""},{"dropping-particle":"","family":"Plattner","given":"G.-K.","non-dropping-particle":"","parse-names":false,"suffix":""},{"dropping-particle":"","family":"Alexander","given":"L.V.","non-dropping-particle":"","parse-names":false,"suffix":""},{"dropping-particle":"","family":"Allen","given":"S.K.","non-dropping-particle":"","parse-names":false,"suffix":""},{"dropping-particle":"","family":"Bindoff","given":"N.L.","non-dropping-particle":"","parse-names":false,"suffix":""},{"dropping-particle":"","family":"Bréon","given":"F.-M.","non-dropping-particle":"","parse-names":false,"suffix":""},{"dropping-particle":"","family":"Church","given":"J.A.","non-dropping-particle":"","parse-names":false,"suffix":""},{"dropping-particle":"","family":"Cubasch","given":"U.","non-dropping-particle":"","parse-names":false,"suffix":""},{"dropping-particle":"","family":"Emori","given":"S.","non-dropping-particle":"","parse-names":false,"suffix":""},{"dropping-particle":"","family":"Forster","given":"P.","non-dropping-particle":"","parse-names":false,"suffix":""},{"dropping-particle":"","family":"Friedlingstein","given":"P.","non-dropping-particle":"","parse-names":false,"suffix":""},{"dropping-particle":"","family":"Gillett","given":"N.","non-dropping-particle":"","parse-names":false,"suffix":""},{"dropping-particle":"","family":"Gregory","given":"J.M.","non-dropping-particle":"","parse-names":false,"suffix":""},{"dropping-particle":"","family":"Hartmann","given":"D.L.","non-dropping-particle":"","parse-names":false,"suffix":""},{"dropping-particle":"","family":"Jansen","given":"E.","non-dropping-particle":"","parse-names":false,"suffix":""},{"dropping-particle":"","family":"Kirtman","given":"B.","non-dropping-particle":"","parse-names":false,"suffix":""},{"dropping-particle":"","family":"Knutti","given":"R.","non-dropping-particle":"","parse-names":false,"suffix":""},{"dropping-particle":"","family":"Kumar","given":"K. Krishna","non-dropping-particle":"","parse-names":false,"suffix":""},{"dropping-particle":"","family":"Lemke","given":"P.","non-dropping-particle":"","parse-names":false,"suffix":""},{"dropping-particle":"","family":"Marotzke","given":"J.","non-dropping-particle":"","parse-names":false,"suffix":""},{"dropping-particle":"","family":"Masson-Delmotte, V. Meehl","given":"G.A.","non-dropping-particle":"","parse-names":false,"suffix":""},{"dropping-particle":"","family":"Mokhov","given":"I.I.","non-dropping-particle":"","parse-names":false,"suffix":""},{"dropping-particle":"","family":"Piao","given":"S.","non-dropping-particle":"","parse-names":false,"suffix":""},{"dropping-particle":"","family":"Ramaswamy","given":"V.","non-dropping-particle":"","parse-names":false,"suffix":""},{"dropping-particle":"","family":"Randall","given":"D.","non-dropping-particle":"","parse-names":false,"suffix":""},{"dropping-particle":"","family":"Rhein","given":"M.","non-dropping-particle":"","parse-names":false,"suffix":""},{"dropping-particle":"","family":"Rojas","given":"M.","non-dropping-particle":"","parse-names":false,"suffix":""},{"dropping-particle":"","family":"Sabine","given":"C.","non-dropping-particle":"","parse-names":false,"suffix":""},{"dropping-particle":"","family":"Shindell","given":"D.","non-dropping-particle":"","parse-names":false,"suffix":""},{"dropping-particle":"","family":"Talley","given":"L.D.","non-dropping-particle":"","parse-names":false,"suffix":""},{"dropping-particle":"","family":"Vaughan","given":"D.G.","non-dropping-particle":"","parse-names":false,"suffix":""},{"dropping-particle":"","family":"Xie","given":"S.-P.","non-dropping-particle":"","parse-names":false,"suffix":""}],"container-title":"Climate Change 2013 - The Physical Science Basis","editor":[{"dropping-particle":"","family":"Intergovernmental Panel on Climate Change","given":"","non-dropping-particle":"","parse-names":false,"suffix":""}],"id":"ITEM-1","issued":{"date-parts":[["2013"]]},"page":"31-116","publisher":"Cambridge University Press","publisher-place":"Cambridge","title":"Technical Summary","type":"chapter"},"uris":["http://www.mendeley.com/documents/?uuid=e90b3f6c-e252-4fdb-ba85-43828836ee1d"]},{"id":"ITEM-2","itemData":{"author":[{"dropping-particle":"","family":"Masson-Delmotte, V., P. Zhai, A. Pirani, S.L. Connors, C. Péan, S. Berger, N. Caud, Y. Chen, L. Goldfarb, M.I. Gomis, M. Huang, K. Leitzell, E. Lonnoy, J.B.R. Matthews, T.K. Maycock, T. Waterfield, O. Yelekçi, R. Yu, and B. ZhouMasson-Delmotte, V., P. Zha","given":"and B. Zhou","non-dropping-particle":"","parse-names":false,"suffix":""}],"container-title":"Climate Change 2021: The Physical Science Basis. Contribution of Working Group I to the Sixth Assessment Report of the Intergovernmental Panel on Climate Change","id":"ITEM-2","issued":{"date-parts":[["2021"]]},"title":"IPCC, 2021: Summary for Policymakers","type":"chapter"},"uris":["http://www.mendeley.com/documents/?uuid=d573512e-a766-446a-b696-9a97e1142c6e"]}],"mendeley":{"formattedCitation":"(Stocker &lt;i&gt;et al&lt;/i&gt; 2013, Masson-Delmotte, V., P. Zhai, A. Pirani, S.L. Connors, C. Péan, S. Berger, N. Caud, Y. Chen, L. Goldfarb, M.I. Gomis, M. Huang, K. Leitzell, E. Lonnoy, J.B.R. Matthews, T.K. Maycock, T. Waterfield, O. Yelekçi, R. Yu, and B. ZhouMasson-Delmotte, V., P. Zha 2021)","plainTextFormattedCitation":"(Stocker et al 2013, Masson-Delmotte, V., P. Zhai, A. Pirani, S.L. Connors, C. Péan, S. Berger, N. Caud, Y. Chen, L. Goldfarb, M.I. Gomis, M. Huang, K. Leitzell, E. Lonnoy, J.B.R. Matthews, T.K. Maycock, T. Waterfield, O. Yelekçi, R. Yu, and B. ZhouMasson-Delmotte, V., P. Zha 2021)","previouslyFormattedCitation":"(Stocker &lt;i&gt;et al&lt;/i&gt; 2013, Masson-Delmotte, V., P. Zhai, A. Pirani, S.L. Connors, C. Péan, S. Berger, N. Caud, Y. Chen, L. Goldfarb, M.I. Gomis, M. Huang, K. Leitzell, E. Lonnoy, J.B.R. Matthews, T.K. Maycock, T. Waterfield, O. Yelekçi, R. Yu, and B. ZhouMasson-Delmotte, V., P. Zha 2021)"},"properties":{"noteIndex":0},"schema":"https://github.com/citation-style-language/schema/raw/master/csl-citation.json"}</w:instrText>
      </w:r>
      <w:r w:rsidRPr="00287643">
        <w:fldChar w:fldCharType="separate"/>
      </w:r>
      <w:r w:rsidR="003B2455" w:rsidRPr="003B2455">
        <w:rPr>
          <w:noProof/>
        </w:rPr>
        <w:t xml:space="preserve">(Stocker </w:t>
      </w:r>
      <w:r w:rsidR="003B2455" w:rsidRPr="003B2455">
        <w:rPr>
          <w:i/>
          <w:noProof/>
        </w:rPr>
        <w:t>et al</w:t>
      </w:r>
      <w:r w:rsidR="003B2455" w:rsidRPr="003B2455">
        <w:rPr>
          <w:noProof/>
        </w:rPr>
        <w:t xml:space="preserve"> 2013, Masson-Delmotte, V., P. Zhai, A. Pirani, S.L. Connors, C. Péan, S. Berger, N. Caud, Y. Chen, L. Goldfarb, M.I. Gomis, M. Huang, K. Leitzell, E. Lonnoy, J.B.R. Matthews, T.K. Maycock, T. Waterfield, O. Yelekçi, R. Yu, and B. ZhouMasson-Delmotte, V., P. Zha 2021)</w:t>
      </w:r>
      <w:r w:rsidRPr="00287643">
        <w:fldChar w:fldCharType="end"/>
      </w:r>
      <w:r w:rsidRPr="00287643">
        <w:t xml:space="preserve"> and utilized the terms ‘very unlikely’, ‘unlikely’, ‘likely’ for the 0–10%, 0–33%, and 66–100% probability of the likelihood of the outcome, respectively. For example, if the </w:t>
      </w:r>
      <w:r w:rsidRPr="00287643">
        <w:rPr>
          <w:i/>
          <w:iCs/>
        </w:rPr>
        <w:t>p</w:t>
      </w:r>
      <w:r w:rsidRPr="00287643">
        <w:t xml:space="preserve">-value is less than 0.33, the result indicates that ENSO is unlikely to display no Granger causality on </w:t>
      </w:r>
      <w:r w:rsidR="005E4F8A">
        <w:t>NTA</w:t>
      </w:r>
      <w:r w:rsidRPr="00287643">
        <w:t xml:space="preserve">. In this instance, we conclude that ENSO has ‘causal effect’ on </w:t>
      </w:r>
      <w:r w:rsidR="005E4F8A">
        <w:t>NTA</w:t>
      </w:r>
      <w:r w:rsidRPr="00287643">
        <w:t>.</w:t>
      </w:r>
      <w:bookmarkEnd w:id="6"/>
      <w:r w:rsidRPr="004253A3">
        <w:t xml:space="preserve"> </w:t>
      </w:r>
    </w:p>
    <w:p w14:paraId="16F1D5CA" w14:textId="659A60E1" w:rsidR="002D3F0B" w:rsidRDefault="002D3F0B" w:rsidP="002D3F0B">
      <w:pPr>
        <w:pStyle w:val="Heading1"/>
        <w:numPr>
          <w:ilvl w:val="0"/>
          <w:numId w:val="0"/>
        </w:numPr>
        <w:ind w:left="432" w:hanging="432"/>
      </w:pPr>
      <w:r>
        <w:t>References</w:t>
      </w:r>
    </w:p>
    <w:p w14:paraId="54FD2723" w14:textId="58A87F8A" w:rsidR="003B2455" w:rsidRPr="003B2455" w:rsidRDefault="002D3F0B" w:rsidP="003B2455">
      <w:pPr>
        <w:widowControl w:val="0"/>
        <w:autoSpaceDE w:val="0"/>
        <w:autoSpaceDN w:val="0"/>
        <w:adjustRightInd w:val="0"/>
        <w:spacing w:line="240" w:lineRule="auto"/>
        <w:ind w:left="480" w:hanging="480"/>
        <w:rPr>
          <w:rFonts w:cs="Times New Roman"/>
          <w:noProof/>
          <w:szCs w:val="24"/>
        </w:rPr>
      </w:pPr>
      <w:r>
        <w:fldChar w:fldCharType="begin" w:fldLock="1"/>
      </w:r>
      <w:r>
        <w:instrText xml:space="preserve">ADDIN Mendeley Bibliography CSL_BIBLIOGRAPHY </w:instrText>
      </w:r>
      <w:r>
        <w:fldChar w:fldCharType="separate"/>
      </w:r>
      <w:r w:rsidR="003B2455" w:rsidRPr="003B2455">
        <w:rPr>
          <w:rFonts w:cs="Times New Roman"/>
          <w:noProof/>
          <w:szCs w:val="24"/>
        </w:rPr>
        <w:t xml:space="preserve">Le T and Bae D H 2019 Causal Links on Interannual Timescale Between ENSO and the IOD in CMIP5 Future Simulations </w:t>
      </w:r>
      <w:r w:rsidR="003B2455" w:rsidRPr="003B2455">
        <w:rPr>
          <w:rFonts w:cs="Times New Roman"/>
          <w:i/>
          <w:iCs/>
          <w:noProof/>
          <w:szCs w:val="24"/>
        </w:rPr>
        <w:t>Geophys. Res. Lett.</w:t>
      </w:r>
      <w:r w:rsidR="003B2455" w:rsidRPr="003B2455">
        <w:rPr>
          <w:rFonts w:cs="Times New Roman"/>
          <w:noProof/>
          <w:szCs w:val="24"/>
        </w:rPr>
        <w:t xml:space="preserve"> </w:t>
      </w:r>
      <w:r w:rsidR="003B2455" w:rsidRPr="003B2455">
        <w:rPr>
          <w:rFonts w:cs="Times New Roman"/>
          <w:b/>
          <w:bCs/>
          <w:noProof/>
          <w:szCs w:val="24"/>
        </w:rPr>
        <w:t>46</w:t>
      </w:r>
      <w:r w:rsidR="003B2455" w:rsidRPr="003B2455">
        <w:rPr>
          <w:rFonts w:cs="Times New Roman"/>
          <w:noProof/>
          <w:szCs w:val="24"/>
        </w:rPr>
        <w:t xml:space="preserve"> 2820–8</w:t>
      </w:r>
    </w:p>
    <w:p w14:paraId="0ED34CC6" w14:textId="77777777" w:rsidR="003B2455" w:rsidRPr="003B2455" w:rsidRDefault="003B2455" w:rsidP="003B2455">
      <w:pPr>
        <w:widowControl w:val="0"/>
        <w:autoSpaceDE w:val="0"/>
        <w:autoSpaceDN w:val="0"/>
        <w:adjustRightInd w:val="0"/>
        <w:spacing w:line="240" w:lineRule="auto"/>
        <w:ind w:left="480" w:hanging="480"/>
        <w:rPr>
          <w:rFonts w:cs="Times New Roman"/>
          <w:noProof/>
          <w:szCs w:val="24"/>
        </w:rPr>
      </w:pPr>
      <w:r w:rsidRPr="003B2455">
        <w:rPr>
          <w:rFonts w:cs="Times New Roman"/>
          <w:noProof/>
          <w:szCs w:val="24"/>
        </w:rPr>
        <w:t xml:space="preserve">Masson-Delmotte, V., P. Zhai, A. Pirani, S.L. Connors, C. Péan, S. Berger, N. Caud, Y. Chen, L. Goldfarb, M.I. Gomis, M. Huang, K. Leitzell, E. Lonnoy, J.B.R. Matthews, T.K. Maycock, T. Waterfield, O. Yelekçi, R. Yu, and B. ZhouMasson-Delmotte, V., P. Zha  and B Z 2021 IPCC, 2021: Summary for Policymakers </w:t>
      </w:r>
      <w:r w:rsidRPr="003B2455">
        <w:rPr>
          <w:rFonts w:cs="Times New Roman"/>
          <w:i/>
          <w:iCs/>
          <w:noProof/>
          <w:szCs w:val="24"/>
        </w:rPr>
        <w:t>Climate Change 2021: The Physical Science Basis. Contribution of Working Group I to the Sixth Assessment Report of the Intergovernmental Panel on Climate Change</w:t>
      </w:r>
    </w:p>
    <w:p w14:paraId="5B350059" w14:textId="77777777" w:rsidR="003B2455" w:rsidRPr="003B2455" w:rsidRDefault="003B2455" w:rsidP="003B2455">
      <w:pPr>
        <w:widowControl w:val="0"/>
        <w:autoSpaceDE w:val="0"/>
        <w:autoSpaceDN w:val="0"/>
        <w:adjustRightInd w:val="0"/>
        <w:spacing w:line="240" w:lineRule="auto"/>
        <w:ind w:left="480" w:hanging="480"/>
        <w:rPr>
          <w:rFonts w:cs="Times New Roman"/>
          <w:noProof/>
          <w:szCs w:val="24"/>
        </w:rPr>
      </w:pPr>
      <w:r w:rsidRPr="003B2455">
        <w:rPr>
          <w:rFonts w:cs="Times New Roman"/>
          <w:noProof/>
          <w:szCs w:val="24"/>
        </w:rPr>
        <w:t xml:space="preserve">Mosedale T J, Stephenson D B, Collins M and Mills T C 2006 Granger Causality of Coupled Climate Processes: Ocean Feedback on the North Atlantic Oscillation </w:t>
      </w:r>
      <w:r w:rsidRPr="003B2455">
        <w:rPr>
          <w:rFonts w:cs="Times New Roman"/>
          <w:i/>
          <w:iCs/>
          <w:noProof/>
          <w:szCs w:val="24"/>
        </w:rPr>
        <w:t>J. Clim.</w:t>
      </w:r>
      <w:r w:rsidRPr="003B2455">
        <w:rPr>
          <w:rFonts w:cs="Times New Roman"/>
          <w:noProof/>
          <w:szCs w:val="24"/>
        </w:rPr>
        <w:t xml:space="preserve"> </w:t>
      </w:r>
      <w:r w:rsidRPr="003B2455">
        <w:rPr>
          <w:rFonts w:cs="Times New Roman"/>
          <w:b/>
          <w:bCs/>
          <w:noProof/>
          <w:szCs w:val="24"/>
        </w:rPr>
        <w:t>19</w:t>
      </w:r>
      <w:r w:rsidRPr="003B2455">
        <w:rPr>
          <w:rFonts w:cs="Times New Roman"/>
          <w:noProof/>
          <w:szCs w:val="24"/>
        </w:rPr>
        <w:t xml:space="preserve"> 1182–94 Online: http://journals.ametsoc.org/doi/abs/10.1175/JCLI3653.1</w:t>
      </w:r>
    </w:p>
    <w:p w14:paraId="1B5B4DEC" w14:textId="77777777" w:rsidR="003B2455" w:rsidRPr="003B2455" w:rsidRDefault="003B2455" w:rsidP="003B2455">
      <w:pPr>
        <w:widowControl w:val="0"/>
        <w:autoSpaceDE w:val="0"/>
        <w:autoSpaceDN w:val="0"/>
        <w:adjustRightInd w:val="0"/>
        <w:spacing w:line="240" w:lineRule="auto"/>
        <w:ind w:left="480" w:hanging="480"/>
        <w:rPr>
          <w:rFonts w:cs="Times New Roman"/>
          <w:noProof/>
          <w:szCs w:val="24"/>
        </w:rPr>
      </w:pPr>
      <w:r w:rsidRPr="003B2455">
        <w:rPr>
          <w:rFonts w:cs="Times New Roman"/>
          <w:noProof/>
          <w:szCs w:val="24"/>
        </w:rPr>
        <w:t xml:space="preserve">Saji N H, Goswami B N, Vinayachandran P N and Yamagata T 1999 A dipole mode in the tropical Indian Ocean </w:t>
      </w:r>
      <w:r w:rsidRPr="003B2455">
        <w:rPr>
          <w:rFonts w:cs="Times New Roman"/>
          <w:i/>
          <w:iCs/>
          <w:noProof/>
          <w:szCs w:val="24"/>
        </w:rPr>
        <w:t>Nature</w:t>
      </w:r>
      <w:r w:rsidRPr="003B2455">
        <w:rPr>
          <w:rFonts w:cs="Times New Roman"/>
          <w:noProof/>
          <w:szCs w:val="24"/>
        </w:rPr>
        <w:t xml:space="preserve"> </w:t>
      </w:r>
      <w:r w:rsidRPr="003B2455">
        <w:rPr>
          <w:rFonts w:cs="Times New Roman"/>
          <w:b/>
          <w:bCs/>
          <w:noProof/>
          <w:szCs w:val="24"/>
        </w:rPr>
        <w:t>401</w:t>
      </w:r>
      <w:r w:rsidRPr="003B2455">
        <w:rPr>
          <w:rFonts w:cs="Times New Roman"/>
          <w:noProof/>
          <w:szCs w:val="24"/>
        </w:rPr>
        <w:t xml:space="preserve"> 360–3 Online: http://www.nature.com/articles/43854</w:t>
      </w:r>
    </w:p>
    <w:p w14:paraId="18C90651" w14:textId="77777777" w:rsidR="003B2455" w:rsidRPr="003B2455" w:rsidRDefault="003B2455" w:rsidP="003B2455">
      <w:pPr>
        <w:widowControl w:val="0"/>
        <w:autoSpaceDE w:val="0"/>
        <w:autoSpaceDN w:val="0"/>
        <w:adjustRightInd w:val="0"/>
        <w:spacing w:line="240" w:lineRule="auto"/>
        <w:ind w:left="480" w:hanging="480"/>
        <w:rPr>
          <w:rFonts w:cs="Times New Roman"/>
          <w:noProof/>
          <w:szCs w:val="24"/>
        </w:rPr>
      </w:pPr>
      <w:r w:rsidRPr="003B2455">
        <w:rPr>
          <w:rFonts w:cs="Times New Roman"/>
          <w:noProof/>
          <w:szCs w:val="24"/>
        </w:rPr>
        <w:t xml:space="preserve">Schwarz G 1978 Estimating the dimension of a model </w:t>
      </w:r>
      <w:r w:rsidRPr="003B2455">
        <w:rPr>
          <w:rFonts w:cs="Times New Roman"/>
          <w:i/>
          <w:iCs/>
          <w:noProof/>
          <w:szCs w:val="24"/>
        </w:rPr>
        <w:t>Ann. Stat.</w:t>
      </w:r>
      <w:r w:rsidRPr="003B2455">
        <w:rPr>
          <w:rFonts w:cs="Times New Roman"/>
          <w:noProof/>
          <w:szCs w:val="24"/>
        </w:rPr>
        <w:t xml:space="preserve"> Online: http://projecteuclid.org/euclid.aos/1176344136</w:t>
      </w:r>
    </w:p>
    <w:p w14:paraId="73041203" w14:textId="77777777" w:rsidR="003B2455" w:rsidRPr="003B2455" w:rsidRDefault="003B2455" w:rsidP="003B2455">
      <w:pPr>
        <w:widowControl w:val="0"/>
        <w:autoSpaceDE w:val="0"/>
        <w:autoSpaceDN w:val="0"/>
        <w:adjustRightInd w:val="0"/>
        <w:spacing w:line="240" w:lineRule="auto"/>
        <w:ind w:left="480" w:hanging="480"/>
        <w:rPr>
          <w:rFonts w:cs="Times New Roman"/>
          <w:noProof/>
          <w:szCs w:val="24"/>
        </w:rPr>
      </w:pPr>
      <w:r w:rsidRPr="003B2455">
        <w:rPr>
          <w:rFonts w:cs="Times New Roman"/>
          <w:noProof/>
          <w:szCs w:val="24"/>
        </w:rPr>
        <w:t xml:space="preserve">Stern D I and Kaufmann R K 2013 Anthropogenic and natural causes of climate change </w:t>
      </w:r>
      <w:r w:rsidRPr="003B2455">
        <w:rPr>
          <w:rFonts w:cs="Times New Roman"/>
          <w:i/>
          <w:iCs/>
          <w:noProof/>
          <w:szCs w:val="24"/>
        </w:rPr>
        <w:t>Clim. Change</w:t>
      </w:r>
      <w:r w:rsidRPr="003B2455">
        <w:rPr>
          <w:rFonts w:cs="Times New Roman"/>
          <w:noProof/>
          <w:szCs w:val="24"/>
        </w:rPr>
        <w:t xml:space="preserve"> </w:t>
      </w:r>
      <w:r w:rsidRPr="003B2455">
        <w:rPr>
          <w:rFonts w:cs="Times New Roman"/>
          <w:b/>
          <w:bCs/>
          <w:noProof/>
          <w:szCs w:val="24"/>
        </w:rPr>
        <w:t>122</w:t>
      </w:r>
      <w:r w:rsidRPr="003B2455">
        <w:rPr>
          <w:rFonts w:cs="Times New Roman"/>
          <w:noProof/>
          <w:szCs w:val="24"/>
        </w:rPr>
        <w:t xml:space="preserve"> 257–69 Online: http://link.springer.com/10.1007/s10584-013-1007-x</w:t>
      </w:r>
    </w:p>
    <w:p w14:paraId="7E33ECF4" w14:textId="77777777" w:rsidR="003B2455" w:rsidRPr="003B2455" w:rsidRDefault="003B2455" w:rsidP="003B2455">
      <w:pPr>
        <w:widowControl w:val="0"/>
        <w:autoSpaceDE w:val="0"/>
        <w:autoSpaceDN w:val="0"/>
        <w:adjustRightInd w:val="0"/>
        <w:spacing w:line="240" w:lineRule="auto"/>
        <w:ind w:left="480" w:hanging="480"/>
        <w:rPr>
          <w:rFonts w:cs="Times New Roman"/>
          <w:noProof/>
        </w:rPr>
      </w:pPr>
      <w:r w:rsidRPr="003B2455">
        <w:rPr>
          <w:rFonts w:cs="Times New Roman"/>
          <w:noProof/>
          <w:szCs w:val="24"/>
        </w:rPr>
        <w:t xml:space="preserve">Stocker T F, Qin D, Plattner G-K, Alexander L V, Allen S K, Bindoff N L, Bréon F-M, Church J A, Cubasch U, Emori S, Forster P, Friedlingstein P, Gillett N, Gregory J M, Hartmann D L, </w:t>
      </w:r>
      <w:r w:rsidRPr="003B2455">
        <w:rPr>
          <w:rFonts w:cs="Times New Roman"/>
          <w:noProof/>
          <w:szCs w:val="24"/>
        </w:rPr>
        <w:lastRenderedPageBreak/>
        <w:t xml:space="preserve">Jansen E, Kirtman B, Knutti R, Kumar K K, Lemke P, Marotzke J, Masson-Delmotte, V. Meehl G A, Mokhov I I, Piao S, Ramaswamy V, Randall D, Rhein M, Rojas M, Sabine C, Shindell D, Talley L D, Vaughan D G and Xie S-P 2013 Technical Summary </w:t>
      </w:r>
      <w:r w:rsidRPr="003B2455">
        <w:rPr>
          <w:rFonts w:cs="Times New Roman"/>
          <w:i/>
          <w:iCs/>
          <w:noProof/>
          <w:szCs w:val="24"/>
        </w:rPr>
        <w:t>Climate Change 2013 - The Physical Science Basis</w:t>
      </w:r>
      <w:r w:rsidRPr="003B2455">
        <w:rPr>
          <w:rFonts w:cs="Times New Roman"/>
          <w:noProof/>
          <w:szCs w:val="24"/>
        </w:rPr>
        <w:t xml:space="preserve"> ed Intergovernmental Panel on Climate Change (Cambridge: Cambridge University Press) pp 31–116 Online: https://www.cambridge.org/core/product/identifier/CBO9781107415324A011/type/book_part</w:t>
      </w:r>
    </w:p>
    <w:p w14:paraId="6E8389DA" w14:textId="3409A281" w:rsidR="002D3F0B" w:rsidRPr="002D3F0B" w:rsidRDefault="002D3F0B" w:rsidP="002D3F0B">
      <w:r>
        <w:fldChar w:fldCharType="end"/>
      </w:r>
    </w:p>
    <w:p w14:paraId="736F083A" w14:textId="0E6FC8E7" w:rsidR="000F6C16" w:rsidRDefault="000F6C16" w:rsidP="000F6C16">
      <w:pPr>
        <w:pStyle w:val="Caption"/>
        <w:pageBreakBefore/>
        <w:rPr>
          <w:b w:val="0"/>
          <w:color w:val="auto"/>
          <w:sz w:val="22"/>
          <w:szCs w:val="22"/>
        </w:rPr>
      </w:pPr>
      <w:bookmarkStart w:id="7" w:name="_Toc441670206"/>
      <w:bookmarkStart w:id="8" w:name="_Toc37670727"/>
      <w:r w:rsidRPr="005D53A9">
        <w:rPr>
          <w:color w:val="000000" w:themeColor="text1"/>
          <w:sz w:val="22"/>
          <w:szCs w:val="22"/>
        </w:rPr>
        <w:lastRenderedPageBreak/>
        <w:t>Table S</w:t>
      </w:r>
      <w:r w:rsidRPr="005D53A9">
        <w:rPr>
          <w:color w:val="000000" w:themeColor="text1"/>
          <w:sz w:val="22"/>
          <w:szCs w:val="22"/>
        </w:rPr>
        <w:fldChar w:fldCharType="begin"/>
      </w:r>
      <w:r w:rsidRPr="005D53A9">
        <w:rPr>
          <w:color w:val="000000" w:themeColor="text1"/>
          <w:sz w:val="22"/>
          <w:szCs w:val="22"/>
        </w:rPr>
        <w:instrText xml:space="preserve"> SEQ Table_S \* ARABIC </w:instrText>
      </w:r>
      <w:r w:rsidRPr="005D53A9">
        <w:rPr>
          <w:color w:val="000000" w:themeColor="text1"/>
          <w:sz w:val="22"/>
          <w:szCs w:val="22"/>
        </w:rPr>
        <w:fldChar w:fldCharType="separate"/>
      </w:r>
      <w:r w:rsidR="00263C04">
        <w:rPr>
          <w:noProof/>
          <w:color w:val="000000" w:themeColor="text1"/>
          <w:sz w:val="22"/>
          <w:szCs w:val="22"/>
        </w:rPr>
        <w:t>1</w:t>
      </w:r>
      <w:r w:rsidRPr="005D53A9">
        <w:rPr>
          <w:color w:val="000000" w:themeColor="text1"/>
          <w:sz w:val="22"/>
          <w:szCs w:val="22"/>
        </w:rPr>
        <w:fldChar w:fldCharType="end"/>
      </w:r>
      <w:r w:rsidRPr="00A3683F">
        <w:rPr>
          <w:color w:val="auto"/>
          <w:sz w:val="22"/>
          <w:szCs w:val="22"/>
        </w:rPr>
        <w:t xml:space="preserve">. </w:t>
      </w:r>
      <w:r w:rsidRPr="00A3683F">
        <w:rPr>
          <w:b w:val="0"/>
          <w:color w:val="auto"/>
          <w:sz w:val="22"/>
          <w:szCs w:val="22"/>
        </w:rPr>
        <w:t>List of CMIP</w:t>
      </w:r>
      <w:r w:rsidR="00B26C34">
        <w:rPr>
          <w:b w:val="0"/>
          <w:color w:val="auto"/>
          <w:sz w:val="22"/>
          <w:szCs w:val="22"/>
        </w:rPr>
        <w:t>6</w:t>
      </w:r>
      <w:r w:rsidRPr="00A3683F">
        <w:rPr>
          <w:b w:val="0"/>
          <w:color w:val="auto"/>
          <w:sz w:val="22"/>
          <w:szCs w:val="22"/>
        </w:rPr>
        <w:t xml:space="preserve"> </w:t>
      </w:r>
      <w:proofErr w:type="spellStart"/>
      <w:r w:rsidR="00AB6435" w:rsidRPr="00AB6435">
        <w:rPr>
          <w:b w:val="0"/>
          <w:color w:val="auto"/>
          <w:sz w:val="22"/>
          <w:szCs w:val="22"/>
        </w:rPr>
        <w:t>HighResMIP</w:t>
      </w:r>
      <w:proofErr w:type="spellEnd"/>
      <w:r w:rsidR="00AB6435" w:rsidRPr="00AB6435">
        <w:rPr>
          <w:b w:val="0"/>
          <w:color w:val="auto"/>
          <w:sz w:val="22"/>
          <w:szCs w:val="22"/>
        </w:rPr>
        <w:t xml:space="preserve"> </w:t>
      </w:r>
      <w:r w:rsidRPr="00A3683F">
        <w:rPr>
          <w:b w:val="0"/>
          <w:color w:val="auto"/>
          <w:sz w:val="22"/>
          <w:szCs w:val="22"/>
        </w:rPr>
        <w:t>models used in th</w:t>
      </w:r>
      <w:r>
        <w:rPr>
          <w:b w:val="0"/>
          <w:color w:val="auto"/>
          <w:sz w:val="22"/>
          <w:szCs w:val="22"/>
        </w:rPr>
        <w:t>is</w:t>
      </w:r>
      <w:r w:rsidRPr="00A3683F">
        <w:rPr>
          <w:b w:val="0"/>
          <w:color w:val="auto"/>
          <w:sz w:val="22"/>
          <w:szCs w:val="22"/>
        </w:rPr>
        <w:t xml:space="preserve"> study</w:t>
      </w:r>
      <w:bookmarkEnd w:id="7"/>
      <w:bookmarkEnd w:id="8"/>
    </w:p>
    <w:tbl>
      <w:tblPr>
        <w:tblW w:w="10710" w:type="dxa"/>
        <w:jc w:val="center"/>
        <w:tblLook w:val="04A0" w:firstRow="1" w:lastRow="0" w:firstColumn="1" w:lastColumn="0" w:noHBand="0" w:noVBand="1"/>
      </w:tblPr>
      <w:tblGrid>
        <w:gridCol w:w="740"/>
        <w:gridCol w:w="2320"/>
        <w:gridCol w:w="3240"/>
        <w:gridCol w:w="2970"/>
        <w:gridCol w:w="1440"/>
      </w:tblGrid>
      <w:tr w:rsidR="009B5417" w:rsidRPr="009B5417" w14:paraId="761D25A3" w14:textId="77777777" w:rsidTr="009B0552">
        <w:trPr>
          <w:trHeight w:val="402"/>
          <w:jc w:val="center"/>
        </w:trPr>
        <w:tc>
          <w:tcPr>
            <w:tcW w:w="740" w:type="dxa"/>
            <w:tcBorders>
              <w:top w:val="single" w:sz="4" w:space="0" w:color="auto"/>
              <w:left w:val="nil"/>
              <w:bottom w:val="single" w:sz="4" w:space="0" w:color="auto"/>
              <w:right w:val="nil"/>
            </w:tcBorders>
            <w:shd w:val="clear" w:color="auto" w:fill="auto"/>
            <w:noWrap/>
            <w:vAlign w:val="center"/>
            <w:hideMark/>
          </w:tcPr>
          <w:p w14:paraId="3C630B42"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No.</w:t>
            </w:r>
          </w:p>
        </w:tc>
        <w:tc>
          <w:tcPr>
            <w:tcW w:w="2320" w:type="dxa"/>
            <w:tcBorders>
              <w:top w:val="single" w:sz="4" w:space="0" w:color="auto"/>
              <w:left w:val="nil"/>
              <w:bottom w:val="single" w:sz="4" w:space="0" w:color="auto"/>
              <w:right w:val="nil"/>
            </w:tcBorders>
            <w:shd w:val="clear" w:color="auto" w:fill="auto"/>
            <w:noWrap/>
            <w:vAlign w:val="center"/>
            <w:hideMark/>
          </w:tcPr>
          <w:p w14:paraId="3EB3A7C3"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Model name</w:t>
            </w:r>
          </w:p>
        </w:tc>
        <w:tc>
          <w:tcPr>
            <w:tcW w:w="3240" w:type="dxa"/>
            <w:tcBorders>
              <w:top w:val="single" w:sz="4" w:space="0" w:color="auto"/>
              <w:left w:val="nil"/>
              <w:bottom w:val="single" w:sz="4" w:space="0" w:color="auto"/>
              <w:right w:val="nil"/>
            </w:tcBorders>
            <w:shd w:val="clear" w:color="auto" w:fill="auto"/>
            <w:noWrap/>
            <w:vAlign w:val="center"/>
            <w:hideMark/>
          </w:tcPr>
          <w:p w14:paraId="0D37B3F1"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Modelling center, country</w:t>
            </w:r>
          </w:p>
        </w:tc>
        <w:tc>
          <w:tcPr>
            <w:tcW w:w="2970" w:type="dxa"/>
            <w:tcBorders>
              <w:top w:val="single" w:sz="4" w:space="0" w:color="auto"/>
              <w:left w:val="nil"/>
              <w:bottom w:val="single" w:sz="4" w:space="0" w:color="auto"/>
              <w:right w:val="nil"/>
            </w:tcBorders>
            <w:shd w:val="clear" w:color="auto" w:fill="auto"/>
            <w:noWrap/>
            <w:vAlign w:val="center"/>
            <w:hideMark/>
          </w:tcPr>
          <w:p w14:paraId="2CFEDEB2"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Atmosphere resolution</w:t>
            </w:r>
          </w:p>
        </w:tc>
        <w:tc>
          <w:tcPr>
            <w:tcW w:w="1440" w:type="dxa"/>
            <w:tcBorders>
              <w:top w:val="single" w:sz="4" w:space="0" w:color="auto"/>
              <w:left w:val="nil"/>
              <w:bottom w:val="single" w:sz="4" w:space="0" w:color="auto"/>
              <w:right w:val="nil"/>
            </w:tcBorders>
            <w:shd w:val="clear" w:color="auto" w:fill="auto"/>
            <w:noWrap/>
            <w:vAlign w:val="center"/>
            <w:hideMark/>
          </w:tcPr>
          <w:p w14:paraId="48B22AB4"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Ocean resolution</w:t>
            </w:r>
          </w:p>
        </w:tc>
      </w:tr>
      <w:tr w:rsidR="009B5417" w:rsidRPr="009B5417" w14:paraId="32F52413"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5739CDC8"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w:t>
            </w:r>
          </w:p>
        </w:tc>
        <w:tc>
          <w:tcPr>
            <w:tcW w:w="2320" w:type="dxa"/>
            <w:tcBorders>
              <w:top w:val="nil"/>
              <w:left w:val="nil"/>
              <w:bottom w:val="nil"/>
              <w:right w:val="nil"/>
            </w:tcBorders>
            <w:shd w:val="clear" w:color="auto" w:fill="auto"/>
            <w:noWrap/>
            <w:vAlign w:val="center"/>
            <w:hideMark/>
          </w:tcPr>
          <w:p w14:paraId="5F985D54"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BCC-CSM2-HR</w:t>
            </w:r>
          </w:p>
        </w:tc>
        <w:tc>
          <w:tcPr>
            <w:tcW w:w="3240" w:type="dxa"/>
            <w:tcBorders>
              <w:top w:val="nil"/>
              <w:left w:val="nil"/>
              <w:bottom w:val="nil"/>
              <w:right w:val="nil"/>
            </w:tcBorders>
            <w:shd w:val="clear" w:color="auto" w:fill="auto"/>
            <w:noWrap/>
            <w:vAlign w:val="center"/>
            <w:hideMark/>
          </w:tcPr>
          <w:p w14:paraId="73413A07"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BCC, China</w:t>
            </w:r>
          </w:p>
        </w:tc>
        <w:tc>
          <w:tcPr>
            <w:tcW w:w="2970" w:type="dxa"/>
            <w:tcBorders>
              <w:top w:val="nil"/>
              <w:left w:val="nil"/>
              <w:bottom w:val="nil"/>
              <w:right w:val="nil"/>
            </w:tcBorders>
            <w:shd w:val="clear" w:color="auto" w:fill="auto"/>
            <w:noWrap/>
            <w:vAlign w:val="center"/>
            <w:hideMark/>
          </w:tcPr>
          <w:p w14:paraId="285C0891"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 (~ 50 km × 50 km)</w:t>
            </w:r>
          </w:p>
        </w:tc>
        <w:tc>
          <w:tcPr>
            <w:tcW w:w="1440" w:type="dxa"/>
            <w:tcBorders>
              <w:top w:val="nil"/>
              <w:left w:val="nil"/>
              <w:bottom w:val="nil"/>
              <w:right w:val="nil"/>
            </w:tcBorders>
            <w:shd w:val="clear" w:color="auto" w:fill="auto"/>
            <w:noWrap/>
            <w:vAlign w:val="center"/>
            <w:hideMark/>
          </w:tcPr>
          <w:p w14:paraId="6DC17D69"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r>
      <w:tr w:rsidR="009B5417" w:rsidRPr="009B5417" w14:paraId="2AFEAF47"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0175BB5B"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2</w:t>
            </w:r>
          </w:p>
        </w:tc>
        <w:tc>
          <w:tcPr>
            <w:tcW w:w="2320" w:type="dxa"/>
            <w:tcBorders>
              <w:top w:val="nil"/>
              <w:left w:val="nil"/>
              <w:bottom w:val="nil"/>
              <w:right w:val="nil"/>
            </w:tcBorders>
            <w:shd w:val="clear" w:color="auto" w:fill="auto"/>
            <w:noWrap/>
            <w:vAlign w:val="center"/>
            <w:hideMark/>
          </w:tcPr>
          <w:p w14:paraId="1CA14C5B"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CAMS-CSM1-0</w:t>
            </w:r>
          </w:p>
        </w:tc>
        <w:tc>
          <w:tcPr>
            <w:tcW w:w="3240" w:type="dxa"/>
            <w:tcBorders>
              <w:top w:val="nil"/>
              <w:left w:val="nil"/>
              <w:bottom w:val="nil"/>
              <w:right w:val="nil"/>
            </w:tcBorders>
            <w:shd w:val="clear" w:color="auto" w:fill="auto"/>
            <w:noWrap/>
            <w:vAlign w:val="center"/>
            <w:hideMark/>
          </w:tcPr>
          <w:p w14:paraId="72FAFEAC"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CAMS, China</w:t>
            </w:r>
          </w:p>
        </w:tc>
        <w:tc>
          <w:tcPr>
            <w:tcW w:w="2970" w:type="dxa"/>
            <w:tcBorders>
              <w:top w:val="nil"/>
              <w:left w:val="nil"/>
              <w:bottom w:val="nil"/>
              <w:right w:val="nil"/>
            </w:tcBorders>
            <w:shd w:val="clear" w:color="auto" w:fill="auto"/>
            <w:noWrap/>
            <w:vAlign w:val="center"/>
            <w:hideMark/>
          </w:tcPr>
          <w:p w14:paraId="2208F9FF"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c>
          <w:tcPr>
            <w:tcW w:w="1440" w:type="dxa"/>
            <w:tcBorders>
              <w:top w:val="nil"/>
              <w:left w:val="nil"/>
              <w:bottom w:val="nil"/>
              <w:right w:val="nil"/>
            </w:tcBorders>
            <w:shd w:val="clear" w:color="auto" w:fill="auto"/>
            <w:noWrap/>
            <w:vAlign w:val="center"/>
            <w:hideMark/>
          </w:tcPr>
          <w:p w14:paraId="4D6B5DEA"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r>
      <w:tr w:rsidR="009B5417" w:rsidRPr="009B5417" w14:paraId="589E1F04"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07970566"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3</w:t>
            </w:r>
          </w:p>
        </w:tc>
        <w:tc>
          <w:tcPr>
            <w:tcW w:w="2320" w:type="dxa"/>
            <w:tcBorders>
              <w:top w:val="nil"/>
              <w:left w:val="nil"/>
              <w:bottom w:val="nil"/>
              <w:right w:val="nil"/>
            </w:tcBorders>
            <w:shd w:val="clear" w:color="auto" w:fill="auto"/>
            <w:noWrap/>
            <w:vAlign w:val="center"/>
            <w:hideMark/>
          </w:tcPr>
          <w:p w14:paraId="47B6BBEC"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CMCC-CM2-HR4</w:t>
            </w:r>
          </w:p>
        </w:tc>
        <w:tc>
          <w:tcPr>
            <w:tcW w:w="3240" w:type="dxa"/>
            <w:tcBorders>
              <w:top w:val="nil"/>
              <w:left w:val="nil"/>
              <w:bottom w:val="nil"/>
              <w:right w:val="nil"/>
            </w:tcBorders>
            <w:shd w:val="clear" w:color="auto" w:fill="auto"/>
            <w:noWrap/>
            <w:vAlign w:val="center"/>
            <w:hideMark/>
          </w:tcPr>
          <w:p w14:paraId="48542A78"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CMCC, Italy</w:t>
            </w:r>
          </w:p>
        </w:tc>
        <w:tc>
          <w:tcPr>
            <w:tcW w:w="2970" w:type="dxa"/>
            <w:tcBorders>
              <w:top w:val="nil"/>
              <w:left w:val="nil"/>
              <w:bottom w:val="nil"/>
              <w:right w:val="nil"/>
            </w:tcBorders>
            <w:shd w:val="clear" w:color="auto" w:fill="auto"/>
            <w:noWrap/>
            <w:vAlign w:val="center"/>
            <w:hideMark/>
          </w:tcPr>
          <w:p w14:paraId="5FEE2059"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 xml:space="preserve">1° </w:t>
            </w:r>
            <w:r w:rsidRPr="009B5417">
              <w:rPr>
                <w:rFonts w:ascii="Calibri" w:eastAsia="Times New Roman" w:hAnsi="Calibri" w:cs="Calibri"/>
                <w:color w:val="000000"/>
                <w:sz w:val="22"/>
                <w:lang w:eastAsia="ko-KR"/>
              </w:rPr>
              <w:t>×</w:t>
            </w:r>
            <w:r w:rsidRPr="009B5417">
              <w:rPr>
                <w:rFonts w:eastAsia="Times New Roman" w:cs="Times New Roman"/>
                <w:color w:val="000000"/>
                <w:sz w:val="22"/>
                <w:lang w:eastAsia="ko-KR"/>
              </w:rPr>
              <w:t xml:space="preserve"> 1°</w:t>
            </w:r>
          </w:p>
        </w:tc>
        <w:tc>
          <w:tcPr>
            <w:tcW w:w="1440" w:type="dxa"/>
            <w:tcBorders>
              <w:top w:val="nil"/>
              <w:left w:val="nil"/>
              <w:bottom w:val="nil"/>
              <w:right w:val="nil"/>
            </w:tcBorders>
            <w:shd w:val="clear" w:color="auto" w:fill="auto"/>
            <w:noWrap/>
            <w:vAlign w:val="center"/>
            <w:hideMark/>
          </w:tcPr>
          <w:p w14:paraId="4D5BDF9B"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r>
      <w:tr w:rsidR="009B5417" w:rsidRPr="009B5417" w14:paraId="1052FB2D"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4518B0E6"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4</w:t>
            </w:r>
          </w:p>
        </w:tc>
        <w:tc>
          <w:tcPr>
            <w:tcW w:w="2320" w:type="dxa"/>
            <w:tcBorders>
              <w:top w:val="nil"/>
              <w:left w:val="nil"/>
              <w:bottom w:val="nil"/>
              <w:right w:val="nil"/>
            </w:tcBorders>
            <w:shd w:val="clear" w:color="auto" w:fill="auto"/>
            <w:noWrap/>
            <w:vAlign w:val="center"/>
            <w:hideMark/>
          </w:tcPr>
          <w:p w14:paraId="5F47363A"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CMCC-CM2-VHR4</w:t>
            </w:r>
          </w:p>
        </w:tc>
        <w:tc>
          <w:tcPr>
            <w:tcW w:w="3240" w:type="dxa"/>
            <w:tcBorders>
              <w:top w:val="nil"/>
              <w:left w:val="nil"/>
              <w:bottom w:val="nil"/>
              <w:right w:val="nil"/>
            </w:tcBorders>
            <w:shd w:val="clear" w:color="auto" w:fill="auto"/>
            <w:noWrap/>
            <w:vAlign w:val="center"/>
            <w:hideMark/>
          </w:tcPr>
          <w:p w14:paraId="49F844A2"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CMCC, Italy</w:t>
            </w:r>
          </w:p>
        </w:tc>
        <w:tc>
          <w:tcPr>
            <w:tcW w:w="2970" w:type="dxa"/>
            <w:tcBorders>
              <w:top w:val="nil"/>
              <w:left w:val="nil"/>
              <w:bottom w:val="nil"/>
              <w:right w:val="nil"/>
            </w:tcBorders>
            <w:shd w:val="clear" w:color="auto" w:fill="auto"/>
            <w:noWrap/>
            <w:vAlign w:val="center"/>
            <w:hideMark/>
          </w:tcPr>
          <w:p w14:paraId="546DD477"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c>
          <w:tcPr>
            <w:tcW w:w="1440" w:type="dxa"/>
            <w:tcBorders>
              <w:top w:val="nil"/>
              <w:left w:val="nil"/>
              <w:bottom w:val="nil"/>
              <w:right w:val="nil"/>
            </w:tcBorders>
            <w:shd w:val="clear" w:color="auto" w:fill="auto"/>
            <w:noWrap/>
            <w:vAlign w:val="center"/>
            <w:hideMark/>
          </w:tcPr>
          <w:p w14:paraId="147CBC5D"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r>
      <w:tr w:rsidR="009B5417" w:rsidRPr="009B5417" w14:paraId="4A052E59"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5A7ABA73"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5</w:t>
            </w:r>
          </w:p>
        </w:tc>
        <w:tc>
          <w:tcPr>
            <w:tcW w:w="2320" w:type="dxa"/>
            <w:tcBorders>
              <w:top w:val="nil"/>
              <w:left w:val="nil"/>
              <w:bottom w:val="nil"/>
              <w:right w:val="nil"/>
            </w:tcBorders>
            <w:shd w:val="clear" w:color="auto" w:fill="auto"/>
            <w:noWrap/>
            <w:vAlign w:val="center"/>
            <w:hideMark/>
          </w:tcPr>
          <w:p w14:paraId="314FA419"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CNRM-CM6-1</w:t>
            </w:r>
          </w:p>
        </w:tc>
        <w:tc>
          <w:tcPr>
            <w:tcW w:w="3240" w:type="dxa"/>
            <w:tcBorders>
              <w:top w:val="nil"/>
              <w:left w:val="nil"/>
              <w:bottom w:val="nil"/>
              <w:right w:val="nil"/>
            </w:tcBorders>
            <w:shd w:val="clear" w:color="auto" w:fill="auto"/>
            <w:noWrap/>
            <w:vAlign w:val="center"/>
            <w:hideMark/>
          </w:tcPr>
          <w:p w14:paraId="57571026"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CNRM-CERFACS, France</w:t>
            </w:r>
          </w:p>
        </w:tc>
        <w:tc>
          <w:tcPr>
            <w:tcW w:w="2970" w:type="dxa"/>
            <w:tcBorders>
              <w:top w:val="nil"/>
              <w:left w:val="nil"/>
              <w:bottom w:val="nil"/>
              <w:right w:val="nil"/>
            </w:tcBorders>
            <w:shd w:val="clear" w:color="auto" w:fill="auto"/>
            <w:noWrap/>
            <w:vAlign w:val="center"/>
            <w:hideMark/>
          </w:tcPr>
          <w:p w14:paraId="42135D11"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2.5° × 2.5°</w:t>
            </w:r>
          </w:p>
        </w:tc>
        <w:tc>
          <w:tcPr>
            <w:tcW w:w="1440" w:type="dxa"/>
            <w:tcBorders>
              <w:top w:val="nil"/>
              <w:left w:val="nil"/>
              <w:bottom w:val="nil"/>
              <w:right w:val="nil"/>
            </w:tcBorders>
            <w:shd w:val="clear" w:color="auto" w:fill="auto"/>
            <w:noWrap/>
            <w:vAlign w:val="center"/>
            <w:hideMark/>
          </w:tcPr>
          <w:p w14:paraId="7BE63827"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r>
      <w:tr w:rsidR="009B5417" w:rsidRPr="009B5417" w14:paraId="77CCAD59"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43CFE1AD"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6</w:t>
            </w:r>
          </w:p>
        </w:tc>
        <w:tc>
          <w:tcPr>
            <w:tcW w:w="2320" w:type="dxa"/>
            <w:tcBorders>
              <w:top w:val="nil"/>
              <w:left w:val="nil"/>
              <w:bottom w:val="nil"/>
              <w:right w:val="nil"/>
            </w:tcBorders>
            <w:shd w:val="clear" w:color="auto" w:fill="auto"/>
            <w:noWrap/>
            <w:vAlign w:val="center"/>
            <w:hideMark/>
          </w:tcPr>
          <w:p w14:paraId="19117F6B"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CNRM-CM6-1-HR</w:t>
            </w:r>
          </w:p>
        </w:tc>
        <w:tc>
          <w:tcPr>
            <w:tcW w:w="3240" w:type="dxa"/>
            <w:tcBorders>
              <w:top w:val="nil"/>
              <w:left w:val="nil"/>
              <w:bottom w:val="nil"/>
              <w:right w:val="nil"/>
            </w:tcBorders>
            <w:shd w:val="clear" w:color="auto" w:fill="auto"/>
            <w:noWrap/>
            <w:vAlign w:val="center"/>
            <w:hideMark/>
          </w:tcPr>
          <w:p w14:paraId="4F51EFFB"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CNRM-CERFACS, France</w:t>
            </w:r>
          </w:p>
        </w:tc>
        <w:tc>
          <w:tcPr>
            <w:tcW w:w="2970" w:type="dxa"/>
            <w:tcBorders>
              <w:top w:val="nil"/>
              <w:left w:val="nil"/>
              <w:bottom w:val="nil"/>
              <w:right w:val="nil"/>
            </w:tcBorders>
            <w:shd w:val="clear" w:color="auto" w:fill="auto"/>
            <w:noWrap/>
            <w:vAlign w:val="center"/>
            <w:hideMark/>
          </w:tcPr>
          <w:p w14:paraId="15704E4C"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c>
          <w:tcPr>
            <w:tcW w:w="1440" w:type="dxa"/>
            <w:tcBorders>
              <w:top w:val="nil"/>
              <w:left w:val="nil"/>
              <w:bottom w:val="nil"/>
              <w:right w:val="nil"/>
            </w:tcBorders>
            <w:shd w:val="clear" w:color="auto" w:fill="auto"/>
            <w:noWrap/>
            <w:vAlign w:val="center"/>
            <w:hideMark/>
          </w:tcPr>
          <w:p w14:paraId="1078727C"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r>
      <w:tr w:rsidR="009B5417" w:rsidRPr="009B5417" w14:paraId="4FF5607A"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02233947"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7</w:t>
            </w:r>
          </w:p>
        </w:tc>
        <w:tc>
          <w:tcPr>
            <w:tcW w:w="2320" w:type="dxa"/>
            <w:tcBorders>
              <w:top w:val="nil"/>
              <w:left w:val="nil"/>
              <w:bottom w:val="nil"/>
              <w:right w:val="nil"/>
            </w:tcBorders>
            <w:shd w:val="clear" w:color="auto" w:fill="auto"/>
            <w:noWrap/>
            <w:vAlign w:val="center"/>
            <w:hideMark/>
          </w:tcPr>
          <w:p w14:paraId="1C591BB5"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ECMWF-IFS-HR</w:t>
            </w:r>
          </w:p>
        </w:tc>
        <w:tc>
          <w:tcPr>
            <w:tcW w:w="3240" w:type="dxa"/>
            <w:tcBorders>
              <w:top w:val="nil"/>
              <w:left w:val="nil"/>
              <w:bottom w:val="nil"/>
              <w:right w:val="nil"/>
            </w:tcBorders>
            <w:shd w:val="clear" w:color="auto" w:fill="auto"/>
            <w:noWrap/>
            <w:vAlign w:val="center"/>
            <w:hideMark/>
          </w:tcPr>
          <w:p w14:paraId="2188AA1A"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ECMWF, Europe</w:t>
            </w:r>
          </w:p>
        </w:tc>
        <w:tc>
          <w:tcPr>
            <w:tcW w:w="2970" w:type="dxa"/>
            <w:tcBorders>
              <w:top w:val="nil"/>
              <w:left w:val="nil"/>
              <w:bottom w:val="nil"/>
              <w:right w:val="nil"/>
            </w:tcBorders>
            <w:shd w:val="clear" w:color="auto" w:fill="auto"/>
            <w:noWrap/>
            <w:vAlign w:val="center"/>
            <w:hideMark/>
          </w:tcPr>
          <w:p w14:paraId="12F26C88"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c>
          <w:tcPr>
            <w:tcW w:w="1440" w:type="dxa"/>
            <w:tcBorders>
              <w:top w:val="nil"/>
              <w:left w:val="nil"/>
              <w:bottom w:val="nil"/>
              <w:right w:val="nil"/>
            </w:tcBorders>
            <w:shd w:val="clear" w:color="auto" w:fill="auto"/>
            <w:noWrap/>
            <w:vAlign w:val="center"/>
            <w:hideMark/>
          </w:tcPr>
          <w:p w14:paraId="793A6303"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r>
      <w:tr w:rsidR="009B5417" w:rsidRPr="009B5417" w14:paraId="62800556"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138301DD"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8</w:t>
            </w:r>
          </w:p>
        </w:tc>
        <w:tc>
          <w:tcPr>
            <w:tcW w:w="2320" w:type="dxa"/>
            <w:tcBorders>
              <w:top w:val="nil"/>
              <w:left w:val="nil"/>
              <w:bottom w:val="nil"/>
              <w:right w:val="nil"/>
            </w:tcBorders>
            <w:shd w:val="clear" w:color="auto" w:fill="auto"/>
            <w:noWrap/>
            <w:vAlign w:val="center"/>
            <w:hideMark/>
          </w:tcPr>
          <w:p w14:paraId="23EB3116"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ECMWF-IFS-LR</w:t>
            </w:r>
          </w:p>
        </w:tc>
        <w:tc>
          <w:tcPr>
            <w:tcW w:w="3240" w:type="dxa"/>
            <w:tcBorders>
              <w:top w:val="nil"/>
              <w:left w:val="nil"/>
              <w:bottom w:val="nil"/>
              <w:right w:val="nil"/>
            </w:tcBorders>
            <w:shd w:val="clear" w:color="auto" w:fill="auto"/>
            <w:noWrap/>
            <w:vAlign w:val="center"/>
            <w:hideMark/>
          </w:tcPr>
          <w:p w14:paraId="10C6DC81"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ECMWF, Europe</w:t>
            </w:r>
          </w:p>
        </w:tc>
        <w:tc>
          <w:tcPr>
            <w:tcW w:w="2970" w:type="dxa"/>
            <w:tcBorders>
              <w:top w:val="nil"/>
              <w:left w:val="nil"/>
              <w:bottom w:val="nil"/>
              <w:right w:val="nil"/>
            </w:tcBorders>
            <w:shd w:val="clear" w:color="auto" w:fill="auto"/>
            <w:noWrap/>
            <w:vAlign w:val="center"/>
            <w:hideMark/>
          </w:tcPr>
          <w:p w14:paraId="38060D97"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c>
          <w:tcPr>
            <w:tcW w:w="1440" w:type="dxa"/>
            <w:tcBorders>
              <w:top w:val="nil"/>
              <w:left w:val="nil"/>
              <w:bottom w:val="nil"/>
              <w:right w:val="nil"/>
            </w:tcBorders>
            <w:shd w:val="clear" w:color="auto" w:fill="auto"/>
            <w:noWrap/>
            <w:vAlign w:val="center"/>
            <w:hideMark/>
          </w:tcPr>
          <w:p w14:paraId="5B4433B1"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r>
      <w:tr w:rsidR="009B5417" w:rsidRPr="009B5417" w14:paraId="3D7C5902"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64598DA1"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9</w:t>
            </w:r>
          </w:p>
        </w:tc>
        <w:tc>
          <w:tcPr>
            <w:tcW w:w="2320" w:type="dxa"/>
            <w:tcBorders>
              <w:top w:val="nil"/>
              <w:left w:val="nil"/>
              <w:bottom w:val="nil"/>
              <w:right w:val="nil"/>
            </w:tcBorders>
            <w:shd w:val="clear" w:color="auto" w:fill="auto"/>
            <w:noWrap/>
            <w:vAlign w:val="center"/>
            <w:hideMark/>
          </w:tcPr>
          <w:p w14:paraId="5A9B4E13"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FGOALS-f3-H</w:t>
            </w:r>
          </w:p>
        </w:tc>
        <w:tc>
          <w:tcPr>
            <w:tcW w:w="3240" w:type="dxa"/>
            <w:tcBorders>
              <w:top w:val="nil"/>
              <w:left w:val="nil"/>
              <w:bottom w:val="nil"/>
              <w:right w:val="nil"/>
            </w:tcBorders>
            <w:shd w:val="clear" w:color="auto" w:fill="auto"/>
            <w:noWrap/>
            <w:vAlign w:val="center"/>
            <w:hideMark/>
          </w:tcPr>
          <w:p w14:paraId="130F2105"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CAS, China</w:t>
            </w:r>
          </w:p>
        </w:tc>
        <w:tc>
          <w:tcPr>
            <w:tcW w:w="2970" w:type="dxa"/>
            <w:tcBorders>
              <w:top w:val="nil"/>
              <w:left w:val="nil"/>
              <w:bottom w:val="nil"/>
              <w:right w:val="nil"/>
            </w:tcBorders>
            <w:shd w:val="clear" w:color="auto" w:fill="auto"/>
            <w:noWrap/>
            <w:vAlign w:val="center"/>
            <w:hideMark/>
          </w:tcPr>
          <w:p w14:paraId="467288CB"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c>
          <w:tcPr>
            <w:tcW w:w="1440" w:type="dxa"/>
            <w:tcBorders>
              <w:top w:val="nil"/>
              <w:left w:val="nil"/>
              <w:bottom w:val="nil"/>
              <w:right w:val="nil"/>
            </w:tcBorders>
            <w:shd w:val="clear" w:color="auto" w:fill="auto"/>
            <w:noWrap/>
            <w:vAlign w:val="center"/>
            <w:hideMark/>
          </w:tcPr>
          <w:p w14:paraId="32F6B4A1"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0.1° × 0.1°</w:t>
            </w:r>
          </w:p>
        </w:tc>
      </w:tr>
      <w:tr w:rsidR="009B5417" w:rsidRPr="009B5417" w14:paraId="087F337C"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666F775E"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10</w:t>
            </w:r>
          </w:p>
        </w:tc>
        <w:tc>
          <w:tcPr>
            <w:tcW w:w="2320" w:type="dxa"/>
            <w:tcBorders>
              <w:top w:val="nil"/>
              <w:left w:val="nil"/>
              <w:bottom w:val="nil"/>
              <w:right w:val="nil"/>
            </w:tcBorders>
            <w:shd w:val="clear" w:color="auto" w:fill="auto"/>
            <w:noWrap/>
            <w:vAlign w:val="center"/>
            <w:hideMark/>
          </w:tcPr>
          <w:p w14:paraId="5D434297"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FGOALS-f3-L</w:t>
            </w:r>
          </w:p>
        </w:tc>
        <w:tc>
          <w:tcPr>
            <w:tcW w:w="3240" w:type="dxa"/>
            <w:tcBorders>
              <w:top w:val="nil"/>
              <w:left w:val="nil"/>
              <w:bottom w:val="nil"/>
              <w:right w:val="nil"/>
            </w:tcBorders>
            <w:shd w:val="clear" w:color="auto" w:fill="auto"/>
            <w:noWrap/>
            <w:vAlign w:val="center"/>
            <w:hideMark/>
          </w:tcPr>
          <w:p w14:paraId="785E74D7"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CAS, China</w:t>
            </w:r>
          </w:p>
        </w:tc>
        <w:tc>
          <w:tcPr>
            <w:tcW w:w="2970" w:type="dxa"/>
            <w:tcBorders>
              <w:top w:val="nil"/>
              <w:left w:val="nil"/>
              <w:bottom w:val="nil"/>
              <w:right w:val="nil"/>
            </w:tcBorders>
            <w:shd w:val="clear" w:color="auto" w:fill="auto"/>
            <w:noWrap/>
            <w:vAlign w:val="center"/>
            <w:hideMark/>
          </w:tcPr>
          <w:p w14:paraId="5AB56213"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c>
          <w:tcPr>
            <w:tcW w:w="1440" w:type="dxa"/>
            <w:tcBorders>
              <w:top w:val="nil"/>
              <w:left w:val="nil"/>
              <w:bottom w:val="nil"/>
              <w:right w:val="nil"/>
            </w:tcBorders>
            <w:shd w:val="clear" w:color="auto" w:fill="auto"/>
            <w:noWrap/>
            <w:vAlign w:val="center"/>
            <w:hideMark/>
          </w:tcPr>
          <w:p w14:paraId="7B806A69"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r>
      <w:tr w:rsidR="009B5417" w:rsidRPr="009B5417" w14:paraId="0D311E5B"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12E6E0E9"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11</w:t>
            </w:r>
          </w:p>
        </w:tc>
        <w:tc>
          <w:tcPr>
            <w:tcW w:w="2320" w:type="dxa"/>
            <w:tcBorders>
              <w:top w:val="nil"/>
              <w:left w:val="nil"/>
              <w:bottom w:val="nil"/>
              <w:right w:val="nil"/>
            </w:tcBorders>
            <w:shd w:val="clear" w:color="auto" w:fill="auto"/>
            <w:noWrap/>
            <w:vAlign w:val="center"/>
            <w:hideMark/>
          </w:tcPr>
          <w:p w14:paraId="3E4EFB59"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GFDL-CM4C192</w:t>
            </w:r>
          </w:p>
        </w:tc>
        <w:tc>
          <w:tcPr>
            <w:tcW w:w="3240" w:type="dxa"/>
            <w:tcBorders>
              <w:top w:val="nil"/>
              <w:left w:val="nil"/>
              <w:bottom w:val="nil"/>
              <w:right w:val="nil"/>
            </w:tcBorders>
            <w:shd w:val="clear" w:color="auto" w:fill="auto"/>
            <w:noWrap/>
            <w:vAlign w:val="center"/>
            <w:hideMark/>
          </w:tcPr>
          <w:p w14:paraId="770D61B7"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NOAA-GFDL, United States</w:t>
            </w:r>
          </w:p>
        </w:tc>
        <w:tc>
          <w:tcPr>
            <w:tcW w:w="2970" w:type="dxa"/>
            <w:tcBorders>
              <w:top w:val="nil"/>
              <w:left w:val="nil"/>
              <w:bottom w:val="nil"/>
              <w:right w:val="nil"/>
            </w:tcBorders>
            <w:shd w:val="clear" w:color="auto" w:fill="auto"/>
            <w:noWrap/>
            <w:vAlign w:val="center"/>
            <w:hideMark/>
          </w:tcPr>
          <w:p w14:paraId="576AA842"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c>
          <w:tcPr>
            <w:tcW w:w="1440" w:type="dxa"/>
            <w:tcBorders>
              <w:top w:val="nil"/>
              <w:left w:val="nil"/>
              <w:bottom w:val="nil"/>
              <w:right w:val="nil"/>
            </w:tcBorders>
            <w:shd w:val="clear" w:color="auto" w:fill="auto"/>
            <w:noWrap/>
            <w:vAlign w:val="center"/>
            <w:hideMark/>
          </w:tcPr>
          <w:p w14:paraId="31C5D2B4"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r>
      <w:tr w:rsidR="009B5417" w:rsidRPr="009B5417" w14:paraId="473D1553"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3066502B"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12</w:t>
            </w:r>
          </w:p>
        </w:tc>
        <w:tc>
          <w:tcPr>
            <w:tcW w:w="2320" w:type="dxa"/>
            <w:tcBorders>
              <w:top w:val="nil"/>
              <w:left w:val="nil"/>
              <w:bottom w:val="nil"/>
              <w:right w:val="nil"/>
            </w:tcBorders>
            <w:shd w:val="clear" w:color="auto" w:fill="auto"/>
            <w:noWrap/>
            <w:vAlign w:val="center"/>
            <w:hideMark/>
          </w:tcPr>
          <w:p w14:paraId="601E438E"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HadGEM3-GC31-HM</w:t>
            </w:r>
          </w:p>
        </w:tc>
        <w:tc>
          <w:tcPr>
            <w:tcW w:w="3240" w:type="dxa"/>
            <w:tcBorders>
              <w:top w:val="nil"/>
              <w:left w:val="nil"/>
              <w:bottom w:val="nil"/>
              <w:right w:val="nil"/>
            </w:tcBorders>
            <w:shd w:val="clear" w:color="auto" w:fill="auto"/>
            <w:noWrap/>
            <w:vAlign w:val="center"/>
            <w:hideMark/>
          </w:tcPr>
          <w:p w14:paraId="041298CC" w14:textId="7A03243D"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MOHC NERC, United Kingdom</w:t>
            </w:r>
          </w:p>
        </w:tc>
        <w:tc>
          <w:tcPr>
            <w:tcW w:w="2970" w:type="dxa"/>
            <w:tcBorders>
              <w:top w:val="nil"/>
              <w:left w:val="nil"/>
              <w:bottom w:val="nil"/>
              <w:right w:val="nil"/>
            </w:tcBorders>
            <w:shd w:val="clear" w:color="auto" w:fill="auto"/>
            <w:noWrap/>
            <w:vAlign w:val="center"/>
            <w:hideMark/>
          </w:tcPr>
          <w:p w14:paraId="587C8766"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c>
          <w:tcPr>
            <w:tcW w:w="1440" w:type="dxa"/>
            <w:tcBorders>
              <w:top w:val="nil"/>
              <w:left w:val="nil"/>
              <w:bottom w:val="nil"/>
              <w:right w:val="nil"/>
            </w:tcBorders>
            <w:shd w:val="clear" w:color="auto" w:fill="auto"/>
            <w:noWrap/>
            <w:vAlign w:val="center"/>
            <w:hideMark/>
          </w:tcPr>
          <w:p w14:paraId="3C634439"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r>
      <w:tr w:rsidR="009B5417" w:rsidRPr="009B5417" w14:paraId="68FBE746"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0D67EA18"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13</w:t>
            </w:r>
          </w:p>
        </w:tc>
        <w:tc>
          <w:tcPr>
            <w:tcW w:w="2320" w:type="dxa"/>
            <w:tcBorders>
              <w:top w:val="nil"/>
              <w:left w:val="nil"/>
              <w:bottom w:val="nil"/>
              <w:right w:val="nil"/>
            </w:tcBorders>
            <w:shd w:val="clear" w:color="auto" w:fill="auto"/>
            <w:noWrap/>
            <w:vAlign w:val="center"/>
            <w:hideMark/>
          </w:tcPr>
          <w:p w14:paraId="668C657F"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HadGEM3-GC31-LM</w:t>
            </w:r>
          </w:p>
        </w:tc>
        <w:tc>
          <w:tcPr>
            <w:tcW w:w="3240" w:type="dxa"/>
            <w:tcBorders>
              <w:top w:val="nil"/>
              <w:left w:val="nil"/>
              <w:bottom w:val="nil"/>
              <w:right w:val="nil"/>
            </w:tcBorders>
            <w:shd w:val="clear" w:color="auto" w:fill="auto"/>
            <w:noWrap/>
            <w:vAlign w:val="center"/>
            <w:hideMark/>
          </w:tcPr>
          <w:p w14:paraId="331E9D9E" w14:textId="553B4C52"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MOHC NERC, United Kingdom</w:t>
            </w:r>
          </w:p>
        </w:tc>
        <w:tc>
          <w:tcPr>
            <w:tcW w:w="2970" w:type="dxa"/>
            <w:tcBorders>
              <w:top w:val="nil"/>
              <w:left w:val="nil"/>
              <w:bottom w:val="nil"/>
              <w:right w:val="nil"/>
            </w:tcBorders>
            <w:shd w:val="clear" w:color="auto" w:fill="auto"/>
            <w:noWrap/>
            <w:vAlign w:val="center"/>
            <w:hideMark/>
          </w:tcPr>
          <w:p w14:paraId="38918021"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2.5° × 2.5°</w:t>
            </w:r>
          </w:p>
        </w:tc>
        <w:tc>
          <w:tcPr>
            <w:tcW w:w="1440" w:type="dxa"/>
            <w:tcBorders>
              <w:top w:val="nil"/>
              <w:left w:val="nil"/>
              <w:bottom w:val="nil"/>
              <w:right w:val="nil"/>
            </w:tcBorders>
            <w:shd w:val="clear" w:color="auto" w:fill="auto"/>
            <w:noWrap/>
            <w:vAlign w:val="center"/>
            <w:hideMark/>
          </w:tcPr>
          <w:p w14:paraId="40ED41A3"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r>
      <w:tr w:rsidR="009B5417" w:rsidRPr="009B5417" w14:paraId="6579F441"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22E45933"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14</w:t>
            </w:r>
          </w:p>
        </w:tc>
        <w:tc>
          <w:tcPr>
            <w:tcW w:w="2320" w:type="dxa"/>
            <w:tcBorders>
              <w:top w:val="nil"/>
              <w:left w:val="nil"/>
              <w:bottom w:val="nil"/>
              <w:right w:val="nil"/>
            </w:tcBorders>
            <w:shd w:val="clear" w:color="auto" w:fill="auto"/>
            <w:noWrap/>
            <w:vAlign w:val="center"/>
            <w:hideMark/>
          </w:tcPr>
          <w:p w14:paraId="2D3EBB2A"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HadGEM3-GC31-MM</w:t>
            </w:r>
          </w:p>
        </w:tc>
        <w:tc>
          <w:tcPr>
            <w:tcW w:w="3240" w:type="dxa"/>
            <w:tcBorders>
              <w:top w:val="nil"/>
              <w:left w:val="nil"/>
              <w:bottom w:val="nil"/>
              <w:right w:val="nil"/>
            </w:tcBorders>
            <w:shd w:val="clear" w:color="auto" w:fill="auto"/>
            <w:noWrap/>
            <w:vAlign w:val="center"/>
            <w:hideMark/>
          </w:tcPr>
          <w:p w14:paraId="5A9F1897" w14:textId="5EEBD342"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MOHC NERC, United Kingdom</w:t>
            </w:r>
          </w:p>
        </w:tc>
        <w:tc>
          <w:tcPr>
            <w:tcW w:w="2970" w:type="dxa"/>
            <w:tcBorders>
              <w:top w:val="nil"/>
              <w:left w:val="nil"/>
              <w:bottom w:val="nil"/>
              <w:right w:val="nil"/>
            </w:tcBorders>
            <w:shd w:val="clear" w:color="auto" w:fill="auto"/>
            <w:noWrap/>
            <w:vAlign w:val="center"/>
            <w:hideMark/>
          </w:tcPr>
          <w:p w14:paraId="247F4CFF"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c>
          <w:tcPr>
            <w:tcW w:w="1440" w:type="dxa"/>
            <w:tcBorders>
              <w:top w:val="nil"/>
              <w:left w:val="nil"/>
              <w:bottom w:val="nil"/>
              <w:right w:val="nil"/>
            </w:tcBorders>
            <w:shd w:val="clear" w:color="auto" w:fill="auto"/>
            <w:noWrap/>
            <w:vAlign w:val="center"/>
            <w:hideMark/>
          </w:tcPr>
          <w:p w14:paraId="42B99AF1"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0.25° × 0.25°</w:t>
            </w:r>
          </w:p>
        </w:tc>
      </w:tr>
      <w:tr w:rsidR="009B5417" w:rsidRPr="009B5417" w14:paraId="4A10E968"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129C4040"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15</w:t>
            </w:r>
          </w:p>
        </w:tc>
        <w:tc>
          <w:tcPr>
            <w:tcW w:w="2320" w:type="dxa"/>
            <w:tcBorders>
              <w:top w:val="nil"/>
              <w:left w:val="nil"/>
              <w:bottom w:val="nil"/>
              <w:right w:val="nil"/>
            </w:tcBorders>
            <w:shd w:val="clear" w:color="auto" w:fill="auto"/>
            <w:noWrap/>
            <w:vAlign w:val="center"/>
            <w:hideMark/>
          </w:tcPr>
          <w:p w14:paraId="0F599A8A"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INM-CM5-H</w:t>
            </w:r>
          </w:p>
        </w:tc>
        <w:tc>
          <w:tcPr>
            <w:tcW w:w="3240" w:type="dxa"/>
            <w:tcBorders>
              <w:top w:val="nil"/>
              <w:left w:val="nil"/>
              <w:bottom w:val="nil"/>
              <w:right w:val="nil"/>
            </w:tcBorders>
            <w:shd w:val="clear" w:color="auto" w:fill="auto"/>
            <w:noWrap/>
            <w:vAlign w:val="center"/>
            <w:hideMark/>
          </w:tcPr>
          <w:p w14:paraId="7B8A57F3"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INM, Russia</w:t>
            </w:r>
          </w:p>
        </w:tc>
        <w:tc>
          <w:tcPr>
            <w:tcW w:w="2970" w:type="dxa"/>
            <w:tcBorders>
              <w:top w:val="nil"/>
              <w:left w:val="nil"/>
              <w:bottom w:val="nil"/>
              <w:right w:val="nil"/>
            </w:tcBorders>
            <w:shd w:val="clear" w:color="auto" w:fill="auto"/>
            <w:noWrap/>
            <w:vAlign w:val="center"/>
            <w:hideMark/>
          </w:tcPr>
          <w:p w14:paraId="055D11D9"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c>
          <w:tcPr>
            <w:tcW w:w="1440" w:type="dxa"/>
            <w:tcBorders>
              <w:top w:val="nil"/>
              <w:left w:val="nil"/>
              <w:bottom w:val="nil"/>
              <w:right w:val="nil"/>
            </w:tcBorders>
            <w:shd w:val="clear" w:color="auto" w:fill="auto"/>
            <w:noWrap/>
            <w:vAlign w:val="center"/>
            <w:hideMark/>
          </w:tcPr>
          <w:p w14:paraId="5E825C04"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0.1° × 0.1°</w:t>
            </w:r>
          </w:p>
        </w:tc>
      </w:tr>
      <w:tr w:rsidR="009B5417" w:rsidRPr="009B5417" w14:paraId="4ACE1B7F"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05D72076"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16</w:t>
            </w:r>
          </w:p>
        </w:tc>
        <w:tc>
          <w:tcPr>
            <w:tcW w:w="2320" w:type="dxa"/>
            <w:tcBorders>
              <w:top w:val="nil"/>
              <w:left w:val="nil"/>
              <w:bottom w:val="nil"/>
              <w:right w:val="nil"/>
            </w:tcBorders>
            <w:shd w:val="clear" w:color="auto" w:fill="auto"/>
            <w:noWrap/>
            <w:vAlign w:val="center"/>
            <w:hideMark/>
          </w:tcPr>
          <w:p w14:paraId="29051500"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IPSL-CM6A-ATM-HR</w:t>
            </w:r>
          </w:p>
        </w:tc>
        <w:tc>
          <w:tcPr>
            <w:tcW w:w="3240" w:type="dxa"/>
            <w:tcBorders>
              <w:top w:val="nil"/>
              <w:left w:val="nil"/>
              <w:bottom w:val="nil"/>
              <w:right w:val="nil"/>
            </w:tcBorders>
            <w:shd w:val="clear" w:color="auto" w:fill="auto"/>
            <w:noWrap/>
            <w:vAlign w:val="center"/>
            <w:hideMark/>
          </w:tcPr>
          <w:p w14:paraId="43037B70"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IPSL, France</w:t>
            </w:r>
          </w:p>
        </w:tc>
        <w:tc>
          <w:tcPr>
            <w:tcW w:w="2970" w:type="dxa"/>
            <w:tcBorders>
              <w:top w:val="nil"/>
              <w:left w:val="nil"/>
              <w:bottom w:val="nil"/>
              <w:right w:val="nil"/>
            </w:tcBorders>
            <w:shd w:val="clear" w:color="auto" w:fill="auto"/>
            <w:noWrap/>
            <w:vAlign w:val="center"/>
            <w:hideMark/>
          </w:tcPr>
          <w:p w14:paraId="77A35ABD"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c>
          <w:tcPr>
            <w:tcW w:w="1440" w:type="dxa"/>
            <w:tcBorders>
              <w:top w:val="nil"/>
              <w:left w:val="nil"/>
              <w:bottom w:val="nil"/>
              <w:right w:val="nil"/>
            </w:tcBorders>
            <w:shd w:val="clear" w:color="auto" w:fill="auto"/>
            <w:noWrap/>
            <w:vAlign w:val="center"/>
            <w:hideMark/>
          </w:tcPr>
          <w:p w14:paraId="50DD09CF"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none</w:t>
            </w:r>
          </w:p>
        </w:tc>
      </w:tr>
      <w:tr w:rsidR="009B5417" w:rsidRPr="009B5417" w14:paraId="59311B9D"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6001B40C"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17</w:t>
            </w:r>
          </w:p>
        </w:tc>
        <w:tc>
          <w:tcPr>
            <w:tcW w:w="2320" w:type="dxa"/>
            <w:tcBorders>
              <w:top w:val="nil"/>
              <w:left w:val="nil"/>
              <w:bottom w:val="nil"/>
              <w:right w:val="nil"/>
            </w:tcBorders>
            <w:shd w:val="clear" w:color="auto" w:fill="auto"/>
            <w:noWrap/>
            <w:vAlign w:val="center"/>
            <w:hideMark/>
          </w:tcPr>
          <w:p w14:paraId="3C651331"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IPSL-CM6A-LR</w:t>
            </w:r>
          </w:p>
        </w:tc>
        <w:tc>
          <w:tcPr>
            <w:tcW w:w="3240" w:type="dxa"/>
            <w:tcBorders>
              <w:top w:val="nil"/>
              <w:left w:val="nil"/>
              <w:bottom w:val="nil"/>
              <w:right w:val="nil"/>
            </w:tcBorders>
            <w:shd w:val="clear" w:color="auto" w:fill="auto"/>
            <w:noWrap/>
            <w:vAlign w:val="center"/>
            <w:hideMark/>
          </w:tcPr>
          <w:p w14:paraId="0C9E08AF"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IPSL, France</w:t>
            </w:r>
          </w:p>
        </w:tc>
        <w:tc>
          <w:tcPr>
            <w:tcW w:w="2970" w:type="dxa"/>
            <w:tcBorders>
              <w:top w:val="nil"/>
              <w:left w:val="nil"/>
              <w:bottom w:val="nil"/>
              <w:right w:val="nil"/>
            </w:tcBorders>
            <w:shd w:val="clear" w:color="auto" w:fill="auto"/>
            <w:noWrap/>
            <w:vAlign w:val="center"/>
            <w:hideMark/>
          </w:tcPr>
          <w:p w14:paraId="25BFD8CC"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2.5° × 2.5°</w:t>
            </w:r>
          </w:p>
        </w:tc>
        <w:tc>
          <w:tcPr>
            <w:tcW w:w="1440" w:type="dxa"/>
            <w:tcBorders>
              <w:top w:val="nil"/>
              <w:left w:val="nil"/>
              <w:bottom w:val="nil"/>
              <w:right w:val="nil"/>
            </w:tcBorders>
            <w:shd w:val="clear" w:color="auto" w:fill="auto"/>
            <w:noWrap/>
            <w:vAlign w:val="center"/>
            <w:hideMark/>
          </w:tcPr>
          <w:p w14:paraId="4BECDEEE"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r>
      <w:tr w:rsidR="009B5417" w:rsidRPr="009B5417" w14:paraId="6E1F7B5C"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4BFD36FE"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18</w:t>
            </w:r>
          </w:p>
        </w:tc>
        <w:tc>
          <w:tcPr>
            <w:tcW w:w="2320" w:type="dxa"/>
            <w:tcBorders>
              <w:top w:val="nil"/>
              <w:left w:val="nil"/>
              <w:bottom w:val="nil"/>
              <w:right w:val="nil"/>
            </w:tcBorders>
            <w:shd w:val="clear" w:color="auto" w:fill="auto"/>
            <w:noWrap/>
            <w:vAlign w:val="center"/>
            <w:hideMark/>
          </w:tcPr>
          <w:p w14:paraId="4C3389C3"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MPI-ESM1-2-HR</w:t>
            </w:r>
          </w:p>
        </w:tc>
        <w:tc>
          <w:tcPr>
            <w:tcW w:w="3240" w:type="dxa"/>
            <w:tcBorders>
              <w:top w:val="nil"/>
              <w:left w:val="nil"/>
              <w:bottom w:val="nil"/>
              <w:right w:val="nil"/>
            </w:tcBorders>
            <w:shd w:val="clear" w:color="auto" w:fill="auto"/>
            <w:noWrap/>
            <w:vAlign w:val="center"/>
            <w:hideMark/>
          </w:tcPr>
          <w:p w14:paraId="7038CF5C"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MPI-M DWD DKRZ, Germany</w:t>
            </w:r>
          </w:p>
        </w:tc>
        <w:tc>
          <w:tcPr>
            <w:tcW w:w="2970" w:type="dxa"/>
            <w:tcBorders>
              <w:top w:val="nil"/>
              <w:left w:val="nil"/>
              <w:bottom w:val="nil"/>
              <w:right w:val="nil"/>
            </w:tcBorders>
            <w:shd w:val="clear" w:color="auto" w:fill="auto"/>
            <w:noWrap/>
            <w:vAlign w:val="center"/>
            <w:hideMark/>
          </w:tcPr>
          <w:p w14:paraId="4E77EE3D"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 × 1°</w:t>
            </w:r>
          </w:p>
        </w:tc>
        <w:tc>
          <w:tcPr>
            <w:tcW w:w="1440" w:type="dxa"/>
            <w:tcBorders>
              <w:top w:val="nil"/>
              <w:left w:val="nil"/>
              <w:bottom w:val="nil"/>
              <w:right w:val="nil"/>
            </w:tcBorders>
            <w:shd w:val="clear" w:color="auto" w:fill="auto"/>
            <w:noWrap/>
            <w:vAlign w:val="center"/>
            <w:hideMark/>
          </w:tcPr>
          <w:p w14:paraId="69FB70B3"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r>
      <w:tr w:rsidR="009B5417" w:rsidRPr="009B5417" w14:paraId="444BD04F" w14:textId="77777777" w:rsidTr="009B0552">
        <w:trPr>
          <w:trHeight w:val="402"/>
          <w:jc w:val="center"/>
        </w:trPr>
        <w:tc>
          <w:tcPr>
            <w:tcW w:w="740" w:type="dxa"/>
            <w:tcBorders>
              <w:top w:val="nil"/>
              <w:left w:val="nil"/>
              <w:bottom w:val="nil"/>
              <w:right w:val="nil"/>
            </w:tcBorders>
            <w:shd w:val="clear" w:color="auto" w:fill="auto"/>
            <w:noWrap/>
            <w:vAlign w:val="center"/>
            <w:hideMark/>
          </w:tcPr>
          <w:p w14:paraId="48CC6DAF"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19</w:t>
            </w:r>
          </w:p>
        </w:tc>
        <w:tc>
          <w:tcPr>
            <w:tcW w:w="2320" w:type="dxa"/>
            <w:tcBorders>
              <w:top w:val="nil"/>
              <w:left w:val="nil"/>
              <w:bottom w:val="nil"/>
              <w:right w:val="nil"/>
            </w:tcBorders>
            <w:shd w:val="clear" w:color="auto" w:fill="auto"/>
            <w:noWrap/>
            <w:vAlign w:val="center"/>
            <w:hideMark/>
          </w:tcPr>
          <w:p w14:paraId="6598B6C0"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MPI-ESM1-2-XR</w:t>
            </w:r>
          </w:p>
        </w:tc>
        <w:tc>
          <w:tcPr>
            <w:tcW w:w="3240" w:type="dxa"/>
            <w:tcBorders>
              <w:top w:val="nil"/>
              <w:left w:val="nil"/>
              <w:bottom w:val="nil"/>
              <w:right w:val="nil"/>
            </w:tcBorders>
            <w:shd w:val="clear" w:color="auto" w:fill="auto"/>
            <w:noWrap/>
            <w:vAlign w:val="center"/>
            <w:hideMark/>
          </w:tcPr>
          <w:p w14:paraId="2EA7DE56"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MPI-M, Germany</w:t>
            </w:r>
          </w:p>
        </w:tc>
        <w:tc>
          <w:tcPr>
            <w:tcW w:w="2970" w:type="dxa"/>
            <w:tcBorders>
              <w:top w:val="nil"/>
              <w:left w:val="nil"/>
              <w:bottom w:val="nil"/>
              <w:right w:val="nil"/>
            </w:tcBorders>
            <w:shd w:val="clear" w:color="auto" w:fill="auto"/>
            <w:noWrap/>
            <w:vAlign w:val="center"/>
            <w:hideMark/>
          </w:tcPr>
          <w:p w14:paraId="79094302"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c>
          <w:tcPr>
            <w:tcW w:w="1440" w:type="dxa"/>
            <w:tcBorders>
              <w:top w:val="nil"/>
              <w:left w:val="nil"/>
              <w:bottom w:val="nil"/>
              <w:right w:val="nil"/>
            </w:tcBorders>
            <w:shd w:val="clear" w:color="auto" w:fill="auto"/>
            <w:noWrap/>
            <w:vAlign w:val="center"/>
            <w:hideMark/>
          </w:tcPr>
          <w:p w14:paraId="735CA5A6"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r>
      <w:tr w:rsidR="009B5417" w:rsidRPr="009B5417" w14:paraId="79185E5F" w14:textId="77777777" w:rsidTr="009B0552">
        <w:trPr>
          <w:trHeight w:val="402"/>
          <w:jc w:val="center"/>
        </w:trPr>
        <w:tc>
          <w:tcPr>
            <w:tcW w:w="740" w:type="dxa"/>
            <w:tcBorders>
              <w:top w:val="nil"/>
              <w:left w:val="nil"/>
              <w:bottom w:val="single" w:sz="4" w:space="0" w:color="auto"/>
              <w:right w:val="nil"/>
            </w:tcBorders>
            <w:shd w:val="clear" w:color="auto" w:fill="auto"/>
            <w:noWrap/>
            <w:vAlign w:val="center"/>
            <w:hideMark/>
          </w:tcPr>
          <w:p w14:paraId="2B833C0B"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20</w:t>
            </w:r>
          </w:p>
        </w:tc>
        <w:tc>
          <w:tcPr>
            <w:tcW w:w="2320" w:type="dxa"/>
            <w:tcBorders>
              <w:top w:val="nil"/>
              <w:left w:val="nil"/>
              <w:bottom w:val="single" w:sz="4" w:space="0" w:color="auto"/>
              <w:right w:val="nil"/>
            </w:tcBorders>
            <w:shd w:val="clear" w:color="auto" w:fill="auto"/>
            <w:noWrap/>
            <w:vAlign w:val="center"/>
            <w:hideMark/>
          </w:tcPr>
          <w:p w14:paraId="64A34790"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MRI-AGCM3-2-H</w:t>
            </w:r>
          </w:p>
        </w:tc>
        <w:tc>
          <w:tcPr>
            <w:tcW w:w="3240" w:type="dxa"/>
            <w:tcBorders>
              <w:top w:val="nil"/>
              <w:left w:val="nil"/>
              <w:bottom w:val="single" w:sz="4" w:space="0" w:color="auto"/>
              <w:right w:val="nil"/>
            </w:tcBorders>
            <w:shd w:val="clear" w:color="auto" w:fill="auto"/>
            <w:noWrap/>
            <w:vAlign w:val="center"/>
            <w:hideMark/>
          </w:tcPr>
          <w:p w14:paraId="66FD49C9" w14:textId="77777777" w:rsidR="009B5417" w:rsidRPr="009B5417" w:rsidRDefault="009B5417" w:rsidP="009B5417">
            <w:pPr>
              <w:spacing w:after="0" w:line="240" w:lineRule="auto"/>
              <w:rPr>
                <w:rFonts w:eastAsia="Times New Roman" w:cs="Times New Roman"/>
                <w:color w:val="000000"/>
                <w:lang w:eastAsia="ko-KR"/>
              </w:rPr>
            </w:pPr>
            <w:r w:rsidRPr="009B5417">
              <w:rPr>
                <w:rFonts w:eastAsia="Times New Roman" w:cs="Times New Roman"/>
                <w:color w:val="000000"/>
                <w:sz w:val="22"/>
                <w:lang w:eastAsia="ko-KR"/>
              </w:rPr>
              <w:t>MRI, Japan</w:t>
            </w:r>
          </w:p>
        </w:tc>
        <w:tc>
          <w:tcPr>
            <w:tcW w:w="2970" w:type="dxa"/>
            <w:tcBorders>
              <w:top w:val="nil"/>
              <w:left w:val="nil"/>
              <w:bottom w:val="single" w:sz="4" w:space="0" w:color="auto"/>
              <w:right w:val="nil"/>
            </w:tcBorders>
            <w:shd w:val="clear" w:color="auto" w:fill="auto"/>
            <w:noWrap/>
            <w:vAlign w:val="center"/>
            <w:hideMark/>
          </w:tcPr>
          <w:p w14:paraId="1E048222"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0.5° × 0.5°</w:t>
            </w:r>
          </w:p>
        </w:tc>
        <w:tc>
          <w:tcPr>
            <w:tcW w:w="1440" w:type="dxa"/>
            <w:tcBorders>
              <w:top w:val="nil"/>
              <w:left w:val="nil"/>
              <w:bottom w:val="single" w:sz="4" w:space="0" w:color="auto"/>
              <w:right w:val="nil"/>
            </w:tcBorders>
            <w:shd w:val="clear" w:color="auto" w:fill="auto"/>
            <w:noWrap/>
            <w:vAlign w:val="center"/>
            <w:hideMark/>
          </w:tcPr>
          <w:p w14:paraId="2E010B39" w14:textId="77777777" w:rsidR="009B5417" w:rsidRPr="009B5417" w:rsidRDefault="009B5417" w:rsidP="009B5417">
            <w:pPr>
              <w:spacing w:after="0" w:line="240" w:lineRule="auto"/>
              <w:jc w:val="center"/>
              <w:rPr>
                <w:rFonts w:eastAsia="Times New Roman" w:cs="Times New Roman"/>
                <w:color w:val="000000"/>
                <w:lang w:eastAsia="ko-KR"/>
              </w:rPr>
            </w:pPr>
            <w:r w:rsidRPr="009B5417">
              <w:rPr>
                <w:rFonts w:eastAsia="Times New Roman" w:cs="Times New Roman"/>
                <w:color w:val="000000"/>
                <w:sz w:val="22"/>
                <w:lang w:eastAsia="ko-KR"/>
              </w:rPr>
              <w:t>none</w:t>
            </w:r>
          </w:p>
        </w:tc>
      </w:tr>
    </w:tbl>
    <w:p w14:paraId="4E3D7267" w14:textId="39AF678C" w:rsidR="00355148" w:rsidRPr="00636AE8" w:rsidRDefault="00355148" w:rsidP="00655750">
      <w:pPr>
        <w:rPr>
          <w:color w:val="FF0000"/>
        </w:rPr>
      </w:pPr>
    </w:p>
    <w:p w14:paraId="3A699F12" w14:textId="555DDD59" w:rsidR="005E5F8B" w:rsidRPr="00A3683F" w:rsidRDefault="000D1B41" w:rsidP="00AB1FB9">
      <w:pPr>
        <w:pageBreakBefore/>
        <w:jc w:val="center"/>
      </w:pPr>
      <w:bookmarkStart w:id="9" w:name="OLE_LINK7"/>
      <w:bookmarkStart w:id="10" w:name="OLE_LINK8"/>
      <w:bookmarkStart w:id="11" w:name="OLE_LINK1"/>
      <w:r>
        <w:rPr>
          <w:noProof/>
        </w:rPr>
        <w:lastRenderedPageBreak/>
        <w:drawing>
          <wp:inline distT="0" distB="0" distL="0" distR="0" wp14:anchorId="74906E62" wp14:editId="3077FE53">
            <wp:extent cx="5943600" cy="7429500"/>
            <wp:effectExtent l="0" t="0" r="0" b="0"/>
            <wp:docPr id="771733285"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33285" name="Picture 1" descr="A map of the world&#10;&#10;Description automatically generated"/>
                    <pic:cNvPicPr/>
                  </pic:nvPicPr>
                  <pic:blipFill>
                    <a:blip r:embed="rId10"/>
                    <a:stretch>
                      <a:fillRect/>
                    </a:stretch>
                  </pic:blipFill>
                  <pic:spPr>
                    <a:xfrm>
                      <a:off x="0" y="0"/>
                      <a:ext cx="5943600" cy="7429500"/>
                    </a:xfrm>
                    <a:prstGeom prst="rect">
                      <a:avLst/>
                    </a:prstGeom>
                  </pic:spPr>
                </pic:pic>
              </a:graphicData>
            </a:graphic>
          </wp:inline>
        </w:drawing>
      </w:r>
    </w:p>
    <w:p w14:paraId="74AF8DD7" w14:textId="555065FA" w:rsidR="00F84D81" w:rsidRDefault="008B4C61" w:rsidP="00937CB3">
      <w:pPr>
        <w:pStyle w:val="Caption"/>
        <w:jc w:val="both"/>
        <w:rPr>
          <w:b w:val="0"/>
          <w:color w:val="auto"/>
          <w:sz w:val="22"/>
          <w:szCs w:val="22"/>
        </w:rPr>
      </w:pPr>
      <w:bookmarkStart w:id="12" w:name="_Toc24472814"/>
      <w:bookmarkStart w:id="13" w:name="_Toc37256166"/>
      <w:bookmarkEnd w:id="9"/>
      <w:bookmarkEnd w:id="10"/>
      <w:r w:rsidRPr="00244407">
        <w:rPr>
          <w:sz w:val="22"/>
          <w:szCs w:val="22"/>
        </w:rPr>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263C04">
        <w:rPr>
          <w:noProof/>
          <w:sz w:val="22"/>
          <w:szCs w:val="22"/>
        </w:rPr>
        <w:t>1</w:t>
      </w:r>
      <w:r w:rsidRPr="00244407">
        <w:rPr>
          <w:sz w:val="22"/>
          <w:szCs w:val="22"/>
        </w:rPr>
        <w:fldChar w:fldCharType="end"/>
      </w:r>
      <w:r w:rsidR="00244407">
        <w:rPr>
          <w:sz w:val="22"/>
          <w:szCs w:val="22"/>
        </w:rPr>
        <w:t xml:space="preserve">. </w:t>
      </w:r>
      <w:bookmarkEnd w:id="12"/>
      <w:bookmarkEnd w:id="13"/>
      <w:r w:rsidR="007E59C4">
        <w:rPr>
          <w:b w:val="0"/>
          <w:color w:val="auto"/>
          <w:sz w:val="22"/>
          <w:szCs w:val="22"/>
        </w:rPr>
        <w:t>NTA [MAM</w:t>
      </w:r>
      <w:r w:rsidR="007E59C4" w:rsidRPr="001576CF">
        <w:rPr>
          <w:b w:val="0"/>
          <w:color w:val="auto"/>
          <w:sz w:val="22"/>
          <w:szCs w:val="22"/>
        </w:rPr>
        <w:t>(</w:t>
      </w:r>
      <w:r w:rsidR="007E59C4" w:rsidRPr="00540FF9">
        <w:rPr>
          <w:b w:val="0"/>
          <w:i/>
          <w:iCs/>
          <w:color w:val="auto"/>
          <w:sz w:val="22"/>
          <w:szCs w:val="22"/>
        </w:rPr>
        <w:t>t</w:t>
      </w:r>
      <w:r w:rsidR="007E59C4" w:rsidRPr="001576CF">
        <w:rPr>
          <w:b w:val="0"/>
          <w:color w:val="auto"/>
          <w:sz w:val="22"/>
          <w:szCs w:val="22"/>
        </w:rPr>
        <w:t>)</w:t>
      </w:r>
      <w:r w:rsidR="007E59C4">
        <w:rPr>
          <w:b w:val="0"/>
          <w:color w:val="auto"/>
          <w:sz w:val="22"/>
          <w:szCs w:val="22"/>
        </w:rPr>
        <w:t>] effects on boreal summer [JJA</w:t>
      </w:r>
      <w:r w:rsidR="007E59C4" w:rsidRPr="001576CF">
        <w:rPr>
          <w:b w:val="0"/>
          <w:color w:val="auto"/>
          <w:sz w:val="22"/>
          <w:szCs w:val="22"/>
        </w:rPr>
        <w:t>(</w:t>
      </w:r>
      <w:r w:rsidR="007E59C4" w:rsidRPr="00540FF9">
        <w:rPr>
          <w:b w:val="0"/>
          <w:i/>
          <w:iCs/>
          <w:color w:val="auto"/>
          <w:sz w:val="22"/>
          <w:szCs w:val="22"/>
        </w:rPr>
        <w:t>t</w:t>
      </w:r>
      <w:r w:rsidR="007E59C4" w:rsidRPr="001576CF">
        <w:rPr>
          <w:b w:val="0"/>
          <w:color w:val="auto"/>
          <w:sz w:val="22"/>
          <w:szCs w:val="22"/>
        </w:rPr>
        <w:t>)</w:t>
      </w:r>
      <w:r w:rsidR="007E59C4">
        <w:rPr>
          <w:b w:val="0"/>
          <w:color w:val="auto"/>
          <w:sz w:val="22"/>
          <w:szCs w:val="22"/>
        </w:rPr>
        <w:t>] (a) and fall [SON</w:t>
      </w:r>
      <w:r w:rsidR="007E59C4" w:rsidRPr="001576CF">
        <w:rPr>
          <w:b w:val="0"/>
          <w:color w:val="auto"/>
          <w:sz w:val="22"/>
          <w:szCs w:val="22"/>
        </w:rPr>
        <w:t>(</w:t>
      </w:r>
      <w:r w:rsidR="007E59C4" w:rsidRPr="00540FF9">
        <w:rPr>
          <w:b w:val="0"/>
          <w:i/>
          <w:iCs/>
          <w:color w:val="auto"/>
          <w:sz w:val="22"/>
          <w:szCs w:val="22"/>
        </w:rPr>
        <w:t>t</w:t>
      </w:r>
      <w:r w:rsidR="007E59C4" w:rsidRPr="001576CF">
        <w:rPr>
          <w:b w:val="0"/>
          <w:color w:val="auto"/>
          <w:sz w:val="22"/>
          <w:szCs w:val="22"/>
        </w:rPr>
        <w:t>)</w:t>
      </w:r>
      <w:r w:rsidR="007E59C4">
        <w:rPr>
          <w:b w:val="0"/>
          <w:color w:val="auto"/>
          <w:sz w:val="22"/>
          <w:szCs w:val="22"/>
        </w:rPr>
        <w:t xml:space="preserve">] (b) </w:t>
      </w:r>
      <w:r w:rsidR="007E59C4">
        <w:rPr>
          <w:b w:val="0"/>
          <w:bCs w:val="0"/>
          <w:color w:val="auto"/>
          <w:sz w:val="22"/>
          <w:szCs w:val="22"/>
        </w:rPr>
        <w:t>tropical Pacific</w:t>
      </w:r>
      <w:r w:rsidR="007E59C4">
        <w:rPr>
          <w:b w:val="0"/>
          <w:color w:val="auto"/>
          <w:sz w:val="22"/>
          <w:szCs w:val="22"/>
        </w:rPr>
        <w:t xml:space="preserve"> SST. </w:t>
      </w:r>
      <w:r w:rsidR="007E59C4" w:rsidRPr="004F1450">
        <w:rPr>
          <w:b w:val="0"/>
          <w:color w:val="auto"/>
          <w:sz w:val="22"/>
          <w:szCs w:val="22"/>
        </w:rPr>
        <w:t xml:space="preserve">The </w:t>
      </w:r>
      <w:r w:rsidR="007E59C4">
        <w:rPr>
          <w:b w:val="0"/>
          <w:color w:val="auto"/>
          <w:sz w:val="22"/>
          <w:szCs w:val="22"/>
        </w:rPr>
        <w:t>yellow and cyan</w:t>
      </w:r>
      <w:r w:rsidR="007E59C4" w:rsidRPr="004F1450">
        <w:rPr>
          <w:b w:val="0"/>
          <w:color w:val="auto"/>
          <w:sz w:val="22"/>
          <w:szCs w:val="22"/>
        </w:rPr>
        <w:t xml:space="preserve"> contour line</w:t>
      </w:r>
      <w:r w:rsidR="007E59C4">
        <w:rPr>
          <w:b w:val="0"/>
          <w:color w:val="auto"/>
          <w:sz w:val="22"/>
          <w:szCs w:val="22"/>
        </w:rPr>
        <w:t>s</w:t>
      </w:r>
      <w:r w:rsidR="007E59C4" w:rsidRPr="004F1450">
        <w:rPr>
          <w:b w:val="0"/>
          <w:color w:val="auto"/>
          <w:sz w:val="22"/>
          <w:szCs w:val="22"/>
        </w:rPr>
        <w:t xml:space="preserve"> specify </w:t>
      </w:r>
      <w:r w:rsidR="007E59C4" w:rsidRPr="005368F9">
        <w:rPr>
          <w:b w:val="0"/>
          <w:i/>
          <w:iCs/>
          <w:color w:val="auto"/>
          <w:sz w:val="22"/>
          <w:szCs w:val="22"/>
        </w:rPr>
        <w:t>p</w:t>
      </w:r>
      <w:r w:rsidR="007E59C4" w:rsidRPr="004F1450">
        <w:rPr>
          <w:b w:val="0"/>
          <w:color w:val="auto"/>
          <w:sz w:val="22"/>
          <w:szCs w:val="22"/>
        </w:rPr>
        <w:t xml:space="preserve"> value = 0.</w:t>
      </w:r>
      <w:r w:rsidR="007E59C4">
        <w:rPr>
          <w:b w:val="0"/>
          <w:color w:val="auto"/>
          <w:sz w:val="22"/>
          <w:szCs w:val="22"/>
        </w:rPr>
        <w:t>1</w:t>
      </w:r>
      <w:r w:rsidR="007E59C4" w:rsidRPr="004F1450">
        <w:rPr>
          <w:b w:val="0"/>
          <w:color w:val="auto"/>
          <w:sz w:val="22"/>
          <w:szCs w:val="22"/>
        </w:rPr>
        <w:t xml:space="preserve"> </w:t>
      </w:r>
      <w:r w:rsidR="007E59C4">
        <w:rPr>
          <w:b w:val="0"/>
          <w:color w:val="auto"/>
          <w:sz w:val="22"/>
          <w:szCs w:val="22"/>
        </w:rPr>
        <w:t>and 0.33, respectively</w:t>
      </w:r>
      <w:r w:rsidR="007E59C4" w:rsidRPr="004F1450">
        <w:rPr>
          <w:b w:val="0"/>
          <w:color w:val="auto"/>
          <w:sz w:val="22"/>
          <w:szCs w:val="22"/>
        </w:rPr>
        <w:t xml:space="preserve">. </w:t>
      </w:r>
      <w:r w:rsidR="007E59C4">
        <w:rPr>
          <w:b w:val="0"/>
          <w:color w:val="auto"/>
          <w:sz w:val="22"/>
          <w:szCs w:val="22"/>
        </w:rPr>
        <w:t>Brown</w:t>
      </w:r>
      <w:r w:rsidR="007E59C4" w:rsidRPr="004F1450">
        <w:rPr>
          <w:b w:val="0"/>
          <w:color w:val="auto"/>
          <w:sz w:val="22"/>
          <w:szCs w:val="22"/>
        </w:rPr>
        <w:t xml:space="preserve"> shades </w:t>
      </w:r>
      <w:r w:rsidR="007E59C4">
        <w:rPr>
          <w:b w:val="0"/>
          <w:color w:val="auto"/>
          <w:sz w:val="22"/>
          <w:szCs w:val="22"/>
        </w:rPr>
        <w:t>imply</w:t>
      </w:r>
      <w:r w:rsidR="007E59C4" w:rsidRPr="004F1450">
        <w:rPr>
          <w:b w:val="0"/>
          <w:color w:val="auto"/>
          <w:sz w:val="22"/>
          <w:szCs w:val="22"/>
        </w:rPr>
        <w:t xml:space="preserve"> </w:t>
      </w:r>
      <w:r w:rsidR="007E59C4">
        <w:rPr>
          <w:b w:val="0"/>
          <w:color w:val="auto"/>
          <w:sz w:val="22"/>
          <w:szCs w:val="22"/>
        </w:rPr>
        <w:t>low</w:t>
      </w:r>
      <w:r w:rsidR="007E59C4" w:rsidRPr="004F1450">
        <w:rPr>
          <w:b w:val="0"/>
          <w:color w:val="auto"/>
          <w:sz w:val="22"/>
          <w:szCs w:val="22"/>
        </w:rPr>
        <w:t xml:space="preserve"> probability </w:t>
      </w:r>
      <w:r w:rsidR="007E59C4">
        <w:rPr>
          <w:b w:val="0"/>
          <w:color w:val="auto"/>
          <w:sz w:val="22"/>
          <w:szCs w:val="22"/>
        </w:rPr>
        <w:t>for the absence of</w:t>
      </w:r>
      <w:r w:rsidR="007E59C4" w:rsidRPr="004F1450">
        <w:rPr>
          <w:b w:val="0"/>
          <w:color w:val="auto"/>
          <w:sz w:val="22"/>
          <w:szCs w:val="22"/>
        </w:rPr>
        <w:t xml:space="preserve"> Granger causality. Stippling designates that more than 70% of</w:t>
      </w:r>
      <w:r w:rsidR="007E59C4">
        <w:rPr>
          <w:b w:val="0"/>
          <w:color w:val="auto"/>
          <w:sz w:val="22"/>
          <w:szCs w:val="22"/>
        </w:rPr>
        <w:t xml:space="preserve"> </w:t>
      </w:r>
      <w:r w:rsidR="007E59C4" w:rsidRPr="004F1450">
        <w:rPr>
          <w:b w:val="0"/>
          <w:color w:val="auto"/>
          <w:sz w:val="22"/>
          <w:szCs w:val="22"/>
        </w:rPr>
        <w:t>models agree on the multi</w:t>
      </w:r>
      <w:r w:rsidR="007E59C4">
        <w:rPr>
          <w:b w:val="0"/>
          <w:color w:val="auto"/>
          <w:sz w:val="22"/>
          <w:szCs w:val="22"/>
        </w:rPr>
        <w:t>-</w:t>
      </w:r>
      <w:r w:rsidR="007E59C4" w:rsidRPr="004F1450">
        <w:rPr>
          <w:b w:val="0"/>
          <w:color w:val="auto"/>
          <w:sz w:val="22"/>
          <w:szCs w:val="22"/>
        </w:rPr>
        <w:t xml:space="preserve">model mean probability. </w:t>
      </w:r>
      <w:r w:rsidR="007E59C4">
        <w:rPr>
          <w:b w:val="0"/>
          <w:color w:val="auto"/>
          <w:sz w:val="22"/>
          <w:szCs w:val="22"/>
        </w:rPr>
        <w:t>For</w:t>
      </w:r>
      <w:r w:rsidR="007E59C4" w:rsidRPr="004F1450">
        <w:rPr>
          <w:b w:val="0"/>
          <w:color w:val="auto"/>
          <w:sz w:val="22"/>
          <w:szCs w:val="22"/>
        </w:rPr>
        <w:t xml:space="preserve"> a </w:t>
      </w:r>
      <w:r w:rsidR="007E59C4">
        <w:rPr>
          <w:b w:val="0"/>
          <w:color w:val="auto"/>
          <w:sz w:val="22"/>
          <w:szCs w:val="22"/>
        </w:rPr>
        <w:t>given</w:t>
      </w:r>
      <w:r w:rsidR="007E59C4" w:rsidRPr="004F1450">
        <w:rPr>
          <w:b w:val="0"/>
          <w:color w:val="auto"/>
          <w:sz w:val="22"/>
          <w:szCs w:val="22"/>
        </w:rPr>
        <w:t xml:space="preserve"> model</w:t>
      </w:r>
      <w:r w:rsidR="007E59C4">
        <w:rPr>
          <w:b w:val="0"/>
          <w:color w:val="auto"/>
          <w:sz w:val="22"/>
          <w:szCs w:val="22"/>
        </w:rPr>
        <w:t>,</w:t>
      </w:r>
      <w:r w:rsidR="007E59C4" w:rsidRPr="004F1450">
        <w:rPr>
          <w:b w:val="0"/>
          <w:color w:val="auto"/>
          <w:sz w:val="22"/>
          <w:szCs w:val="22"/>
        </w:rPr>
        <w:t xml:space="preserve"> </w:t>
      </w:r>
      <w:r w:rsidR="007E59C4">
        <w:rPr>
          <w:b w:val="0"/>
          <w:color w:val="auto"/>
          <w:sz w:val="22"/>
          <w:szCs w:val="22"/>
        </w:rPr>
        <w:t>t</w:t>
      </w:r>
      <w:r w:rsidR="007E59C4" w:rsidRPr="004F1450">
        <w:rPr>
          <w:b w:val="0"/>
          <w:color w:val="auto"/>
          <w:sz w:val="22"/>
          <w:szCs w:val="22"/>
        </w:rPr>
        <w:t xml:space="preserve">he agreement is defined when the </w:t>
      </w:r>
      <w:r w:rsidR="007E59C4">
        <w:rPr>
          <w:b w:val="0"/>
          <w:color w:val="auto"/>
          <w:sz w:val="22"/>
          <w:szCs w:val="22"/>
        </w:rPr>
        <w:lastRenderedPageBreak/>
        <w:t>discrepancy</w:t>
      </w:r>
      <w:r w:rsidR="007E59C4" w:rsidRPr="004F1450">
        <w:rPr>
          <w:b w:val="0"/>
          <w:color w:val="auto"/>
          <w:sz w:val="22"/>
          <w:szCs w:val="22"/>
        </w:rPr>
        <w:t xml:space="preserve"> between that model's probability and the multi</w:t>
      </w:r>
      <w:r w:rsidR="007E59C4">
        <w:rPr>
          <w:b w:val="0"/>
          <w:color w:val="auto"/>
          <w:sz w:val="22"/>
          <w:szCs w:val="22"/>
        </w:rPr>
        <w:t>-</w:t>
      </w:r>
      <w:r w:rsidR="007E59C4" w:rsidRPr="004F1450">
        <w:rPr>
          <w:b w:val="0"/>
          <w:color w:val="auto"/>
          <w:sz w:val="22"/>
          <w:szCs w:val="22"/>
        </w:rPr>
        <w:t xml:space="preserve">model mean probability is less than one standard deviation of </w:t>
      </w:r>
      <w:r w:rsidR="007E59C4">
        <w:rPr>
          <w:b w:val="0"/>
          <w:color w:val="auto"/>
          <w:sz w:val="22"/>
          <w:szCs w:val="22"/>
        </w:rPr>
        <w:t xml:space="preserve">the </w:t>
      </w:r>
      <w:r w:rsidR="007E59C4" w:rsidRPr="004F1450">
        <w:rPr>
          <w:b w:val="0"/>
          <w:color w:val="auto"/>
          <w:sz w:val="22"/>
          <w:szCs w:val="22"/>
        </w:rPr>
        <w:t>multi</w:t>
      </w:r>
      <w:r w:rsidR="007E59C4">
        <w:rPr>
          <w:b w:val="0"/>
          <w:color w:val="auto"/>
          <w:sz w:val="22"/>
          <w:szCs w:val="22"/>
        </w:rPr>
        <w:t>-</w:t>
      </w:r>
      <w:r w:rsidR="007E59C4" w:rsidRPr="004F1450">
        <w:rPr>
          <w:b w:val="0"/>
          <w:color w:val="auto"/>
          <w:sz w:val="22"/>
          <w:szCs w:val="22"/>
        </w:rPr>
        <w:t>model mean probability.</w:t>
      </w:r>
      <w:r w:rsidR="007E59C4">
        <w:rPr>
          <w:b w:val="0"/>
          <w:color w:val="auto"/>
          <w:sz w:val="22"/>
          <w:szCs w:val="22"/>
        </w:rPr>
        <w:t xml:space="preserve"> </w:t>
      </w:r>
      <w:r w:rsidR="007E59C4">
        <w:rPr>
          <w:b w:val="0"/>
          <w:bCs w:val="0"/>
          <w:color w:val="auto"/>
          <w:sz w:val="22"/>
          <w:szCs w:val="22"/>
        </w:rPr>
        <w:t>NTA</w:t>
      </w:r>
      <w:r w:rsidR="007E59C4" w:rsidRPr="00130F81">
        <w:rPr>
          <w:b w:val="0"/>
          <w:bCs w:val="0"/>
          <w:color w:val="auto"/>
          <w:sz w:val="22"/>
          <w:szCs w:val="22"/>
        </w:rPr>
        <w:t xml:space="preserve">: </w:t>
      </w:r>
      <w:r w:rsidR="007E59C4">
        <w:rPr>
          <w:b w:val="0"/>
          <w:bCs w:val="0"/>
          <w:color w:val="auto"/>
          <w:sz w:val="22"/>
          <w:szCs w:val="22"/>
        </w:rPr>
        <w:t>North Tropical Atlantic</w:t>
      </w:r>
      <w:r w:rsidR="007E59C4" w:rsidRPr="004F1450">
        <w:rPr>
          <w:b w:val="0"/>
          <w:color w:val="auto"/>
          <w:sz w:val="22"/>
          <w:szCs w:val="22"/>
        </w:rPr>
        <w:t>; SST</w:t>
      </w:r>
      <w:r w:rsidR="007E59C4">
        <w:rPr>
          <w:b w:val="0"/>
          <w:color w:val="auto"/>
          <w:sz w:val="22"/>
          <w:szCs w:val="22"/>
        </w:rPr>
        <w:t>:</w:t>
      </w:r>
      <w:r w:rsidR="007E59C4" w:rsidRPr="004F1450">
        <w:rPr>
          <w:b w:val="0"/>
          <w:color w:val="auto"/>
          <w:sz w:val="22"/>
          <w:szCs w:val="22"/>
        </w:rPr>
        <w:t xml:space="preserve"> sea surface temperature</w:t>
      </w:r>
      <w:r w:rsidR="007E59C4">
        <w:rPr>
          <w:b w:val="0"/>
          <w:color w:val="auto"/>
          <w:sz w:val="22"/>
          <w:szCs w:val="22"/>
        </w:rPr>
        <w:t xml:space="preserve">; MAM: </w:t>
      </w:r>
      <w:r w:rsidR="007E59C4" w:rsidRPr="00D73C3F">
        <w:rPr>
          <w:b w:val="0"/>
          <w:color w:val="auto"/>
          <w:sz w:val="22"/>
          <w:szCs w:val="22"/>
        </w:rPr>
        <w:t>March-April-May</w:t>
      </w:r>
      <w:r w:rsidR="00937CB3">
        <w:rPr>
          <w:b w:val="0"/>
          <w:color w:val="auto"/>
          <w:sz w:val="22"/>
          <w:szCs w:val="22"/>
        </w:rPr>
        <w:t>; JJA: June-July-August; SON: September-October-November</w:t>
      </w:r>
      <w:r w:rsidR="007E59C4">
        <w:rPr>
          <w:b w:val="0"/>
          <w:color w:val="auto"/>
          <w:sz w:val="22"/>
          <w:szCs w:val="22"/>
        </w:rPr>
        <w:t>.</w:t>
      </w:r>
      <w:bookmarkEnd w:id="11"/>
    </w:p>
    <w:sectPr w:rsidR="00F84D81" w:rsidSect="00723335">
      <w:footerReference w:type="default" r:id="rId11"/>
      <w:pgSz w:w="12240" w:h="15840"/>
      <w:pgMar w:top="1440" w:right="1440" w:bottom="1440" w:left="1440"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A29C7" w14:textId="77777777" w:rsidR="00723335" w:rsidRDefault="00723335" w:rsidP="00F85E77">
      <w:pPr>
        <w:spacing w:after="0" w:line="240" w:lineRule="auto"/>
      </w:pPr>
      <w:r>
        <w:separator/>
      </w:r>
    </w:p>
  </w:endnote>
  <w:endnote w:type="continuationSeparator" w:id="0">
    <w:p w14:paraId="59389A04" w14:textId="77777777" w:rsidR="00723335" w:rsidRDefault="00723335" w:rsidP="00F85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558688"/>
      <w:docPartObj>
        <w:docPartGallery w:val="Page Numbers (Bottom of Page)"/>
        <w:docPartUnique/>
      </w:docPartObj>
    </w:sdtPr>
    <w:sdtEndPr>
      <w:rPr>
        <w:noProof/>
      </w:rPr>
    </w:sdtEndPr>
    <w:sdtContent>
      <w:p w14:paraId="1EB45870" w14:textId="77777777" w:rsidR="005130C9" w:rsidRDefault="009E2C67">
        <w:pPr>
          <w:pStyle w:val="Footer"/>
          <w:jc w:val="center"/>
        </w:pPr>
        <w:r>
          <w:fldChar w:fldCharType="begin"/>
        </w:r>
        <w:r w:rsidR="005130C9">
          <w:instrText xml:space="preserve"> PAGE   \* MERGEFORMAT </w:instrText>
        </w:r>
        <w:r>
          <w:fldChar w:fldCharType="separate"/>
        </w:r>
        <w:r w:rsidR="00BE039A">
          <w:rPr>
            <w:noProof/>
          </w:rPr>
          <w:t>6</w:t>
        </w:r>
        <w:r>
          <w:rPr>
            <w:noProof/>
          </w:rPr>
          <w:fldChar w:fldCharType="end"/>
        </w:r>
      </w:p>
    </w:sdtContent>
  </w:sdt>
  <w:p w14:paraId="07B18ADF" w14:textId="77777777" w:rsidR="005130C9" w:rsidRDefault="00513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39A86" w14:textId="77777777" w:rsidR="00723335" w:rsidRDefault="00723335" w:rsidP="00F85E77">
      <w:pPr>
        <w:spacing w:after="0" w:line="240" w:lineRule="auto"/>
      </w:pPr>
      <w:r>
        <w:separator/>
      </w:r>
    </w:p>
  </w:footnote>
  <w:footnote w:type="continuationSeparator" w:id="0">
    <w:p w14:paraId="0CF88688" w14:textId="77777777" w:rsidR="00723335" w:rsidRDefault="00723335" w:rsidP="00F85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D0461"/>
    <w:multiLevelType w:val="hybridMultilevel"/>
    <w:tmpl w:val="EFBCA77C"/>
    <w:lvl w:ilvl="0" w:tplc="54FA8438">
      <w:start w:val="1"/>
      <w:numFmt w:val="bullet"/>
      <w:lvlText w:val=""/>
      <w:lvlJc w:val="left"/>
      <w:pPr>
        <w:ind w:left="936" w:hanging="360"/>
      </w:pPr>
      <w:rPr>
        <w:rFonts w:ascii="Symbol" w:eastAsiaTheme="minorHAnsi" w:hAnsi="Symbol" w:cstheme="minorBid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159A6CC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B7466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E73337"/>
    <w:multiLevelType w:val="hybridMultilevel"/>
    <w:tmpl w:val="F5F8DEBE"/>
    <w:lvl w:ilvl="0" w:tplc="42C046D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696E5F44"/>
    <w:multiLevelType w:val="hybridMultilevel"/>
    <w:tmpl w:val="BEFC4050"/>
    <w:lvl w:ilvl="0" w:tplc="A6080868">
      <w:start w:val="1"/>
      <w:numFmt w:val="bullet"/>
      <w:lvlText w:val=""/>
      <w:lvlJc w:val="left"/>
      <w:pPr>
        <w:ind w:left="936" w:hanging="360"/>
      </w:pPr>
      <w:rPr>
        <w:rFonts w:ascii="Symbol" w:eastAsiaTheme="minorHAnsi" w:hAnsi="Symbol" w:cstheme="minorBid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16cid:durableId="73286053">
    <w:abstractNumId w:val="2"/>
  </w:num>
  <w:num w:numId="2" w16cid:durableId="536358630">
    <w:abstractNumId w:val="1"/>
  </w:num>
  <w:num w:numId="3" w16cid:durableId="947390678">
    <w:abstractNumId w:val="4"/>
  </w:num>
  <w:num w:numId="4" w16cid:durableId="2090808102">
    <w:abstractNumId w:val="0"/>
  </w:num>
  <w:num w:numId="5" w16cid:durableId="167408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70CA"/>
    <w:rsid w:val="0000267D"/>
    <w:rsid w:val="00002B9A"/>
    <w:rsid w:val="000068FF"/>
    <w:rsid w:val="00010857"/>
    <w:rsid w:val="000117F5"/>
    <w:rsid w:val="0001222E"/>
    <w:rsid w:val="00012D8B"/>
    <w:rsid w:val="00014CA8"/>
    <w:rsid w:val="00014D43"/>
    <w:rsid w:val="000177DF"/>
    <w:rsid w:val="00017938"/>
    <w:rsid w:val="000200ED"/>
    <w:rsid w:val="00021929"/>
    <w:rsid w:val="00021D5B"/>
    <w:rsid w:val="00022509"/>
    <w:rsid w:val="00023C34"/>
    <w:rsid w:val="000246ED"/>
    <w:rsid w:val="00025BEC"/>
    <w:rsid w:val="00031131"/>
    <w:rsid w:val="00031AAE"/>
    <w:rsid w:val="00032832"/>
    <w:rsid w:val="00032EAA"/>
    <w:rsid w:val="00033236"/>
    <w:rsid w:val="000343F6"/>
    <w:rsid w:val="000346C2"/>
    <w:rsid w:val="0004185A"/>
    <w:rsid w:val="00042054"/>
    <w:rsid w:val="000444DD"/>
    <w:rsid w:val="000459AC"/>
    <w:rsid w:val="00047CEA"/>
    <w:rsid w:val="00047F4F"/>
    <w:rsid w:val="00047FF8"/>
    <w:rsid w:val="00050F3D"/>
    <w:rsid w:val="00055C95"/>
    <w:rsid w:val="00056E3B"/>
    <w:rsid w:val="00060118"/>
    <w:rsid w:val="00066431"/>
    <w:rsid w:val="000715FC"/>
    <w:rsid w:val="0007499A"/>
    <w:rsid w:val="0007502E"/>
    <w:rsid w:val="0007631B"/>
    <w:rsid w:val="000773F4"/>
    <w:rsid w:val="000837BF"/>
    <w:rsid w:val="000845D7"/>
    <w:rsid w:val="00085418"/>
    <w:rsid w:val="00086E49"/>
    <w:rsid w:val="00090D63"/>
    <w:rsid w:val="000916D6"/>
    <w:rsid w:val="0009354A"/>
    <w:rsid w:val="000947DF"/>
    <w:rsid w:val="000A0C2E"/>
    <w:rsid w:val="000A0E90"/>
    <w:rsid w:val="000A11B1"/>
    <w:rsid w:val="000A1F16"/>
    <w:rsid w:val="000A47E5"/>
    <w:rsid w:val="000A51DE"/>
    <w:rsid w:val="000B10A9"/>
    <w:rsid w:val="000B2755"/>
    <w:rsid w:val="000B6091"/>
    <w:rsid w:val="000B738A"/>
    <w:rsid w:val="000C2370"/>
    <w:rsid w:val="000C3EE2"/>
    <w:rsid w:val="000C4DBE"/>
    <w:rsid w:val="000C50F5"/>
    <w:rsid w:val="000C5F7E"/>
    <w:rsid w:val="000C6739"/>
    <w:rsid w:val="000C7D89"/>
    <w:rsid w:val="000D1742"/>
    <w:rsid w:val="000D1B41"/>
    <w:rsid w:val="000D310B"/>
    <w:rsid w:val="000D5E01"/>
    <w:rsid w:val="000E0CB9"/>
    <w:rsid w:val="000E0FE7"/>
    <w:rsid w:val="000E3483"/>
    <w:rsid w:val="000E597A"/>
    <w:rsid w:val="000E5C18"/>
    <w:rsid w:val="000E5C90"/>
    <w:rsid w:val="000E5FD6"/>
    <w:rsid w:val="000E644F"/>
    <w:rsid w:val="000E6952"/>
    <w:rsid w:val="000E7478"/>
    <w:rsid w:val="000F17B5"/>
    <w:rsid w:val="000F209F"/>
    <w:rsid w:val="000F2A5A"/>
    <w:rsid w:val="000F3A02"/>
    <w:rsid w:val="000F41E8"/>
    <w:rsid w:val="000F625B"/>
    <w:rsid w:val="000F687C"/>
    <w:rsid w:val="000F6C16"/>
    <w:rsid w:val="00100944"/>
    <w:rsid w:val="0010280C"/>
    <w:rsid w:val="0010303D"/>
    <w:rsid w:val="001046EE"/>
    <w:rsid w:val="00105ED2"/>
    <w:rsid w:val="001060BF"/>
    <w:rsid w:val="00110506"/>
    <w:rsid w:val="00112F2F"/>
    <w:rsid w:val="00114FCC"/>
    <w:rsid w:val="00116B81"/>
    <w:rsid w:val="00116CBD"/>
    <w:rsid w:val="00117A9D"/>
    <w:rsid w:val="00121CE2"/>
    <w:rsid w:val="00121E21"/>
    <w:rsid w:val="00125AC2"/>
    <w:rsid w:val="00125B19"/>
    <w:rsid w:val="00125CBC"/>
    <w:rsid w:val="00126D80"/>
    <w:rsid w:val="001274F8"/>
    <w:rsid w:val="00127A7A"/>
    <w:rsid w:val="001310C7"/>
    <w:rsid w:val="00131330"/>
    <w:rsid w:val="00133331"/>
    <w:rsid w:val="00140132"/>
    <w:rsid w:val="0014207A"/>
    <w:rsid w:val="001427EE"/>
    <w:rsid w:val="001442AD"/>
    <w:rsid w:val="0014694F"/>
    <w:rsid w:val="00152AA6"/>
    <w:rsid w:val="00153875"/>
    <w:rsid w:val="00156CC6"/>
    <w:rsid w:val="001576CF"/>
    <w:rsid w:val="00160934"/>
    <w:rsid w:val="00160E2D"/>
    <w:rsid w:val="00163317"/>
    <w:rsid w:val="001636BA"/>
    <w:rsid w:val="00163B02"/>
    <w:rsid w:val="00164C72"/>
    <w:rsid w:val="00165F68"/>
    <w:rsid w:val="00165FA0"/>
    <w:rsid w:val="00167D30"/>
    <w:rsid w:val="001711BF"/>
    <w:rsid w:val="0017279C"/>
    <w:rsid w:val="001734EC"/>
    <w:rsid w:val="00173C44"/>
    <w:rsid w:val="00173DF2"/>
    <w:rsid w:val="001743D8"/>
    <w:rsid w:val="001744DF"/>
    <w:rsid w:val="0017565D"/>
    <w:rsid w:val="001767DC"/>
    <w:rsid w:val="001804C0"/>
    <w:rsid w:val="001807FF"/>
    <w:rsid w:val="00181263"/>
    <w:rsid w:val="00181FDB"/>
    <w:rsid w:val="0018295F"/>
    <w:rsid w:val="00182CE0"/>
    <w:rsid w:val="0018308F"/>
    <w:rsid w:val="00183482"/>
    <w:rsid w:val="0018566D"/>
    <w:rsid w:val="0018582C"/>
    <w:rsid w:val="00186278"/>
    <w:rsid w:val="00186F67"/>
    <w:rsid w:val="001870AD"/>
    <w:rsid w:val="001874AE"/>
    <w:rsid w:val="001912B0"/>
    <w:rsid w:val="00191562"/>
    <w:rsid w:val="001915BE"/>
    <w:rsid w:val="001940FC"/>
    <w:rsid w:val="001949BF"/>
    <w:rsid w:val="001954E8"/>
    <w:rsid w:val="00195C1F"/>
    <w:rsid w:val="001968ED"/>
    <w:rsid w:val="00196C14"/>
    <w:rsid w:val="00197110"/>
    <w:rsid w:val="001A0498"/>
    <w:rsid w:val="001A080B"/>
    <w:rsid w:val="001A2196"/>
    <w:rsid w:val="001A2380"/>
    <w:rsid w:val="001A2712"/>
    <w:rsid w:val="001A2E3A"/>
    <w:rsid w:val="001A3387"/>
    <w:rsid w:val="001A5E27"/>
    <w:rsid w:val="001B0837"/>
    <w:rsid w:val="001B1917"/>
    <w:rsid w:val="001B1A5F"/>
    <w:rsid w:val="001B5685"/>
    <w:rsid w:val="001C1DE8"/>
    <w:rsid w:val="001C334B"/>
    <w:rsid w:val="001C3536"/>
    <w:rsid w:val="001C368B"/>
    <w:rsid w:val="001C577A"/>
    <w:rsid w:val="001C71CB"/>
    <w:rsid w:val="001D036C"/>
    <w:rsid w:val="001D0AC4"/>
    <w:rsid w:val="001D0D84"/>
    <w:rsid w:val="001D3CAF"/>
    <w:rsid w:val="001D762D"/>
    <w:rsid w:val="001D7BA1"/>
    <w:rsid w:val="001E07E1"/>
    <w:rsid w:val="001E286E"/>
    <w:rsid w:val="001E2C4B"/>
    <w:rsid w:val="001E6716"/>
    <w:rsid w:val="001F02EF"/>
    <w:rsid w:val="001F04F8"/>
    <w:rsid w:val="001F3633"/>
    <w:rsid w:val="001F581E"/>
    <w:rsid w:val="001F745A"/>
    <w:rsid w:val="002012F4"/>
    <w:rsid w:val="00201C65"/>
    <w:rsid w:val="002041DA"/>
    <w:rsid w:val="00204770"/>
    <w:rsid w:val="00204AF1"/>
    <w:rsid w:val="0020565E"/>
    <w:rsid w:val="00205D29"/>
    <w:rsid w:val="00206372"/>
    <w:rsid w:val="00206BD4"/>
    <w:rsid w:val="002105A2"/>
    <w:rsid w:val="0021228D"/>
    <w:rsid w:val="00212541"/>
    <w:rsid w:val="0021365C"/>
    <w:rsid w:val="00213B6F"/>
    <w:rsid w:val="00213DB0"/>
    <w:rsid w:val="00214C4D"/>
    <w:rsid w:val="00215B42"/>
    <w:rsid w:val="0021658B"/>
    <w:rsid w:val="002171E5"/>
    <w:rsid w:val="002203A8"/>
    <w:rsid w:val="002212E4"/>
    <w:rsid w:val="002249BA"/>
    <w:rsid w:val="0022776E"/>
    <w:rsid w:val="0023131D"/>
    <w:rsid w:val="00233D57"/>
    <w:rsid w:val="0023436E"/>
    <w:rsid w:val="00234A49"/>
    <w:rsid w:val="002378E4"/>
    <w:rsid w:val="00241314"/>
    <w:rsid w:val="002435BD"/>
    <w:rsid w:val="00244407"/>
    <w:rsid w:val="00245A7B"/>
    <w:rsid w:val="0025175D"/>
    <w:rsid w:val="0025302D"/>
    <w:rsid w:val="00253E7A"/>
    <w:rsid w:val="00253F24"/>
    <w:rsid w:val="0025406D"/>
    <w:rsid w:val="00257DEF"/>
    <w:rsid w:val="00260FCA"/>
    <w:rsid w:val="002610CE"/>
    <w:rsid w:val="00261154"/>
    <w:rsid w:val="00262B79"/>
    <w:rsid w:val="00263C04"/>
    <w:rsid w:val="002644CB"/>
    <w:rsid w:val="00264CE4"/>
    <w:rsid w:val="00267396"/>
    <w:rsid w:val="00273825"/>
    <w:rsid w:val="00274DCD"/>
    <w:rsid w:val="00277450"/>
    <w:rsid w:val="00277CDE"/>
    <w:rsid w:val="00280639"/>
    <w:rsid w:val="00280DBA"/>
    <w:rsid w:val="00281865"/>
    <w:rsid w:val="00281D5A"/>
    <w:rsid w:val="00282328"/>
    <w:rsid w:val="002831B1"/>
    <w:rsid w:val="002831FD"/>
    <w:rsid w:val="0028477C"/>
    <w:rsid w:val="00284794"/>
    <w:rsid w:val="00287132"/>
    <w:rsid w:val="0028735A"/>
    <w:rsid w:val="00292E7B"/>
    <w:rsid w:val="0029439E"/>
    <w:rsid w:val="00294AEC"/>
    <w:rsid w:val="00297680"/>
    <w:rsid w:val="00297862"/>
    <w:rsid w:val="002A0397"/>
    <w:rsid w:val="002A1754"/>
    <w:rsid w:val="002A4EAA"/>
    <w:rsid w:val="002B010F"/>
    <w:rsid w:val="002B0B7D"/>
    <w:rsid w:val="002B3538"/>
    <w:rsid w:val="002B48FA"/>
    <w:rsid w:val="002C3CB0"/>
    <w:rsid w:val="002C5203"/>
    <w:rsid w:val="002C53B9"/>
    <w:rsid w:val="002C5643"/>
    <w:rsid w:val="002D340B"/>
    <w:rsid w:val="002D3E90"/>
    <w:rsid w:val="002D3F0B"/>
    <w:rsid w:val="002D4AF9"/>
    <w:rsid w:val="002D5EF1"/>
    <w:rsid w:val="002D6186"/>
    <w:rsid w:val="002D7BCF"/>
    <w:rsid w:val="002E05AA"/>
    <w:rsid w:val="002E0CBF"/>
    <w:rsid w:val="002E104B"/>
    <w:rsid w:val="002E119E"/>
    <w:rsid w:val="002E1233"/>
    <w:rsid w:val="002E1B86"/>
    <w:rsid w:val="002E2D34"/>
    <w:rsid w:val="002E2D6C"/>
    <w:rsid w:val="002E3520"/>
    <w:rsid w:val="002E36E4"/>
    <w:rsid w:val="002E3C6C"/>
    <w:rsid w:val="002E3FE9"/>
    <w:rsid w:val="002E74CF"/>
    <w:rsid w:val="002E79AC"/>
    <w:rsid w:val="002F0428"/>
    <w:rsid w:val="002F3C16"/>
    <w:rsid w:val="002F49B9"/>
    <w:rsid w:val="002F4BE0"/>
    <w:rsid w:val="00301BAE"/>
    <w:rsid w:val="00301FE6"/>
    <w:rsid w:val="00303677"/>
    <w:rsid w:val="003038D5"/>
    <w:rsid w:val="00305370"/>
    <w:rsid w:val="0030661A"/>
    <w:rsid w:val="00306DE3"/>
    <w:rsid w:val="00307265"/>
    <w:rsid w:val="0031129F"/>
    <w:rsid w:val="0031196C"/>
    <w:rsid w:val="00313118"/>
    <w:rsid w:val="00313FDA"/>
    <w:rsid w:val="0031410E"/>
    <w:rsid w:val="00314BCB"/>
    <w:rsid w:val="00315D7A"/>
    <w:rsid w:val="00316303"/>
    <w:rsid w:val="00316FF9"/>
    <w:rsid w:val="00317CF9"/>
    <w:rsid w:val="00320035"/>
    <w:rsid w:val="0032049C"/>
    <w:rsid w:val="00320632"/>
    <w:rsid w:val="00322A70"/>
    <w:rsid w:val="003236B8"/>
    <w:rsid w:val="00323E68"/>
    <w:rsid w:val="003250B2"/>
    <w:rsid w:val="00327264"/>
    <w:rsid w:val="00327666"/>
    <w:rsid w:val="0033070C"/>
    <w:rsid w:val="003326C2"/>
    <w:rsid w:val="00333A2D"/>
    <w:rsid w:val="0034195D"/>
    <w:rsid w:val="003438A0"/>
    <w:rsid w:val="0034508C"/>
    <w:rsid w:val="00346280"/>
    <w:rsid w:val="003465AD"/>
    <w:rsid w:val="003470EB"/>
    <w:rsid w:val="00350438"/>
    <w:rsid w:val="00350A0C"/>
    <w:rsid w:val="0035183E"/>
    <w:rsid w:val="00352836"/>
    <w:rsid w:val="0035291D"/>
    <w:rsid w:val="00355148"/>
    <w:rsid w:val="003570CA"/>
    <w:rsid w:val="00357346"/>
    <w:rsid w:val="003616E5"/>
    <w:rsid w:val="00362AC4"/>
    <w:rsid w:val="0036320E"/>
    <w:rsid w:val="00365814"/>
    <w:rsid w:val="003658C3"/>
    <w:rsid w:val="003705B0"/>
    <w:rsid w:val="00371B24"/>
    <w:rsid w:val="003732E1"/>
    <w:rsid w:val="00374348"/>
    <w:rsid w:val="00374C44"/>
    <w:rsid w:val="00382F16"/>
    <w:rsid w:val="00384119"/>
    <w:rsid w:val="003867FD"/>
    <w:rsid w:val="00386B5B"/>
    <w:rsid w:val="0038798B"/>
    <w:rsid w:val="0039068F"/>
    <w:rsid w:val="00393A8E"/>
    <w:rsid w:val="003953E0"/>
    <w:rsid w:val="003A09BF"/>
    <w:rsid w:val="003A15B8"/>
    <w:rsid w:val="003A6E27"/>
    <w:rsid w:val="003B0EBD"/>
    <w:rsid w:val="003B15C6"/>
    <w:rsid w:val="003B1FA3"/>
    <w:rsid w:val="003B23EA"/>
    <w:rsid w:val="003B2455"/>
    <w:rsid w:val="003B5BB4"/>
    <w:rsid w:val="003B663D"/>
    <w:rsid w:val="003B747A"/>
    <w:rsid w:val="003B748C"/>
    <w:rsid w:val="003C0BC7"/>
    <w:rsid w:val="003C1A80"/>
    <w:rsid w:val="003C218D"/>
    <w:rsid w:val="003C2197"/>
    <w:rsid w:val="003C23FB"/>
    <w:rsid w:val="003C26DE"/>
    <w:rsid w:val="003C4524"/>
    <w:rsid w:val="003C5A38"/>
    <w:rsid w:val="003D041C"/>
    <w:rsid w:val="003D2586"/>
    <w:rsid w:val="003D2763"/>
    <w:rsid w:val="003D3D22"/>
    <w:rsid w:val="003D49DA"/>
    <w:rsid w:val="003D4D8E"/>
    <w:rsid w:val="003D64AF"/>
    <w:rsid w:val="003E41AD"/>
    <w:rsid w:val="003E59D5"/>
    <w:rsid w:val="003E5CD6"/>
    <w:rsid w:val="003E7930"/>
    <w:rsid w:val="003E7EFB"/>
    <w:rsid w:val="003F1E8E"/>
    <w:rsid w:val="003F3EE9"/>
    <w:rsid w:val="003F4E87"/>
    <w:rsid w:val="003F686E"/>
    <w:rsid w:val="003F74E0"/>
    <w:rsid w:val="004008B1"/>
    <w:rsid w:val="00402607"/>
    <w:rsid w:val="00403A3F"/>
    <w:rsid w:val="00403E9E"/>
    <w:rsid w:val="00404639"/>
    <w:rsid w:val="004068D3"/>
    <w:rsid w:val="00406F90"/>
    <w:rsid w:val="00407495"/>
    <w:rsid w:val="00411FC3"/>
    <w:rsid w:val="004123DB"/>
    <w:rsid w:val="004128AF"/>
    <w:rsid w:val="00416B66"/>
    <w:rsid w:val="00417351"/>
    <w:rsid w:val="0041743C"/>
    <w:rsid w:val="0042018C"/>
    <w:rsid w:val="00420BC2"/>
    <w:rsid w:val="004239F3"/>
    <w:rsid w:val="00423B11"/>
    <w:rsid w:val="004278FF"/>
    <w:rsid w:val="00427AED"/>
    <w:rsid w:val="00430CA9"/>
    <w:rsid w:val="00430DA0"/>
    <w:rsid w:val="004402F0"/>
    <w:rsid w:val="00440B5C"/>
    <w:rsid w:val="00442043"/>
    <w:rsid w:val="00443BB3"/>
    <w:rsid w:val="00445545"/>
    <w:rsid w:val="004476DD"/>
    <w:rsid w:val="00447E7A"/>
    <w:rsid w:val="0045137C"/>
    <w:rsid w:val="004517D4"/>
    <w:rsid w:val="00453A2F"/>
    <w:rsid w:val="00454B5A"/>
    <w:rsid w:val="0046106A"/>
    <w:rsid w:val="004619B4"/>
    <w:rsid w:val="00472C7D"/>
    <w:rsid w:val="00473F13"/>
    <w:rsid w:val="0047427F"/>
    <w:rsid w:val="00474C45"/>
    <w:rsid w:val="004814D1"/>
    <w:rsid w:val="00481D2B"/>
    <w:rsid w:val="0048301A"/>
    <w:rsid w:val="004838F6"/>
    <w:rsid w:val="00487FEE"/>
    <w:rsid w:val="00491288"/>
    <w:rsid w:val="00493428"/>
    <w:rsid w:val="00493AC9"/>
    <w:rsid w:val="004953E3"/>
    <w:rsid w:val="00495798"/>
    <w:rsid w:val="00495806"/>
    <w:rsid w:val="00495D49"/>
    <w:rsid w:val="004A14BE"/>
    <w:rsid w:val="004A72E7"/>
    <w:rsid w:val="004B4579"/>
    <w:rsid w:val="004C2BAD"/>
    <w:rsid w:val="004C3C5B"/>
    <w:rsid w:val="004C4294"/>
    <w:rsid w:val="004C4A7C"/>
    <w:rsid w:val="004C4BBA"/>
    <w:rsid w:val="004C4E57"/>
    <w:rsid w:val="004C57F0"/>
    <w:rsid w:val="004D20C2"/>
    <w:rsid w:val="004D2229"/>
    <w:rsid w:val="004D3410"/>
    <w:rsid w:val="004D3A89"/>
    <w:rsid w:val="004D6FDF"/>
    <w:rsid w:val="004D7097"/>
    <w:rsid w:val="004E0916"/>
    <w:rsid w:val="004E3CA0"/>
    <w:rsid w:val="004E48C4"/>
    <w:rsid w:val="004F2B52"/>
    <w:rsid w:val="004F760A"/>
    <w:rsid w:val="004F7A56"/>
    <w:rsid w:val="00501F1B"/>
    <w:rsid w:val="0050326D"/>
    <w:rsid w:val="00503653"/>
    <w:rsid w:val="005039EF"/>
    <w:rsid w:val="00503A27"/>
    <w:rsid w:val="0050404C"/>
    <w:rsid w:val="00504A39"/>
    <w:rsid w:val="00506F39"/>
    <w:rsid w:val="00512FF3"/>
    <w:rsid w:val="005130C9"/>
    <w:rsid w:val="00513EDE"/>
    <w:rsid w:val="005164C0"/>
    <w:rsid w:val="0051688D"/>
    <w:rsid w:val="00516DD1"/>
    <w:rsid w:val="005171BF"/>
    <w:rsid w:val="005172FD"/>
    <w:rsid w:val="005201F4"/>
    <w:rsid w:val="00522235"/>
    <w:rsid w:val="00523360"/>
    <w:rsid w:val="00525F13"/>
    <w:rsid w:val="00530102"/>
    <w:rsid w:val="0053193D"/>
    <w:rsid w:val="00534614"/>
    <w:rsid w:val="00534A49"/>
    <w:rsid w:val="005361F5"/>
    <w:rsid w:val="00536FA6"/>
    <w:rsid w:val="0053740B"/>
    <w:rsid w:val="00541FCB"/>
    <w:rsid w:val="00542A8E"/>
    <w:rsid w:val="00542E75"/>
    <w:rsid w:val="00545555"/>
    <w:rsid w:val="0054782D"/>
    <w:rsid w:val="00553C27"/>
    <w:rsid w:val="00554DF2"/>
    <w:rsid w:val="005550B8"/>
    <w:rsid w:val="00555259"/>
    <w:rsid w:val="00555709"/>
    <w:rsid w:val="00555891"/>
    <w:rsid w:val="0055785F"/>
    <w:rsid w:val="005578E9"/>
    <w:rsid w:val="00560144"/>
    <w:rsid w:val="00562352"/>
    <w:rsid w:val="00564BBD"/>
    <w:rsid w:val="00565072"/>
    <w:rsid w:val="00567122"/>
    <w:rsid w:val="005717DA"/>
    <w:rsid w:val="00571C4C"/>
    <w:rsid w:val="0057755E"/>
    <w:rsid w:val="00577B9B"/>
    <w:rsid w:val="00582F48"/>
    <w:rsid w:val="00584CDD"/>
    <w:rsid w:val="005850DF"/>
    <w:rsid w:val="00585AE9"/>
    <w:rsid w:val="00592147"/>
    <w:rsid w:val="00593931"/>
    <w:rsid w:val="0059435F"/>
    <w:rsid w:val="0059626B"/>
    <w:rsid w:val="00596AC3"/>
    <w:rsid w:val="005A2BDF"/>
    <w:rsid w:val="005A5455"/>
    <w:rsid w:val="005B044C"/>
    <w:rsid w:val="005B3A93"/>
    <w:rsid w:val="005B49CF"/>
    <w:rsid w:val="005B4CA3"/>
    <w:rsid w:val="005B51BA"/>
    <w:rsid w:val="005B6866"/>
    <w:rsid w:val="005B6D90"/>
    <w:rsid w:val="005B790A"/>
    <w:rsid w:val="005B7FF1"/>
    <w:rsid w:val="005C017D"/>
    <w:rsid w:val="005C0ADF"/>
    <w:rsid w:val="005C1D31"/>
    <w:rsid w:val="005C4174"/>
    <w:rsid w:val="005C4628"/>
    <w:rsid w:val="005C57AF"/>
    <w:rsid w:val="005C6DED"/>
    <w:rsid w:val="005C6F09"/>
    <w:rsid w:val="005C7F27"/>
    <w:rsid w:val="005D1F86"/>
    <w:rsid w:val="005D36AB"/>
    <w:rsid w:val="005D4E49"/>
    <w:rsid w:val="005D50E4"/>
    <w:rsid w:val="005D5A79"/>
    <w:rsid w:val="005D5E54"/>
    <w:rsid w:val="005D5E6B"/>
    <w:rsid w:val="005D74BC"/>
    <w:rsid w:val="005E0D28"/>
    <w:rsid w:val="005E130F"/>
    <w:rsid w:val="005E219B"/>
    <w:rsid w:val="005E4F7B"/>
    <w:rsid w:val="005E4F8A"/>
    <w:rsid w:val="005E5F80"/>
    <w:rsid w:val="005E5F8B"/>
    <w:rsid w:val="005F0DED"/>
    <w:rsid w:val="005F1A36"/>
    <w:rsid w:val="005F2E9C"/>
    <w:rsid w:val="005F7994"/>
    <w:rsid w:val="00601502"/>
    <w:rsid w:val="00601963"/>
    <w:rsid w:val="006027BB"/>
    <w:rsid w:val="006027E3"/>
    <w:rsid w:val="00602AA3"/>
    <w:rsid w:val="006060C7"/>
    <w:rsid w:val="006070AE"/>
    <w:rsid w:val="00607B89"/>
    <w:rsid w:val="006121FE"/>
    <w:rsid w:val="00612E0F"/>
    <w:rsid w:val="0061308B"/>
    <w:rsid w:val="0061423C"/>
    <w:rsid w:val="006167F5"/>
    <w:rsid w:val="00617DE5"/>
    <w:rsid w:val="006228DD"/>
    <w:rsid w:val="00622E76"/>
    <w:rsid w:val="006232DD"/>
    <w:rsid w:val="00624527"/>
    <w:rsid w:val="00625CD9"/>
    <w:rsid w:val="006265EB"/>
    <w:rsid w:val="00626A5C"/>
    <w:rsid w:val="006312A6"/>
    <w:rsid w:val="00631504"/>
    <w:rsid w:val="0063519D"/>
    <w:rsid w:val="00635B24"/>
    <w:rsid w:val="00636AE8"/>
    <w:rsid w:val="00637F59"/>
    <w:rsid w:val="006407BB"/>
    <w:rsid w:val="0064130C"/>
    <w:rsid w:val="00641BF9"/>
    <w:rsid w:val="0064279E"/>
    <w:rsid w:val="0064453A"/>
    <w:rsid w:val="006447CA"/>
    <w:rsid w:val="00646431"/>
    <w:rsid w:val="006469CE"/>
    <w:rsid w:val="00650B7F"/>
    <w:rsid w:val="00650C37"/>
    <w:rsid w:val="006527A2"/>
    <w:rsid w:val="006528F7"/>
    <w:rsid w:val="006535F0"/>
    <w:rsid w:val="00654DDA"/>
    <w:rsid w:val="00655750"/>
    <w:rsid w:val="00656036"/>
    <w:rsid w:val="00657FCC"/>
    <w:rsid w:val="00663786"/>
    <w:rsid w:val="00664659"/>
    <w:rsid w:val="00665CBD"/>
    <w:rsid w:val="0066676E"/>
    <w:rsid w:val="00670B2A"/>
    <w:rsid w:val="00670E90"/>
    <w:rsid w:val="00670F5B"/>
    <w:rsid w:val="00672C4E"/>
    <w:rsid w:val="006749C9"/>
    <w:rsid w:val="00675EE1"/>
    <w:rsid w:val="00677A20"/>
    <w:rsid w:val="00677F1F"/>
    <w:rsid w:val="0068110B"/>
    <w:rsid w:val="0068282E"/>
    <w:rsid w:val="006833BF"/>
    <w:rsid w:val="00683691"/>
    <w:rsid w:val="006856A5"/>
    <w:rsid w:val="00687A48"/>
    <w:rsid w:val="00690A93"/>
    <w:rsid w:val="0069145C"/>
    <w:rsid w:val="00694D12"/>
    <w:rsid w:val="00694EA4"/>
    <w:rsid w:val="00696417"/>
    <w:rsid w:val="00696D20"/>
    <w:rsid w:val="006A196F"/>
    <w:rsid w:val="006A468D"/>
    <w:rsid w:val="006A4852"/>
    <w:rsid w:val="006A52CF"/>
    <w:rsid w:val="006A5562"/>
    <w:rsid w:val="006A613E"/>
    <w:rsid w:val="006A675A"/>
    <w:rsid w:val="006A711B"/>
    <w:rsid w:val="006B06A1"/>
    <w:rsid w:val="006B2169"/>
    <w:rsid w:val="006B6306"/>
    <w:rsid w:val="006B7D9C"/>
    <w:rsid w:val="006C0A1B"/>
    <w:rsid w:val="006C10C8"/>
    <w:rsid w:val="006C3EE6"/>
    <w:rsid w:val="006C5482"/>
    <w:rsid w:val="006C6C5A"/>
    <w:rsid w:val="006C7AD7"/>
    <w:rsid w:val="006C7FA2"/>
    <w:rsid w:val="006D0D46"/>
    <w:rsid w:val="006D3ED6"/>
    <w:rsid w:val="006D6F9F"/>
    <w:rsid w:val="006D7F77"/>
    <w:rsid w:val="006E0630"/>
    <w:rsid w:val="006E0DEB"/>
    <w:rsid w:val="006E1728"/>
    <w:rsid w:val="006E1C6B"/>
    <w:rsid w:val="006E488D"/>
    <w:rsid w:val="006E5358"/>
    <w:rsid w:val="006E7193"/>
    <w:rsid w:val="006F070C"/>
    <w:rsid w:val="006F08D5"/>
    <w:rsid w:val="006F2FFB"/>
    <w:rsid w:val="006F3F20"/>
    <w:rsid w:val="006F4EE2"/>
    <w:rsid w:val="006F71AC"/>
    <w:rsid w:val="006F7B1B"/>
    <w:rsid w:val="007025F4"/>
    <w:rsid w:val="0070323E"/>
    <w:rsid w:val="007049C5"/>
    <w:rsid w:val="00705AAC"/>
    <w:rsid w:val="007071A5"/>
    <w:rsid w:val="00710B3D"/>
    <w:rsid w:val="00711744"/>
    <w:rsid w:val="0071330E"/>
    <w:rsid w:val="007133F2"/>
    <w:rsid w:val="00714D0F"/>
    <w:rsid w:val="00715CE4"/>
    <w:rsid w:val="00716598"/>
    <w:rsid w:val="00717CE5"/>
    <w:rsid w:val="007217F5"/>
    <w:rsid w:val="00721C2C"/>
    <w:rsid w:val="007224FB"/>
    <w:rsid w:val="00723335"/>
    <w:rsid w:val="00726E7A"/>
    <w:rsid w:val="00727F38"/>
    <w:rsid w:val="00733737"/>
    <w:rsid w:val="00735CC3"/>
    <w:rsid w:val="00736F24"/>
    <w:rsid w:val="00737008"/>
    <w:rsid w:val="00737322"/>
    <w:rsid w:val="007378C0"/>
    <w:rsid w:val="0074202C"/>
    <w:rsid w:val="0074246F"/>
    <w:rsid w:val="0074282A"/>
    <w:rsid w:val="00743343"/>
    <w:rsid w:val="0074591B"/>
    <w:rsid w:val="007466CB"/>
    <w:rsid w:val="007466CF"/>
    <w:rsid w:val="0075094E"/>
    <w:rsid w:val="00752407"/>
    <w:rsid w:val="007525B6"/>
    <w:rsid w:val="00753BE2"/>
    <w:rsid w:val="00755C1F"/>
    <w:rsid w:val="00756507"/>
    <w:rsid w:val="007578BF"/>
    <w:rsid w:val="00757BDD"/>
    <w:rsid w:val="00760458"/>
    <w:rsid w:val="00761912"/>
    <w:rsid w:val="00763BB4"/>
    <w:rsid w:val="00765107"/>
    <w:rsid w:val="00765D8D"/>
    <w:rsid w:val="00772212"/>
    <w:rsid w:val="00772985"/>
    <w:rsid w:val="00773B40"/>
    <w:rsid w:val="0077440F"/>
    <w:rsid w:val="00776E47"/>
    <w:rsid w:val="00780160"/>
    <w:rsid w:val="0078216B"/>
    <w:rsid w:val="00785F99"/>
    <w:rsid w:val="007864A0"/>
    <w:rsid w:val="0078654B"/>
    <w:rsid w:val="00790503"/>
    <w:rsid w:val="00792DE7"/>
    <w:rsid w:val="007951A5"/>
    <w:rsid w:val="00795585"/>
    <w:rsid w:val="00795E92"/>
    <w:rsid w:val="00796B44"/>
    <w:rsid w:val="00796BFB"/>
    <w:rsid w:val="00797533"/>
    <w:rsid w:val="00797C20"/>
    <w:rsid w:val="007A0F30"/>
    <w:rsid w:val="007A1166"/>
    <w:rsid w:val="007A1434"/>
    <w:rsid w:val="007A42D5"/>
    <w:rsid w:val="007B1E60"/>
    <w:rsid w:val="007B3F5F"/>
    <w:rsid w:val="007B3FC4"/>
    <w:rsid w:val="007B41F5"/>
    <w:rsid w:val="007B4CDD"/>
    <w:rsid w:val="007B4FF5"/>
    <w:rsid w:val="007B641C"/>
    <w:rsid w:val="007B7A8D"/>
    <w:rsid w:val="007C09E9"/>
    <w:rsid w:val="007C20D0"/>
    <w:rsid w:val="007C32A9"/>
    <w:rsid w:val="007C4482"/>
    <w:rsid w:val="007C65AC"/>
    <w:rsid w:val="007C6C94"/>
    <w:rsid w:val="007D080F"/>
    <w:rsid w:val="007D0928"/>
    <w:rsid w:val="007D105D"/>
    <w:rsid w:val="007D390E"/>
    <w:rsid w:val="007D4D2F"/>
    <w:rsid w:val="007D50A8"/>
    <w:rsid w:val="007D5244"/>
    <w:rsid w:val="007D52BB"/>
    <w:rsid w:val="007D5B40"/>
    <w:rsid w:val="007D5FA3"/>
    <w:rsid w:val="007D70D7"/>
    <w:rsid w:val="007D769F"/>
    <w:rsid w:val="007E02C7"/>
    <w:rsid w:val="007E035D"/>
    <w:rsid w:val="007E08B6"/>
    <w:rsid w:val="007E2409"/>
    <w:rsid w:val="007E445A"/>
    <w:rsid w:val="007E5426"/>
    <w:rsid w:val="007E5738"/>
    <w:rsid w:val="007E59C4"/>
    <w:rsid w:val="007E6491"/>
    <w:rsid w:val="007E73A5"/>
    <w:rsid w:val="007F05E7"/>
    <w:rsid w:val="007F1831"/>
    <w:rsid w:val="007F3FC4"/>
    <w:rsid w:val="007F46A4"/>
    <w:rsid w:val="007F4E1D"/>
    <w:rsid w:val="008026C6"/>
    <w:rsid w:val="00803CA1"/>
    <w:rsid w:val="00804E82"/>
    <w:rsid w:val="0080606C"/>
    <w:rsid w:val="00807263"/>
    <w:rsid w:val="00807283"/>
    <w:rsid w:val="0081081E"/>
    <w:rsid w:val="00812099"/>
    <w:rsid w:val="0081535C"/>
    <w:rsid w:val="008165A3"/>
    <w:rsid w:val="00820D7F"/>
    <w:rsid w:val="00821DEF"/>
    <w:rsid w:val="00822F9D"/>
    <w:rsid w:val="008243A5"/>
    <w:rsid w:val="00825B26"/>
    <w:rsid w:val="008260A4"/>
    <w:rsid w:val="00826E45"/>
    <w:rsid w:val="00835B90"/>
    <w:rsid w:val="00836E5C"/>
    <w:rsid w:val="00840E13"/>
    <w:rsid w:val="0084118A"/>
    <w:rsid w:val="008415AB"/>
    <w:rsid w:val="008422A8"/>
    <w:rsid w:val="008424F6"/>
    <w:rsid w:val="00847440"/>
    <w:rsid w:val="00847680"/>
    <w:rsid w:val="00847CD8"/>
    <w:rsid w:val="00847D69"/>
    <w:rsid w:val="0085130E"/>
    <w:rsid w:val="00852A7D"/>
    <w:rsid w:val="00853281"/>
    <w:rsid w:val="0085511B"/>
    <w:rsid w:val="00855442"/>
    <w:rsid w:val="00855E83"/>
    <w:rsid w:val="00855ED9"/>
    <w:rsid w:val="00860538"/>
    <w:rsid w:val="008614BE"/>
    <w:rsid w:val="00863317"/>
    <w:rsid w:val="00863DB8"/>
    <w:rsid w:val="00865E5E"/>
    <w:rsid w:val="00866984"/>
    <w:rsid w:val="008721BD"/>
    <w:rsid w:val="008739A9"/>
    <w:rsid w:val="008768F3"/>
    <w:rsid w:val="008809B7"/>
    <w:rsid w:val="00885C58"/>
    <w:rsid w:val="00886815"/>
    <w:rsid w:val="00887FCA"/>
    <w:rsid w:val="00890918"/>
    <w:rsid w:val="00893551"/>
    <w:rsid w:val="00894C94"/>
    <w:rsid w:val="00896135"/>
    <w:rsid w:val="00896F90"/>
    <w:rsid w:val="008A0BC6"/>
    <w:rsid w:val="008A10E3"/>
    <w:rsid w:val="008A1EE0"/>
    <w:rsid w:val="008A3809"/>
    <w:rsid w:val="008A41C2"/>
    <w:rsid w:val="008A5354"/>
    <w:rsid w:val="008A646F"/>
    <w:rsid w:val="008B03BE"/>
    <w:rsid w:val="008B0C9C"/>
    <w:rsid w:val="008B4C61"/>
    <w:rsid w:val="008B52E7"/>
    <w:rsid w:val="008B7007"/>
    <w:rsid w:val="008B7A5E"/>
    <w:rsid w:val="008C0731"/>
    <w:rsid w:val="008C1C05"/>
    <w:rsid w:val="008C22BD"/>
    <w:rsid w:val="008C265D"/>
    <w:rsid w:val="008C26C3"/>
    <w:rsid w:val="008C2C53"/>
    <w:rsid w:val="008C3465"/>
    <w:rsid w:val="008C35EE"/>
    <w:rsid w:val="008C46C8"/>
    <w:rsid w:val="008C720D"/>
    <w:rsid w:val="008C79FF"/>
    <w:rsid w:val="008D0182"/>
    <w:rsid w:val="008D07BB"/>
    <w:rsid w:val="008D11FF"/>
    <w:rsid w:val="008D123C"/>
    <w:rsid w:val="008D3C13"/>
    <w:rsid w:val="008D5F6B"/>
    <w:rsid w:val="008D6726"/>
    <w:rsid w:val="008D7538"/>
    <w:rsid w:val="008E0951"/>
    <w:rsid w:val="008E0D10"/>
    <w:rsid w:val="008E15E6"/>
    <w:rsid w:val="008E3957"/>
    <w:rsid w:val="008E3B1A"/>
    <w:rsid w:val="008F3779"/>
    <w:rsid w:val="008F431D"/>
    <w:rsid w:val="008F4A52"/>
    <w:rsid w:val="008F646E"/>
    <w:rsid w:val="008F6BF1"/>
    <w:rsid w:val="008F7945"/>
    <w:rsid w:val="0090076A"/>
    <w:rsid w:val="009027F5"/>
    <w:rsid w:val="00905151"/>
    <w:rsid w:val="00907144"/>
    <w:rsid w:val="009073A2"/>
    <w:rsid w:val="009076F7"/>
    <w:rsid w:val="00910FD1"/>
    <w:rsid w:val="009118AD"/>
    <w:rsid w:val="00911BB0"/>
    <w:rsid w:val="00914EE6"/>
    <w:rsid w:val="009173DB"/>
    <w:rsid w:val="0091757B"/>
    <w:rsid w:val="00920D97"/>
    <w:rsid w:val="00925319"/>
    <w:rsid w:val="00927E84"/>
    <w:rsid w:val="00930D35"/>
    <w:rsid w:val="00932439"/>
    <w:rsid w:val="009330AE"/>
    <w:rsid w:val="00933C0C"/>
    <w:rsid w:val="0093559D"/>
    <w:rsid w:val="00935B8A"/>
    <w:rsid w:val="00937CB3"/>
    <w:rsid w:val="00945B5C"/>
    <w:rsid w:val="00946334"/>
    <w:rsid w:val="0094641B"/>
    <w:rsid w:val="009502AB"/>
    <w:rsid w:val="0095038F"/>
    <w:rsid w:val="009556C2"/>
    <w:rsid w:val="009556FB"/>
    <w:rsid w:val="00955E33"/>
    <w:rsid w:val="00957565"/>
    <w:rsid w:val="00957D98"/>
    <w:rsid w:val="00960FF2"/>
    <w:rsid w:val="00961586"/>
    <w:rsid w:val="00961AB5"/>
    <w:rsid w:val="00961AD8"/>
    <w:rsid w:val="009632FC"/>
    <w:rsid w:val="00963541"/>
    <w:rsid w:val="00966C90"/>
    <w:rsid w:val="00967CB2"/>
    <w:rsid w:val="009724F7"/>
    <w:rsid w:val="00973C6E"/>
    <w:rsid w:val="00973F50"/>
    <w:rsid w:val="0097597A"/>
    <w:rsid w:val="0097701A"/>
    <w:rsid w:val="00980DCA"/>
    <w:rsid w:val="00982234"/>
    <w:rsid w:val="009836D6"/>
    <w:rsid w:val="00983DC6"/>
    <w:rsid w:val="00984C53"/>
    <w:rsid w:val="00985AB4"/>
    <w:rsid w:val="009862D0"/>
    <w:rsid w:val="00986767"/>
    <w:rsid w:val="00990147"/>
    <w:rsid w:val="00990832"/>
    <w:rsid w:val="009945C2"/>
    <w:rsid w:val="00995FDC"/>
    <w:rsid w:val="009977F9"/>
    <w:rsid w:val="009978D7"/>
    <w:rsid w:val="00997EB8"/>
    <w:rsid w:val="009A0CD2"/>
    <w:rsid w:val="009A1B64"/>
    <w:rsid w:val="009A1D69"/>
    <w:rsid w:val="009A2DA8"/>
    <w:rsid w:val="009A4960"/>
    <w:rsid w:val="009A5207"/>
    <w:rsid w:val="009A5DD6"/>
    <w:rsid w:val="009A6050"/>
    <w:rsid w:val="009A7FD7"/>
    <w:rsid w:val="009B04CE"/>
    <w:rsid w:val="009B0552"/>
    <w:rsid w:val="009B0E38"/>
    <w:rsid w:val="009B225C"/>
    <w:rsid w:val="009B2D59"/>
    <w:rsid w:val="009B356B"/>
    <w:rsid w:val="009B4376"/>
    <w:rsid w:val="009B5146"/>
    <w:rsid w:val="009B5417"/>
    <w:rsid w:val="009B5C87"/>
    <w:rsid w:val="009C02DB"/>
    <w:rsid w:val="009C03F0"/>
    <w:rsid w:val="009C1851"/>
    <w:rsid w:val="009C2BC9"/>
    <w:rsid w:val="009C3D01"/>
    <w:rsid w:val="009C4138"/>
    <w:rsid w:val="009C5D8B"/>
    <w:rsid w:val="009D110F"/>
    <w:rsid w:val="009D15A2"/>
    <w:rsid w:val="009D1860"/>
    <w:rsid w:val="009D50D0"/>
    <w:rsid w:val="009D62FB"/>
    <w:rsid w:val="009E2C67"/>
    <w:rsid w:val="009E33F7"/>
    <w:rsid w:val="009E6ED5"/>
    <w:rsid w:val="009E6F99"/>
    <w:rsid w:val="009E7A16"/>
    <w:rsid w:val="009E7C76"/>
    <w:rsid w:val="009F04AE"/>
    <w:rsid w:val="009F47F4"/>
    <w:rsid w:val="009F4857"/>
    <w:rsid w:val="009F627B"/>
    <w:rsid w:val="00A0024D"/>
    <w:rsid w:val="00A004A7"/>
    <w:rsid w:val="00A00A10"/>
    <w:rsid w:val="00A01A7E"/>
    <w:rsid w:val="00A05FA8"/>
    <w:rsid w:val="00A106FC"/>
    <w:rsid w:val="00A11853"/>
    <w:rsid w:val="00A12702"/>
    <w:rsid w:val="00A1691D"/>
    <w:rsid w:val="00A16B19"/>
    <w:rsid w:val="00A20BC4"/>
    <w:rsid w:val="00A21DB3"/>
    <w:rsid w:val="00A24661"/>
    <w:rsid w:val="00A25919"/>
    <w:rsid w:val="00A33AF5"/>
    <w:rsid w:val="00A344FE"/>
    <w:rsid w:val="00A35447"/>
    <w:rsid w:val="00A3683F"/>
    <w:rsid w:val="00A4015A"/>
    <w:rsid w:val="00A40853"/>
    <w:rsid w:val="00A43213"/>
    <w:rsid w:val="00A43962"/>
    <w:rsid w:val="00A44768"/>
    <w:rsid w:val="00A45765"/>
    <w:rsid w:val="00A46A7A"/>
    <w:rsid w:val="00A46C20"/>
    <w:rsid w:val="00A47830"/>
    <w:rsid w:val="00A5095F"/>
    <w:rsid w:val="00A5192D"/>
    <w:rsid w:val="00A52809"/>
    <w:rsid w:val="00A53BCC"/>
    <w:rsid w:val="00A5574D"/>
    <w:rsid w:val="00A5739F"/>
    <w:rsid w:val="00A57C2C"/>
    <w:rsid w:val="00A606C0"/>
    <w:rsid w:val="00A662F2"/>
    <w:rsid w:val="00A6720D"/>
    <w:rsid w:val="00A67CCB"/>
    <w:rsid w:val="00A73366"/>
    <w:rsid w:val="00A73460"/>
    <w:rsid w:val="00A75990"/>
    <w:rsid w:val="00A7632D"/>
    <w:rsid w:val="00A7792B"/>
    <w:rsid w:val="00A77942"/>
    <w:rsid w:val="00A800DC"/>
    <w:rsid w:val="00A81186"/>
    <w:rsid w:val="00A8127A"/>
    <w:rsid w:val="00A81622"/>
    <w:rsid w:val="00A869A4"/>
    <w:rsid w:val="00A87A5A"/>
    <w:rsid w:val="00A95F49"/>
    <w:rsid w:val="00A9643D"/>
    <w:rsid w:val="00A966B1"/>
    <w:rsid w:val="00A96D5C"/>
    <w:rsid w:val="00AA1373"/>
    <w:rsid w:val="00AA244E"/>
    <w:rsid w:val="00AA24A2"/>
    <w:rsid w:val="00AA306C"/>
    <w:rsid w:val="00AA3766"/>
    <w:rsid w:val="00AA3B1C"/>
    <w:rsid w:val="00AA4F81"/>
    <w:rsid w:val="00AA7534"/>
    <w:rsid w:val="00AA795C"/>
    <w:rsid w:val="00AB05EE"/>
    <w:rsid w:val="00AB076E"/>
    <w:rsid w:val="00AB1D32"/>
    <w:rsid w:val="00AB1FB9"/>
    <w:rsid w:val="00AB27EF"/>
    <w:rsid w:val="00AB2AD0"/>
    <w:rsid w:val="00AB3203"/>
    <w:rsid w:val="00AB4EB3"/>
    <w:rsid w:val="00AB4EC2"/>
    <w:rsid w:val="00AB5333"/>
    <w:rsid w:val="00AB6435"/>
    <w:rsid w:val="00AB782F"/>
    <w:rsid w:val="00AC2329"/>
    <w:rsid w:val="00AC24FB"/>
    <w:rsid w:val="00AC2BB9"/>
    <w:rsid w:val="00AC5E97"/>
    <w:rsid w:val="00AC6304"/>
    <w:rsid w:val="00AC7403"/>
    <w:rsid w:val="00AD25EF"/>
    <w:rsid w:val="00AD38CB"/>
    <w:rsid w:val="00AD7097"/>
    <w:rsid w:val="00AE2815"/>
    <w:rsid w:val="00AE435B"/>
    <w:rsid w:val="00AE4795"/>
    <w:rsid w:val="00AE6964"/>
    <w:rsid w:val="00AE73AC"/>
    <w:rsid w:val="00AF0AA8"/>
    <w:rsid w:val="00AF2731"/>
    <w:rsid w:val="00AF32AF"/>
    <w:rsid w:val="00AF690E"/>
    <w:rsid w:val="00AF691C"/>
    <w:rsid w:val="00AF729A"/>
    <w:rsid w:val="00B006D5"/>
    <w:rsid w:val="00B00BE6"/>
    <w:rsid w:val="00B01B57"/>
    <w:rsid w:val="00B01EF2"/>
    <w:rsid w:val="00B02B64"/>
    <w:rsid w:val="00B04383"/>
    <w:rsid w:val="00B10F18"/>
    <w:rsid w:val="00B122A4"/>
    <w:rsid w:val="00B124C4"/>
    <w:rsid w:val="00B15682"/>
    <w:rsid w:val="00B158A1"/>
    <w:rsid w:val="00B17473"/>
    <w:rsid w:val="00B21B61"/>
    <w:rsid w:val="00B22F00"/>
    <w:rsid w:val="00B2560B"/>
    <w:rsid w:val="00B2658A"/>
    <w:rsid w:val="00B26C34"/>
    <w:rsid w:val="00B30C3C"/>
    <w:rsid w:val="00B3324B"/>
    <w:rsid w:val="00B33516"/>
    <w:rsid w:val="00B33D90"/>
    <w:rsid w:val="00B33EEE"/>
    <w:rsid w:val="00B405F1"/>
    <w:rsid w:val="00B40B4F"/>
    <w:rsid w:val="00B4170C"/>
    <w:rsid w:val="00B41984"/>
    <w:rsid w:val="00B421B7"/>
    <w:rsid w:val="00B42F9C"/>
    <w:rsid w:val="00B46AE5"/>
    <w:rsid w:val="00B51099"/>
    <w:rsid w:val="00B5193C"/>
    <w:rsid w:val="00B5197C"/>
    <w:rsid w:val="00B52270"/>
    <w:rsid w:val="00B54C28"/>
    <w:rsid w:val="00B54F65"/>
    <w:rsid w:val="00B55449"/>
    <w:rsid w:val="00B55799"/>
    <w:rsid w:val="00B55899"/>
    <w:rsid w:val="00B6136F"/>
    <w:rsid w:val="00B6285B"/>
    <w:rsid w:val="00B629EF"/>
    <w:rsid w:val="00B652AA"/>
    <w:rsid w:val="00B67434"/>
    <w:rsid w:val="00B6777E"/>
    <w:rsid w:val="00B71520"/>
    <w:rsid w:val="00B71ABA"/>
    <w:rsid w:val="00B75E96"/>
    <w:rsid w:val="00B76F72"/>
    <w:rsid w:val="00B827F4"/>
    <w:rsid w:val="00B8381B"/>
    <w:rsid w:val="00B8391F"/>
    <w:rsid w:val="00B84453"/>
    <w:rsid w:val="00B844BF"/>
    <w:rsid w:val="00B846EA"/>
    <w:rsid w:val="00B86BD8"/>
    <w:rsid w:val="00B86BDF"/>
    <w:rsid w:val="00B86F15"/>
    <w:rsid w:val="00B91458"/>
    <w:rsid w:val="00B94D33"/>
    <w:rsid w:val="00B95021"/>
    <w:rsid w:val="00B9635E"/>
    <w:rsid w:val="00B9784B"/>
    <w:rsid w:val="00BA13B5"/>
    <w:rsid w:val="00BA1F35"/>
    <w:rsid w:val="00BA39C3"/>
    <w:rsid w:val="00BA416F"/>
    <w:rsid w:val="00BA651C"/>
    <w:rsid w:val="00BA7101"/>
    <w:rsid w:val="00BB116A"/>
    <w:rsid w:val="00BB1587"/>
    <w:rsid w:val="00BB2A17"/>
    <w:rsid w:val="00BB5E8B"/>
    <w:rsid w:val="00BB6073"/>
    <w:rsid w:val="00BB747F"/>
    <w:rsid w:val="00BB7801"/>
    <w:rsid w:val="00BC301E"/>
    <w:rsid w:val="00BC4D7A"/>
    <w:rsid w:val="00BD15E6"/>
    <w:rsid w:val="00BD3487"/>
    <w:rsid w:val="00BD3B1D"/>
    <w:rsid w:val="00BD40CA"/>
    <w:rsid w:val="00BD5178"/>
    <w:rsid w:val="00BE039A"/>
    <w:rsid w:val="00BE06D7"/>
    <w:rsid w:val="00BE1457"/>
    <w:rsid w:val="00BE2709"/>
    <w:rsid w:val="00BE4ED7"/>
    <w:rsid w:val="00BE7F2D"/>
    <w:rsid w:val="00BF12DB"/>
    <w:rsid w:val="00BF289E"/>
    <w:rsid w:val="00BF498D"/>
    <w:rsid w:val="00BF4E47"/>
    <w:rsid w:val="00BF52F5"/>
    <w:rsid w:val="00C00E3E"/>
    <w:rsid w:val="00C00FAD"/>
    <w:rsid w:val="00C0425E"/>
    <w:rsid w:val="00C04891"/>
    <w:rsid w:val="00C04E6C"/>
    <w:rsid w:val="00C051E1"/>
    <w:rsid w:val="00C05BEE"/>
    <w:rsid w:val="00C0620B"/>
    <w:rsid w:val="00C14232"/>
    <w:rsid w:val="00C16230"/>
    <w:rsid w:val="00C21FDE"/>
    <w:rsid w:val="00C27875"/>
    <w:rsid w:val="00C30C80"/>
    <w:rsid w:val="00C42514"/>
    <w:rsid w:val="00C432B2"/>
    <w:rsid w:val="00C43C9E"/>
    <w:rsid w:val="00C450F7"/>
    <w:rsid w:val="00C47F50"/>
    <w:rsid w:val="00C53935"/>
    <w:rsid w:val="00C56935"/>
    <w:rsid w:val="00C6024A"/>
    <w:rsid w:val="00C606C7"/>
    <w:rsid w:val="00C61A63"/>
    <w:rsid w:val="00C63EB2"/>
    <w:rsid w:val="00C6412D"/>
    <w:rsid w:val="00C67E27"/>
    <w:rsid w:val="00C67F1E"/>
    <w:rsid w:val="00C706E8"/>
    <w:rsid w:val="00C709DF"/>
    <w:rsid w:val="00C7116B"/>
    <w:rsid w:val="00C724D2"/>
    <w:rsid w:val="00C738A7"/>
    <w:rsid w:val="00C747A0"/>
    <w:rsid w:val="00C74996"/>
    <w:rsid w:val="00C75DEE"/>
    <w:rsid w:val="00C76ABF"/>
    <w:rsid w:val="00C76BBA"/>
    <w:rsid w:val="00C807FC"/>
    <w:rsid w:val="00C82647"/>
    <w:rsid w:val="00C83927"/>
    <w:rsid w:val="00C91B33"/>
    <w:rsid w:val="00C92906"/>
    <w:rsid w:val="00C9411A"/>
    <w:rsid w:val="00C94376"/>
    <w:rsid w:val="00C96D4F"/>
    <w:rsid w:val="00CA0B77"/>
    <w:rsid w:val="00CA0D93"/>
    <w:rsid w:val="00CA1AB2"/>
    <w:rsid w:val="00CA1E9E"/>
    <w:rsid w:val="00CA2806"/>
    <w:rsid w:val="00CA60CC"/>
    <w:rsid w:val="00CA611A"/>
    <w:rsid w:val="00CA729A"/>
    <w:rsid w:val="00CB15FC"/>
    <w:rsid w:val="00CB20CD"/>
    <w:rsid w:val="00CB4004"/>
    <w:rsid w:val="00CB79A8"/>
    <w:rsid w:val="00CC0A6A"/>
    <w:rsid w:val="00CC116F"/>
    <w:rsid w:val="00CC3499"/>
    <w:rsid w:val="00CC3919"/>
    <w:rsid w:val="00CC53F4"/>
    <w:rsid w:val="00CC690D"/>
    <w:rsid w:val="00CC7889"/>
    <w:rsid w:val="00CD1758"/>
    <w:rsid w:val="00CD1798"/>
    <w:rsid w:val="00CD1ED9"/>
    <w:rsid w:val="00CD2F1D"/>
    <w:rsid w:val="00CD5C48"/>
    <w:rsid w:val="00CE20E1"/>
    <w:rsid w:val="00CE2291"/>
    <w:rsid w:val="00CE4FA8"/>
    <w:rsid w:val="00CF3A67"/>
    <w:rsid w:val="00CF3C2B"/>
    <w:rsid w:val="00CF44DC"/>
    <w:rsid w:val="00CF647D"/>
    <w:rsid w:val="00CF7EC2"/>
    <w:rsid w:val="00D01488"/>
    <w:rsid w:val="00D02108"/>
    <w:rsid w:val="00D05213"/>
    <w:rsid w:val="00D06976"/>
    <w:rsid w:val="00D06E3D"/>
    <w:rsid w:val="00D1013F"/>
    <w:rsid w:val="00D11E39"/>
    <w:rsid w:val="00D1214B"/>
    <w:rsid w:val="00D127FD"/>
    <w:rsid w:val="00D1296E"/>
    <w:rsid w:val="00D17EA6"/>
    <w:rsid w:val="00D2021B"/>
    <w:rsid w:val="00D2111F"/>
    <w:rsid w:val="00D2356A"/>
    <w:rsid w:val="00D2542D"/>
    <w:rsid w:val="00D26072"/>
    <w:rsid w:val="00D26E72"/>
    <w:rsid w:val="00D27CA6"/>
    <w:rsid w:val="00D27F19"/>
    <w:rsid w:val="00D3024A"/>
    <w:rsid w:val="00D33368"/>
    <w:rsid w:val="00D33D8E"/>
    <w:rsid w:val="00D34380"/>
    <w:rsid w:val="00D3490C"/>
    <w:rsid w:val="00D34E00"/>
    <w:rsid w:val="00D352E4"/>
    <w:rsid w:val="00D368D8"/>
    <w:rsid w:val="00D369A0"/>
    <w:rsid w:val="00D36D20"/>
    <w:rsid w:val="00D37A23"/>
    <w:rsid w:val="00D44120"/>
    <w:rsid w:val="00D45399"/>
    <w:rsid w:val="00D45AFA"/>
    <w:rsid w:val="00D5266C"/>
    <w:rsid w:val="00D5337D"/>
    <w:rsid w:val="00D53B0D"/>
    <w:rsid w:val="00D53D64"/>
    <w:rsid w:val="00D53E98"/>
    <w:rsid w:val="00D615B4"/>
    <w:rsid w:val="00D62595"/>
    <w:rsid w:val="00D62950"/>
    <w:rsid w:val="00D647DA"/>
    <w:rsid w:val="00D64FE0"/>
    <w:rsid w:val="00D725FF"/>
    <w:rsid w:val="00D72F59"/>
    <w:rsid w:val="00D743CC"/>
    <w:rsid w:val="00D74FA5"/>
    <w:rsid w:val="00D75AAC"/>
    <w:rsid w:val="00D76202"/>
    <w:rsid w:val="00D77119"/>
    <w:rsid w:val="00D80771"/>
    <w:rsid w:val="00D84A6C"/>
    <w:rsid w:val="00D8574F"/>
    <w:rsid w:val="00D85F6F"/>
    <w:rsid w:val="00D8743F"/>
    <w:rsid w:val="00D914BF"/>
    <w:rsid w:val="00D93879"/>
    <w:rsid w:val="00D957A3"/>
    <w:rsid w:val="00D95FA2"/>
    <w:rsid w:val="00D9789E"/>
    <w:rsid w:val="00D9796B"/>
    <w:rsid w:val="00D979D1"/>
    <w:rsid w:val="00DA33BC"/>
    <w:rsid w:val="00DA3AB1"/>
    <w:rsid w:val="00DA5CBF"/>
    <w:rsid w:val="00DB1D72"/>
    <w:rsid w:val="00DB5EF4"/>
    <w:rsid w:val="00DC28D3"/>
    <w:rsid w:val="00DC52A4"/>
    <w:rsid w:val="00DC5990"/>
    <w:rsid w:val="00DC75D0"/>
    <w:rsid w:val="00DD2380"/>
    <w:rsid w:val="00DD3FE9"/>
    <w:rsid w:val="00DD50B0"/>
    <w:rsid w:val="00DD6A29"/>
    <w:rsid w:val="00DD6E0F"/>
    <w:rsid w:val="00DD788D"/>
    <w:rsid w:val="00DD7E22"/>
    <w:rsid w:val="00DE0E12"/>
    <w:rsid w:val="00DE19C6"/>
    <w:rsid w:val="00DE2333"/>
    <w:rsid w:val="00DE79E7"/>
    <w:rsid w:val="00DF2613"/>
    <w:rsid w:val="00DF2632"/>
    <w:rsid w:val="00DF2677"/>
    <w:rsid w:val="00DF44C2"/>
    <w:rsid w:val="00DF5BA8"/>
    <w:rsid w:val="00DF6577"/>
    <w:rsid w:val="00E0229E"/>
    <w:rsid w:val="00E04671"/>
    <w:rsid w:val="00E04ABA"/>
    <w:rsid w:val="00E050F8"/>
    <w:rsid w:val="00E051B6"/>
    <w:rsid w:val="00E06DE9"/>
    <w:rsid w:val="00E14437"/>
    <w:rsid w:val="00E16D63"/>
    <w:rsid w:val="00E22498"/>
    <w:rsid w:val="00E22DE3"/>
    <w:rsid w:val="00E26A38"/>
    <w:rsid w:val="00E31C15"/>
    <w:rsid w:val="00E4289A"/>
    <w:rsid w:val="00E43AEC"/>
    <w:rsid w:val="00E451CB"/>
    <w:rsid w:val="00E476E7"/>
    <w:rsid w:val="00E510BB"/>
    <w:rsid w:val="00E51254"/>
    <w:rsid w:val="00E51561"/>
    <w:rsid w:val="00E54444"/>
    <w:rsid w:val="00E55175"/>
    <w:rsid w:val="00E573FF"/>
    <w:rsid w:val="00E57D1A"/>
    <w:rsid w:val="00E57E11"/>
    <w:rsid w:val="00E628C2"/>
    <w:rsid w:val="00E63E76"/>
    <w:rsid w:val="00E64981"/>
    <w:rsid w:val="00E651CA"/>
    <w:rsid w:val="00E663DC"/>
    <w:rsid w:val="00E71C00"/>
    <w:rsid w:val="00E744EA"/>
    <w:rsid w:val="00E76335"/>
    <w:rsid w:val="00E768B8"/>
    <w:rsid w:val="00E80424"/>
    <w:rsid w:val="00E80495"/>
    <w:rsid w:val="00E80FA0"/>
    <w:rsid w:val="00E81858"/>
    <w:rsid w:val="00E819EB"/>
    <w:rsid w:val="00E824AD"/>
    <w:rsid w:val="00E82B21"/>
    <w:rsid w:val="00E82FDC"/>
    <w:rsid w:val="00E8482E"/>
    <w:rsid w:val="00E87251"/>
    <w:rsid w:val="00E879DF"/>
    <w:rsid w:val="00E90BBE"/>
    <w:rsid w:val="00E91DC2"/>
    <w:rsid w:val="00E924B7"/>
    <w:rsid w:val="00E94293"/>
    <w:rsid w:val="00E95A7B"/>
    <w:rsid w:val="00E975A9"/>
    <w:rsid w:val="00E97BB4"/>
    <w:rsid w:val="00EA066F"/>
    <w:rsid w:val="00EA3900"/>
    <w:rsid w:val="00EA42AD"/>
    <w:rsid w:val="00EA4F9B"/>
    <w:rsid w:val="00EA7D0C"/>
    <w:rsid w:val="00EB04B1"/>
    <w:rsid w:val="00EB3966"/>
    <w:rsid w:val="00EB43A0"/>
    <w:rsid w:val="00EB73EF"/>
    <w:rsid w:val="00EB79B3"/>
    <w:rsid w:val="00EC205B"/>
    <w:rsid w:val="00EC2E8C"/>
    <w:rsid w:val="00EC4B1D"/>
    <w:rsid w:val="00EC552D"/>
    <w:rsid w:val="00EC61E7"/>
    <w:rsid w:val="00EC6F00"/>
    <w:rsid w:val="00EC71D4"/>
    <w:rsid w:val="00EC72F0"/>
    <w:rsid w:val="00EC731F"/>
    <w:rsid w:val="00EC747C"/>
    <w:rsid w:val="00ED082A"/>
    <w:rsid w:val="00ED09C9"/>
    <w:rsid w:val="00ED26D6"/>
    <w:rsid w:val="00ED4BCD"/>
    <w:rsid w:val="00ED4DC6"/>
    <w:rsid w:val="00ED5808"/>
    <w:rsid w:val="00ED5872"/>
    <w:rsid w:val="00ED614A"/>
    <w:rsid w:val="00EE1C5B"/>
    <w:rsid w:val="00EE2679"/>
    <w:rsid w:val="00EE3945"/>
    <w:rsid w:val="00EE631E"/>
    <w:rsid w:val="00EF106A"/>
    <w:rsid w:val="00EF214D"/>
    <w:rsid w:val="00EF3663"/>
    <w:rsid w:val="00EF51FE"/>
    <w:rsid w:val="00EF5BD5"/>
    <w:rsid w:val="00EF6A58"/>
    <w:rsid w:val="00EF6CFE"/>
    <w:rsid w:val="00EF6D75"/>
    <w:rsid w:val="00EF7D1B"/>
    <w:rsid w:val="00F022F8"/>
    <w:rsid w:val="00F03455"/>
    <w:rsid w:val="00F03DB8"/>
    <w:rsid w:val="00F069D7"/>
    <w:rsid w:val="00F07743"/>
    <w:rsid w:val="00F10127"/>
    <w:rsid w:val="00F14099"/>
    <w:rsid w:val="00F14427"/>
    <w:rsid w:val="00F20249"/>
    <w:rsid w:val="00F214C6"/>
    <w:rsid w:val="00F22497"/>
    <w:rsid w:val="00F23716"/>
    <w:rsid w:val="00F241B3"/>
    <w:rsid w:val="00F24EB2"/>
    <w:rsid w:val="00F25592"/>
    <w:rsid w:val="00F311C4"/>
    <w:rsid w:val="00F31A4B"/>
    <w:rsid w:val="00F32B12"/>
    <w:rsid w:val="00F32CB6"/>
    <w:rsid w:val="00F335CB"/>
    <w:rsid w:val="00F337CF"/>
    <w:rsid w:val="00F4242D"/>
    <w:rsid w:val="00F42A9B"/>
    <w:rsid w:val="00F42EBD"/>
    <w:rsid w:val="00F432CF"/>
    <w:rsid w:val="00F44D5E"/>
    <w:rsid w:val="00F47161"/>
    <w:rsid w:val="00F4721F"/>
    <w:rsid w:val="00F50D51"/>
    <w:rsid w:val="00F512D2"/>
    <w:rsid w:val="00F5188B"/>
    <w:rsid w:val="00F539F0"/>
    <w:rsid w:val="00F54481"/>
    <w:rsid w:val="00F608B1"/>
    <w:rsid w:val="00F614E2"/>
    <w:rsid w:val="00F63425"/>
    <w:rsid w:val="00F64AB7"/>
    <w:rsid w:val="00F66B54"/>
    <w:rsid w:val="00F70601"/>
    <w:rsid w:val="00F712AC"/>
    <w:rsid w:val="00F71DD0"/>
    <w:rsid w:val="00F7210C"/>
    <w:rsid w:val="00F74EBA"/>
    <w:rsid w:val="00F754EE"/>
    <w:rsid w:val="00F765CF"/>
    <w:rsid w:val="00F7767B"/>
    <w:rsid w:val="00F839DB"/>
    <w:rsid w:val="00F842F2"/>
    <w:rsid w:val="00F84D81"/>
    <w:rsid w:val="00F85E77"/>
    <w:rsid w:val="00F87C4C"/>
    <w:rsid w:val="00F9095C"/>
    <w:rsid w:val="00F91210"/>
    <w:rsid w:val="00F9382A"/>
    <w:rsid w:val="00F94004"/>
    <w:rsid w:val="00F94EC7"/>
    <w:rsid w:val="00F952DD"/>
    <w:rsid w:val="00FA2F11"/>
    <w:rsid w:val="00FA2FBC"/>
    <w:rsid w:val="00FA40BE"/>
    <w:rsid w:val="00FA4464"/>
    <w:rsid w:val="00FA4C7A"/>
    <w:rsid w:val="00FA6DA5"/>
    <w:rsid w:val="00FB0873"/>
    <w:rsid w:val="00FB3356"/>
    <w:rsid w:val="00FB3ADC"/>
    <w:rsid w:val="00FB5379"/>
    <w:rsid w:val="00FC046F"/>
    <w:rsid w:val="00FC36C9"/>
    <w:rsid w:val="00FC379F"/>
    <w:rsid w:val="00FC6442"/>
    <w:rsid w:val="00FD0FE4"/>
    <w:rsid w:val="00FD2783"/>
    <w:rsid w:val="00FD4072"/>
    <w:rsid w:val="00FD4A5D"/>
    <w:rsid w:val="00FD4F01"/>
    <w:rsid w:val="00FD739C"/>
    <w:rsid w:val="00FE0FE8"/>
    <w:rsid w:val="00FE19FC"/>
    <w:rsid w:val="00FE1AE7"/>
    <w:rsid w:val="00FE1B5D"/>
    <w:rsid w:val="00FE241E"/>
    <w:rsid w:val="00FE2960"/>
    <w:rsid w:val="00FE2A8F"/>
    <w:rsid w:val="00FE4199"/>
    <w:rsid w:val="00FE4BD5"/>
    <w:rsid w:val="00FE6633"/>
    <w:rsid w:val="00FE78F9"/>
    <w:rsid w:val="00FE7E48"/>
    <w:rsid w:val="00FF2D1B"/>
    <w:rsid w:val="00FF346D"/>
    <w:rsid w:val="00FF61B0"/>
    <w:rsid w:val="00FF6BA0"/>
    <w:rsid w:val="00FF6C13"/>
    <w:rsid w:val="00FF7F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8FF3CB"/>
  <w14:defaultImageDpi w14:val="32767"/>
  <w15:docId w15:val="{0AA22A91-4AB6-4808-AFB2-135F9F42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5B"/>
    <w:pPr>
      <w:spacing w:after="120" w:line="312" w:lineRule="auto"/>
    </w:pPr>
    <w:rPr>
      <w:rFonts w:ascii="Times New Roman" w:hAnsi="Times New Roman"/>
      <w:sz w:val="24"/>
    </w:rPr>
  </w:style>
  <w:style w:type="paragraph" w:styleId="Heading1">
    <w:name w:val="heading 1"/>
    <w:basedOn w:val="Normal"/>
    <w:next w:val="Normal"/>
    <w:link w:val="Heading1Char"/>
    <w:uiPriority w:val="9"/>
    <w:qFormat/>
    <w:rsid w:val="000E6952"/>
    <w:pPr>
      <w:keepNext/>
      <w:keepLines/>
      <w:numPr>
        <w:numId w:val="2"/>
      </w:numPr>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6952"/>
    <w:pPr>
      <w:keepNext/>
      <w:keepLines/>
      <w:numPr>
        <w:ilvl w:val="1"/>
        <w:numId w:val="2"/>
      </w:numPr>
      <w:spacing w:before="200" w:after="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CA60C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A60C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A60C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A60C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A60C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A60C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A60C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0CC"/>
    <w:pPr>
      <w:ind w:left="720"/>
      <w:contextualSpacing/>
    </w:pPr>
  </w:style>
  <w:style w:type="character" w:customStyle="1" w:styleId="Heading1Char">
    <w:name w:val="Heading 1 Char"/>
    <w:basedOn w:val="DefaultParagraphFont"/>
    <w:link w:val="Heading1"/>
    <w:uiPriority w:val="9"/>
    <w:rsid w:val="000E6952"/>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E6952"/>
    <w:rPr>
      <w:rFonts w:ascii="Times New Roman" w:eastAsiaTheme="majorEastAsia" w:hAnsi="Times New Roman" w:cstheme="majorBidi"/>
      <w:b/>
      <w:bCs/>
      <w:color w:val="4F81BD" w:themeColor="accent1"/>
      <w:sz w:val="26"/>
      <w:szCs w:val="26"/>
    </w:rPr>
  </w:style>
  <w:style w:type="character" w:customStyle="1" w:styleId="Heading3Char">
    <w:name w:val="Heading 3 Char"/>
    <w:basedOn w:val="DefaultParagraphFont"/>
    <w:link w:val="Heading3"/>
    <w:uiPriority w:val="9"/>
    <w:rsid w:val="00CA60C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A60C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A60C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A60C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A60C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A60C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A60CC"/>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847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680"/>
    <w:rPr>
      <w:rFonts w:ascii="Tahoma" w:hAnsi="Tahoma" w:cs="Tahoma"/>
      <w:sz w:val="16"/>
      <w:szCs w:val="16"/>
    </w:rPr>
  </w:style>
  <w:style w:type="table" w:styleId="TableGrid">
    <w:name w:val="Table Grid"/>
    <w:basedOn w:val="TableNormal"/>
    <w:uiPriority w:val="59"/>
    <w:rsid w:val="00BD5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85E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E77"/>
    <w:rPr>
      <w:rFonts w:ascii="Times New Roman" w:hAnsi="Times New Roman"/>
      <w:sz w:val="20"/>
      <w:szCs w:val="20"/>
    </w:rPr>
  </w:style>
  <w:style w:type="character" w:styleId="EndnoteReference">
    <w:name w:val="endnote reference"/>
    <w:basedOn w:val="DefaultParagraphFont"/>
    <w:uiPriority w:val="99"/>
    <w:semiHidden/>
    <w:unhideWhenUsed/>
    <w:rsid w:val="00F85E77"/>
    <w:rPr>
      <w:vertAlign w:val="superscript"/>
    </w:rPr>
  </w:style>
  <w:style w:type="paragraph" w:styleId="FootnoteText">
    <w:name w:val="footnote text"/>
    <w:basedOn w:val="Normal"/>
    <w:link w:val="FootnoteTextChar"/>
    <w:uiPriority w:val="99"/>
    <w:semiHidden/>
    <w:unhideWhenUsed/>
    <w:rsid w:val="00F85E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5E77"/>
    <w:rPr>
      <w:rFonts w:ascii="Times New Roman" w:hAnsi="Times New Roman"/>
      <w:sz w:val="20"/>
      <w:szCs w:val="20"/>
    </w:rPr>
  </w:style>
  <w:style w:type="character" w:styleId="FootnoteReference">
    <w:name w:val="footnote reference"/>
    <w:basedOn w:val="DefaultParagraphFont"/>
    <w:uiPriority w:val="99"/>
    <w:semiHidden/>
    <w:unhideWhenUsed/>
    <w:rsid w:val="00F85E77"/>
    <w:rPr>
      <w:vertAlign w:val="superscript"/>
    </w:rPr>
  </w:style>
  <w:style w:type="paragraph" w:styleId="Bibliography">
    <w:name w:val="Bibliography"/>
    <w:basedOn w:val="Normal"/>
    <w:next w:val="Normal"/>
    <w:uiPriority w:val="37"/>
    <w:unhideWhenUsed/>
    <w:rsid w:val="009E7C76"/>
  </w:style>
  <w:style w:type="character" w:styleId="Hyperlink">
    <w:name w:val="Hyperlink"/>
    <w:basedOn w:val="DefaultParagraphFont"/>
    <w:uiPriority w:val="99"/>
    <w:unhideWhenUsed/>
    <w:rsid w:val="008415AB"/>
    <w:rPr>
      <w:color w:val="0000FF" w:themeColor="hyperlink"/>
      <w:u w:val="single"/>
    </w:rPr>
  </w:style>
  <w:style w:type="character" w:styleId="FollowedHyperlink">
    <w:name w:val="FollowedHyperlink"/>
    <w:basedOn w:val="DefaultParagraphFont"/>
    <w:uiPriority w:val="99"/>
    <w:semiHidden/>
    <w:unhideWhenUsed/>
    <w:rsid w:val="008415AB"/>
    <w:rPr>
      <w:color w:val="800080" w:themeColor="followedHyperlink"/>
      <w:u w:val="single"/>
    </w:rPr>
  </w:style>
  <w:style w:type="paragraph" w:styleId="Title">
    <w:name w:val="Title"/>
    <w:basedOn w:val="Normal"/>
    <w:next w:val="Normal"/>
    <w:link w:val="TitleChar"/>
    <w:uiPriority w:val="10"/>
    <w:qFormat/>
    <w:rsid w:val="007D50A8"/>
    <w:pPr>
      <w:pBdr>
        <w:bottom w:val="single" w:sz="8" w:space="4" w:color="4F81BD" w:themeColor="accent1"/>
      </w:pBdr>
      <w:spacing w:after="300" w:line="240" w:lineRule="auto"/>
      <w:contextualSpacing/>
      <w:jc w:val="center"/>
    </w:pPr>
    <w:rPr>
      <w:rFonts w:eastAsiaTheme="majorEastAsia"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7D50A8"/>
    <w:rPr>
      <w:rFonts w:ascii="Times New Roman" w:eastAsiaTheme="majorEastAsia" w:hAnsi="Times New Roman" w:cstheme="majorBidi"/>
      <w:color w:val="17365D" w:themeColor="text2" w:themeShade="BF"/>
      <w:spacing w:val="5"/>
      <w:kern w:val="28"/>
      <w:sz w:val="32"/>
      <w:szCs w:val="52"/>
    </w:rPr>
  </w:style>
  <w:style w:type="paragraph" w:styleId="Header">
    <w:name w:val="header"/>
    <w:basedOn w:val="Normal"/>
    <w:link w:val="HeaderChar"/>
    <w:uiPriority w:val="99"/>
    <w:unhideWhenUsed/>
    <w:rsid w:val="007F1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831"/>
    <w:rPr>
      <w:rFonts w:ascii="Times New Roman" w:hAnsi="Times New Roman"/>
      <w:sz w:val="24"/>
    </w:rPr>
  </w:style>
  <w:style w:type="paragraph" w:styleId="Footer">
    <w:name w:val="footer"/>
    <w:basedOn w:val="Normal"/>
    <w:link w:val="FooterChar"/>
    <w:uiPriority w:val="99"/>
    <w:unhideWhenUsed/>
    <w:rsid w:val="007F1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831"/>
    <w:rPr>
      <w:rFonts w:ascii="Times New Roman" w:hAnsi="Times New Roman"/>
      <w:sz w:val="24"/>
    </w:rPr>
  </w:style>
  <w:style w:type="paragraph" w:styleId="Caption">
    <w:name w:val="caption"/>
    <w:basedOn w:val="Normal"/>
    <w:next w:val="Normal"/>
    <w:uiPriority w:val="35"/>
    <w:unhideWhenUsed/>
    <w:qFormat/>
    <w:rsid w:val="00D37A23"/>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2041DA"/>
    <w:pPr>
      <w:spacing w:after="0"/>
    </w:pPr>
  </w:style>
  <w:style w:type="paragraph" w:styleId="DocumentMap">
    <w:name w:val="Document Map"/>
    <w:basedOn w:val="Normal"/>
    <w:link w:val="DocumentMapChar"/>
    <w:uiPriority w:val="99"/>
    <w:semiHidden/>
    <w:unhideWhenUsed/>
    <w:rsid w:val="005D1F8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D1F86"/>
    <w:rPr>
      <w:rFonts w:ascii="Tahoma" w:hAnsi="Tahoma" w:cs="Tahoma"/>
      <w:sz w:val="16"/>
      <w:szCs w:val="16"/>
    </w:rPr>
  </w:style>
  <w:style w:type="character" w:styleId="LineNumber">
    <w:name w:val="line number"/>
    <w:basedOn w:val="DefaultParagraphFont"/>
    <w:uiPriority w:val="99"/>
    <w:semiHidden/>
    <w:unhideWhenUsed/>
    <w:rsid w:val="00EB04B1"/>
  </w:style>
  <w:style w:type="paragraph" w:styleId="Revision">
    <w:name w:val="Revision"/>
    <w:hidden/>
    <w:uiPriority w:val="99"/>
    <w:semiHidden/>
    <w:rsid w:val="00AB076E"/>
    <w:pPr>
      <w:spacing w:after="0" w:line="240" w:lineRule="auto"/>
    </w:pPr>
    <w:rPr>
      <w:rFonts w:ascii="Times New Roman" w:hAnsi="Times New Roman"/>
      <w:sz w:val="24"/>
    </w:rPr>
  </w:style>
  <w:style w:type="paragraph" w:customStyle="1" w:styleId="Methods">
    <w:name w:val="Methods"/>
    <w:basedOn w:val="Normal"/>
    <w:link w:val="MethodsChar"/>
    <w:qFormat/>
    <w:rsid w:val="002D3F0B"/>
    <w:pPr>
      <w:spacing w:line="360" w:lineRule="auto"/>
      <w:jc w:val="both"/>
    </w:pPr>
  </w:style>
  <w:style w:type="character" w:customStyle="1" w:styleId="MethodsChar">
    <w:name w:val="Methods Char"/>
    <w:basedOn w:val="DefaultParagraphFont"/>
    <w:link w:val="Methods"/>
    <w:rsid w:val="002D3F0B"/>
    <w:rPr>
      <w:rFonts w:ascii="Times New Roman" w:hAnsi="Times New Roman"/>
      <w:sz w:val="24"/>
    </w:rPr>
  </w:style>
  <w:style w:type="character" w:styleId="UnresolvedMention">
    <w:name w:val="Unresolved Mention"/>
    <w:basedOn w:val="DefaultParagraphFont"/>
    <w:uiPriority w:val="99"/>
    <w:semiHidden/>
    <w:unhideWhenUsed/>
    <w:rsid w:val="00361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500">
      <w:bodyDiv w:val="1"/>
      <w:marLeft w:val="0"/>
      <w:marRight w:val="0"/>
      <w:marTop w:val="0"/>
      <w:marBottom w:val="0"/>
      <w:divBdr>
        <w:top w:val="none" w:sz="0" w:space="0" w:color="auto"/>
        <w:left w:val="none" w:sz="0" w:space="0" w:color="auto"/>
        <w:bottom w:val="none" w:sz="0" w:space="0" w:color="auto"/>
        <w:right w:val="none" w:sz="0" w:space="0" w:color="auto"/>
      </w:divBdr>
    </w:div>
    <w:div w:id="83183852">
      <w:bodyDiv w:val="1"/>
      <w:marLeft w:val="0"/>
      <w:marRight w:val="0"/>
      <w:marTop w:val="0"/>
      <w:marBottom w:val="0"/>
      <w:divBdr>
        <w:top w:val="none" w:sz="0" w:space="0" w:color="auto"/>
        <w:left w:val="none" w:sz="0" w:space="0" w:color="auto"/>
        <w:bottom w:val="none" w:sz="0" w:space="0" w:color="auto"/>
        <w:right w:val="none" w:sz="0" w:space="0" w:color="auto"/>
      </w:divBdr>
    </w:div>
    <w:div w:id="94445169">
      <w:bodyDiv w:val="1"/>
      <w:marLeft w:val="0"/>
      <w:marRight w:val="0"/>
      <w:marTop w:val="0"/>
      <w:marBottom w:val="0"/>
      <w:divBdr>
        <w:top w:val="none" w:sz="0" w:space="0" w:color="auto"/>
        <w:left w:val="none" w:sz="0" w:space="0" w:color="auto"/>
        <w:bottom w:val="none" w:sz="0" w:space="0" w:color="auto"/>
        <w:right w:val="none" w:sz="0" w:space="0" w:color="auto"/>
      </w:divBdr>
    </w:div>
    <w:div w:id="166478345">
      <w:bodyDiv w:val="1"/>
      <w:marLeft w:val="0"/>
      <w:marRight w:val="0"/>
      <w:marTop w:val="0"/>
      <w:marBottom w:val="0"/>
      <w:divBdr>
        <w:top w:val="none" w:sz="0" w:space="0" w:color="auto"/>
        <w:left w:val="none" w:sz="0" w:space="0" w:color="auto"/>
        <w:bottom w:val="none" w:sz="0" w:space="0" w:color="auto"/>
        <w:right w:val="none" w:sz="0" w:space="0" w:color="auto"/>
      </w:divBdr>
    </w:div>
    <w:div w:id="595943039">
      <w:bodyDiv w:val="1"/>
      <w:marLeft w:val="0"/>
      <w:marRight w:val="0"/>
      <w:marTop w:val="0"/>
      <w:marBottom w:val="0"/>
      <w:divBdr>
        <w:top w:val="none" w:sz="0" w:space="0" w:color="auto"/>
        <w:left w:val="none" w:sz="0" w:space="0" w:color="auto"/>
        <w:bottom w:val="none" w:sz="0" w:space="0" w:color="auto"/>
        <w:right w:val="none" w:sz="0" w:space="0" w:color="auto"/>
      </w:divBdr>
    </w:div>
    <w:div w:id="647899261">
      <w:bodyDiv w:val="1"/>
      <w:marLeft w:val="0"/>
      <w:marRight w:val="0"/>
      <w:marTop w:val="0"/>
      <w:marBottom w:val="0"/>
      <w:divBdr>
        <w:top w:val="none" w:sz="0" w:space="0" w:color="auto"/>
        <w:left w:val="none" w:sz="0" w:space="0" w:color="auto"/>
        <w:bottom w:val="none" w:sz="0" w:space="0" w:color="auto"/>
        <w:right w:val="none" w:sz="0" w:space="0" w:color="auto"/>
      </w:divBdr>
    </w:div>
    <w:div w:id="658190183">
      <w:bodyDiv w:val="1"/>
      <w:marLeft w:val="0"/>
      <w:marRight w:val="0"/>
      <w:marTop w:val="0"/>
      <w:marBottom w:val="0"/>
      <w:divBdr>
        <w:top w:val="none" w:sz="0" w:space="0" w:color="auto"/>
        <w:left w:val="none" w:sz="0" w:space="0" w:color="auto"/>
        <w:bottom w:val="none" w:sz="0" w:space="0" w:color="auto"/>
        <w:right w:val="none" w:sz="0" w:space="0" w:color="auto"/>
      </w:divBdr>
    </w:div>
    <w:div w:id="661931253">
      <w:bodyDiv w:val="1"/>
      <w:marLeft w:val="0"/>
      <w:marRight w:val="0"/>
      <w:marTop w:val="0"/>
      <w:marBottom w:val="0"/>
      <w:divBdr>
        <w:top w:val="none" w:sz="0" w:space="0" w:color="auto"/>
        <w:left w:val="none" w:sz="0" w:space="0" w:color="auto"/>
        <w:bottom w:val="none" w:sz="0" w:space="0" w:color="auto"/>
        <w:right w:val="none" w:sz="0" w:space="0" w:color="auto"/>
      </w:divBdr>
    </w:div>
    <w:div w:id="707922970">
      <w:bodyDiv w:val="1"/>
      <w:marLeft w:val="0"/>
      <w:marRight w:val="0"/>
      <w:marTop w:val="0"/>
      <w:marBottom w:val="0"/>
      <w:divBdr>
        <w:top w:val="none" w:sz="0" w:space="0" w:color="auto"/>
        <w:left w:val="none" w:sz="0" w:space="0" w:color="auto"/>
        <w:bottom w:val="none" w:sz="0" w:space="0" w:color="auto"/>
        <w:right w:val="none" w:sz="0" w:space="0" w:color="auto"/>
      </w:divBdr>
    </w:div>
    <w:div w:id="838932365">
      <w:bodyDiv w:val="1"/>
      <w:marLeft w:val="0"/>
      <w:marRight w:val="0"/>
      <w:marTop w:val="0"/>
      <w:marBottom w:val="0"/>
      <w:divBdr>
        <w:top w:val="none" w:sz="0" w:space="0" w:color="auto"/>
        <w:left w:val="none" w:sz="0" w:space="0" w:color="auto"/>
        <w:bottom w:val="none" w:sz="0" w:space="0" w:color="auto"/>
        <w:right w:val="none" w:sz="0" w:space="0" w:color="auto"/>
      </w:divBdr>
    </w:div>
    <w:div w:id="908268778">
      <w:bodyDiv w:val="1"/>
      <w:marLeft w:val="0"/>
      <w:marRight w:val="0"/>
      <w:marTop w:val="0"/>
      <w:marBottom w:val="0"/>
      <w:divBdr>
        <w:top w:val="none" w:sz="0" w:space="0" w:color="auto"/>
        <w:left w:val="none" w:sz="0" w:space="0" w:color="auto"/>
        <w:bottom w:val="none" w:sz="0" w:space="0" w:color="auto"/>
        <w:right w:val="none" w:sz="0" w:space="0" w:color="auto"/>
      </w:divBdr>
    </w:div>
    <w:div w:id="1052651735">
      <w:bodyDiv w:val="1"/>
      <w:marLeft w:val="0"/>
      <w:marRight w:val="0"/>
      <w:marTop w:val="0"/>
      <w:marBottom w:val="0"/>
      <w:divBdr>
        <w:top w:val="none" w:sz="0" w:space="0" w:color="auto"/>
        <w:left w:val="none" w:sz="0" w:space="0" w:color="auto"/>
        <w:bottom w:val="none" w:sz="0" w:space="0" w:color="auto"/>
        <w:right w:val="none" w:sz="0" w:space="0" w:color="auto"/>
      </w:divBdr>
    </w:div>
    <w:div w:id="1384406533">
      <w:bodyDiv w:val="1"/>
      <w:marLeft w:val="0"/>
      <w:marRight w:val="0"/>
      <w:marTop w:val="0"/>
      <w:marBottom w:val="0"/>
      <w:divBdr>
        <w:top w:val="none" w:sz="0" w:space="0" w:color="auto"/>
        <w:left w:val="none" w:sz="0" w:space="0" w:color="auto"/>
        <w:bottom w:val="none" w:sz="0" w:space="0" w:color="auto"/>
        <w:right w:val="none" w:sz="0" w:space="0" w:color="auto"/>
      </w:divBdr>
    </w:div>
    <w:div w:id="1409036000">
      <w:bodyDiv w:val="1"/>
      <w:marLeft w:val="0"/>
      <w:marRight w:val="0"/>
      <w:marTop w:val="0"/>
      <w:marBottom w:val="0"/>
      <w:divBdr>
        <w:top w:val="none" w:sz="0" w:space="0" w:color="auto"/>
        <w:left w:val="none" w:sz="0" w:space="0" w:color="auto"/>
        <w:bottom w:val="none" w:sz="0" w:space="0" w:color="auto"/>
        <w:right w:val="none" w:sz="0" w:space="0" w:color="auto"/>
      </w:divBdr>
    </w:div>
    <w:div w:id="1664813087">
      <w:bodyDiv w:val="1"/>
      <w:marLeft w:val="0"/>
      <w:marRight w:val="0"/>
      <w:marTop w:val="0"/>
      <w:marBottom w:val="0"/>
      <w:divBdr>
        <w:top w:val="none" w:sz="0" w:space="0" w:color="auto"/>
        <w:left w:val="none" w:sz="0" w:space="0" w:color="auto"/>
        <w:bottom w:val="none" w:sz="0" w:space="0" w:color="auto"/>
        <w:right w:val="none" w:sz="0" w:space="0" w:color="auto"/>
      </w:divBdr>
    </w:div>
    <w:div w:id="1686787320">
      <w:bodyDiv w:val="1"/>
      <w:marLeft w:val="0"/>
      <w:marRight w:val="0"/>
      <w:marTop w:val="0"/>
      <w:marBottom w:val="0"/>
      <w:divBdr>
        <w:top w:val="none" w:sz="0" w:space="0" w:color="auto"/>
        <w:left w:val="none" w:sz="0" w:space="0" w:color="auto"/>
        <w:bottom w:val="none" w:sz="0" w:space="0" w:color="auto"/>
        <w:right w:val="none" w:sz="0" w:space="0" w:color="auto"/>
      </w:divBdr>
    </w:div>
    <w:div w:id="1859469558">
      <w:bodyDiv w:val="1"/>
      <w:marLeft w:val="0"/>
      <w:marRight w:val="0"/>
      <w:marTop w:val="0"/>
      <w:marBottom w:val="0"/>
      <w:divBdr>
        <w:top w:val="none" w:sz="0" w:space="0" w:color="auto"/>
        <w:left w:val="none" w:sz="0" w:space="0" w:color="auto"/>
        <w:bottom w:val="none" w:sz="0" w:space="0" w:color="auto"/>
        <w:right w:val="none" w:sz="0" w:space="0" w:color="auto"/>
      </w:divBdr>
    </w:div>
    <w:div w:id="1936401234">
      <w:bodyDiv w:val="1"/>
      <w:marLeft w:val="0"/>
      <w:marRight w:val="0"/>
      <w:marTop w:val="0"/>
      <w:marBottom w:val="0"/>
      <w:divBdr>
        <w:top w:val="none" w:sz="0" w:space="0" w:color="auto"/>
        <w:left w:val="none" w:sz="0" w:space="0" w:color="auto"/>
        <w:bottom w:val="none" w:sz="0" w:space="0" w:color="auto"/>
        <w:right w:val="none" w:sz="0" w:space="0" w:color="auto"/>
      </w:divBdr>
      <w:divsChild>
        <w:div w:id="1962417302">
          <w:marLeft w:val="0"/>
          <w:marRight w:val="0"/>
          <w:marTop w:val="0"/>
          <w:marBottom w:val="0"/>
          <w:divBdr>
            <w:top w:val="none" w:sz="0" w:space="0" w:color="auto"/>
            <w:left w:val="none" w:sz="0" w:space="0" w:color="auto"/>
            <w:bottom w:val="none" w:sz="0" w:space="0" w:color="auto"/>
            <w:right w:val="none" w:sz="0" w:space="0" w:color="auto"/>
          </w:divBdr>
        </w:div>
        <w:div w:id="1088229821">
          <w:marLeft w:val="0"/>
          <w:marRight w:val="0"/>
          <w:marTop w:val="0"/>
          <w:marBottom w:val="0"/>
          <w:divBdr>
            <w:top w:val="none" w:sz="0" w:space="0" w:color="auto"/>
            <w:left w:val="none" w:sz="0" w:space="0" w:color="auto"/>
            <w:bottom w:val="none" w:sz="0" w:space="0" w:color="auto"/>
            <w:right w:val="none" w:sz="0" w:space="0" w:color="auto"/>
          </w:divBdr>
        </w:div>
        <w:div w:id="183131552">
          <w:marLeft w:val="0"/>
          <w:marRight w:val="0"/>
          <w:marTop w:val="0"/>
          <w:marBottom w:val="0"/>
          <w:divBdr>
            <w:top w:val="none" w:sz="0" w:space="0" w:color="auto"/>
            <w:left w:val="none" w:sz="0" w:space="0" w:color="auto"/>
            <w:bottom w:val="none" w:sz="0" w:space="0" w:color="auto"/>
            <w:right w:val="none" w:sz="0" w:space="0" w:color="auto"/>
          </w:divBdr>
        </w:div>
        <w:div w:id="1797212193">
          <w:marLeft w:val="0"/>
          <w:marRight w:val="0"/>
          <w:marTop w:val="0"/>
          <w:marBottom w:val="0"/>
          <w:divBdr>
            <w:top w:val="none" w:sz="0" w:space="0" w:color="auto"/>
            <w:left w:val="none" w:sz="0" w:space="0" w:color="auto"/>
            <w:bottom w:val="none" w:sz="0" w:space="0" w:color="auto"/>
            <w:right w:val="none" w:sz="0" w:space="0" w:color="auto"/>
          </w:divBdr>
        </w:div>
        <w:div w:id="939996770">
          <w:marLeft w:val="0"/>
          <w:marRight w:val="0"/>
          <w:marTop w:val="0"/>
          <w:marBottom w:val="0"/>
          <w:divBdr>
            <w:top w:val="none" w:sz="0" w:space="0" w:color="auto"/>
            <w:left w:val="none" w:sz="0" w:space="0" w:color="auto"/>
            <w:bottom w:val="none" w:sz="0" w:space="0" w:color="auto"/>
            <w:right w:val="none" w:sz="0" w:space="0" w:color="auto"/>
          </w:divBdr>
        </w:div>
        <w:div w:id="1602251967">
          <w:marLeft w:val="0"/>
          <w:marRight w:val="0"/>
          <w:marTop w:val="0"/>
          <w:marBottom w:val="0"/>
          <w:divBdr>
            <w:top w:val="none" w:sz="0" w:space="0" w:color="auto"/>
            <w:left w:val="none" w:sz="0" w:space="0" w:color="auto"/>
            <w:bottom w:val="none" w:sz="0" w:space="0" w:color="auto"/>
            <w:right w:val="none" w:sz="0" w:space="0" w:color="auto"/>
          </w:divBdr>
        </w:div>
      </w:divsChild>
    </w:div>
    <w:div w:id="204185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vinhthanh.lv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mailto:dhbae@sejong.ac.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Bar88</b:Tag>
    <b:SourceType>JournalArticle</b:SourceType>
    <b:Guid>{47A134B5-CA61-4705-9F4B-80AEDFB29C8D}</b:Guid>
    <b:Author>
      <b:Author>
        <b:NameList>
          <b:Person>
            <b:Last>Barnett</b:Last>
            <b:First>T.</b:First>
          </b:Person>
          <b:Person>
            <b:Last>Graham</b:Last>
            <b:First>N.</b:First>
          </b:Person>
          <b:Person>
            <b:Last>Cane</b:Last>
            <b:First>M.</b:First>
          </b:Person>
          <b:Person>
            <b:Last>Zebiak</b:Last>
            <b:First>S.</b:First>
          </b:Person>
          <b:Person>
            <b:Last>Dolan</b:Last>
            <b:First>S.</b:First>
          </b:Person>
          <b:Person>
            <b:Last>O'Brien</b:Last>
            <b:First>J.</b:First>
          </b:Person>
          <b:Person>
            <b:Last>Legler</b:Last>
            <b:First>D.</b:First>
          </b:Person>
        </b:NameList>
      </b:Author>
    </b:Author>
    <b:Title>On the prediction of the El Niño of 1986-1987</b:Title>
    <b:JournalName>Science</b:JournalName>
    <b:Year>1988</b:Year>
    <b:Pages>192-196</b:Pages>
    <b:Volume>241</b:Volume>
    <b:RefOrder>1</b:RefOrder>
  </b:Source>
  <b:Source>
    <b:Tag>Wan01</b:Tag>
    <b:SourceType>JournalArticle</b:SourceType>
    <b:Guid>{B1112168-96B2-4037-B16D-2BB4F1BCDA2A}</b:Guid>
    <b:Author>
      <b:Author>
        <b:NameList>
          <b:Person>
            <b:Last>Wanner</b:Last>
            <b:First>H.</b:First>
          </b:Person>
          <b:Person>
            <b:Last>Brönnimann</b:Last>
            <b:First>S.</b:First>
          </b:Person>
          <b:Person>
            <b:Last>Casty</b:Last>
            <b:First>C.</b:First>
          </b:Person>
          <b:Person>
            <b:Last>Gyalistras</b:Last>
            <b:First>D.</b:First>
          </b:Person>
          <b:Person>
            <b:Last>Luterbacher</b:Last>
            <b:First>J.</b:First>
          </b:Person>
          <b:Person>
            <b:Last>Schmutz</b:Last>
            <b:First>C.</b:First>
          </b:Person>
          <b:Person>
            <b:Last>Stephenson</b:Last>
            <b:First>D.</b:First>
          </b:Person>
          <b:Person>
            <b:Last>Xoplaki</b:Last>
            <b:First>E.</b:First>
          </b:Person>
        </b:NameList>
      </b:Author>
    </b:Author>
    <b:Title>North Atlantic Oscillation - concept and studies</b:Title>
    <b:JournalName>Surv. Geophys.</b:JournalName>
    <b:Year>2001</b:Year>
    <b:Pages>321-381</b:Pages>
    <b:Volume>22</b:Volume>
    <b:RefOrder>2</b:RefOrder>
  </b:Source>
  <b:Source>
    <b:Tag>Wal81</b:Tag>
    <b:SourceType>JournalArticle</b:SourceType>
    <b:Guid>{7116E29D-F66C-4D3B-8F92-B6859E577418}</b:Guid>
    <b:Author>
      <b:Author>
        <b:NameList>
          <b:Person>
            <b:Last>Wallace</b:Last>
            <b:First>J.</b:First>
            <b:Middle>M.</b:Middle>
          </b:Person>
          <b:Person>
            <b:Last>Gutzler</b:Last>
            <b:First>D.</b:First>
            <b:Middle>S.</b:Middle>
          </b:Person>
        </b:NameList>
      </b:Author>
    </b:Author>
    <b:Title>Teleconnections in the geopotential height field during the Northern Hemisphere winter</b:Title>
    <b:JournalName>Mon. Wea. Rev.</b:JournalName>
    <b:Year>1981</b:Year>
    <b:Pages>784-812</b:Pages>
    <b:Volume>109</b:Volume>
    <b:RefOrder>3</b:RefOrder>
  </b:Source>
  <b:Source>
    <b:Tag>KET98</b:Tag>
    <b:SourceType>JournalArticle</b:SourceType>
    <b:Guid>{E0993D81-627D-491B-8889-CE8063C5665F}</b:Guid>
    <b:Author>
      <b:Author>
        <b:NameList>
          <b:Person>
            <b:Last>Trenberth</b:Last>
            <b:First>K.</b:First>
            <b:Middle>E.</b:Middle>
          </b:Person>
          <b:Person>
            <b:Last>Branstator</b:Last>
            <b:First>G.</b:First>
            <b:Middle>W.</b:Middle>
          </b:Person>
          <b:Person>
            <b:Last>Karoly</b:Last>
            <b:First>D.</b:First>
          </b:Person>
          <b:Person>
            <b:Last>Kumar</b:Last>
            <b:First>A.</b:First>
          </b:Person>
          <b:Person>
            <b:Last>Lau</b:Last>
            <b:First>N.-C.</b:First>
          </b:Person>
          <b:Person>
            <b:Last>Ropelewski</b:Last>
            <b:First>C.</b:First>
          </b:Person>
        </b:NameList>
      </b:Author>
    </b:Author>
    <b:Title>Progress during TOGA in understanding and modeling global teleconnections associated with tropical sea surface temperature</b:Title>
    <b:JournalName>J. Geophys. Res.</b:JournalName>
    <b:Year>1998</b:Year>
    <b:Pages>14291-14324</b:Pages>
    <b:Volume>103</b:Volume>
    <b:RefOrder>4</b:RefOrder>
  </b:Source>
  <b:Source>
    <b:Tag>Hor81</b:Tag>
    <b:SourceType>JournalArticle</b:SourceType>
    <b:Guid>{C2F669AC-A036-4FCE-9411-22FF0435E594}</b:Guid>
    <b:Author>
      <b:Author>
        <b:NameList>
          <b:Person>
            <b:Last>Horel</b:Last>
            <b:First>J.</b:First>
            <b:Middle>D.</b:Middle>
          </b:Person>
          <b:Person>
            <b:Last>Wallace</b:Last>
            <b:First>J.</b:First>
            <b:Middle>M.</b:Middle>
          </b:Person>
        </b:NameList>
      </b:Author>
    </b:Author>
    <b:Title>Planetary-scale atmospheric phenomena associated with the Southern Oscillation</b:Title>
    <b:Year>1981</b:Year>
    <b:JournalName>Mon. Wea. Rev.</b:JournalName>
    <b:Pages>813-829</b:Pages>
    <b:Volume>109</b:Volume>
    <b:RefOrder>5</b:RefOrder>
  </b:Source>
  <b:Source>
    <b:Tag>JWH03</b:Tag>
    <b:SourceType>Book</b:SourceType>
    <b:Guid>{FD00B977-B77A-431B-BBDD-787B31B25243}</b:Guid>
    <b:Title>The North Atlantic Oscillation: Climate Significance and Environmental Impact</b:Title>
    <b:Year>2003</b:Year>
    <b:Pages>1-35</b:Pages>
    <b:BookTitle>The North Atlantic Oscillation: Climate Significance and Environmental Impact</b:BookTitle>
    <b:Author>
      <b:Author>
        <b:NameList>
          <b:Person>
            <b:Last>Hurrel</b:Last>
            <b:First>J.</b:First>
            <b:Middle>W.</b:Middle>
          </b:Person>
          <b:Person>
            <b:Last>Kushnir</b:Last>
            <b:First>Y.</b:First>
          </b:Person>
          <b:Person>
            <b:Last>Ottersen</b:Last>
            <b:First>G.</b:First>
          </b:Person>
          <b:Person>
            <b:Last>Visbeck</b:Last>
            <b:First>M.</b:First>
          </b:Person>
        </b:NameList>
      </b:Author>
      <b:BookAuthor>
        <b:NameList>
          <b:Person>
            <b:Last>J.W.</b:Last>
            <b:First>Hurrel</b:First>
          </b:Person>
          <b:Person>
            <b:Last>Y.</b:Last>
            <b:First>Kushnir</b:First>
          </b:Person>
          <b:Person>
            <b:Last>G.</b:Last>
            <b:First>Ottersen</b:First>
          </b:Person>
          <b:Person>
            <b:Last>M.</b:Last>
            <b:First>Visbeck</b:First>
          </b:Person>
        </b:NameList>
      </b:BookAuthor>
    </b:Author>
    <b:Publisher>American Geophysical Union</b:Publisher>
    <b:Volume>134</b:Volume>
    <b:Edition>Geophysical Monograph Series</b:Edition>
    <b:RefOrder>6</b:RefOrder>
  </b:Source>
  <b:Source>
    <b:Tag>Bai12</b:Tag>
    <b:SourceType>JournalArticle</b:SourceType>
    <b:Guid>{F9AA6D9F-6639-400E-B4F8-D2272E78D6EB}</b:Guid>
    <b:Author>
      <b:Author>
        <b:NameList>
          <b:Person>
            <b:Last>Bai</b:Last>
            <b:First>X.</b:First>
          </b:Person>
          <b:Person>
            <b:Last>Wang</b:Last>
            <b:First>J.</b:First>
          </b:Person>
          <b:Person>
            <b:Last>Sellinger</b:Last>
            <b:First>C.</b:First>
          </b:Person>
          <b:Person>
            <b:Last>Clites</b:Last>
            <b:First>A.</b:First>
          </b:Person>
          <b:Person>
            <b:Last>Assel</b:Last>
            <b:First>R.</b:First>
          </b:Person>
        </b:NameList>
      </b:Author>
    </b:Author>
    <b:Title>Interannual variablity of Great Lakes ice cover and its relationship to NAO and ENSO</b:Title>
    <b:JournalName>J. Geophys. Res.</b:JournalName>
    <b:Year>2012</b:Year>
    <b:Pages>C03002</b:Pages>
    <b:Volume>117</b:Volume>
    <b:RefOrder>7</b:RefOrder>
  </b:Source>
  <b:Source>
    <b:Tag>Don10</b:Tag>
    <b:SourceType>JournalArticle</b:SourceType>
    <b:Guid>{7540A083-E53D-462F-B99D-5CFB2507887E}</b:Guid>
    <b:Author>
      <b:Author>
        <b:NameList>
          <b:Person>
            <b:Last>Donat</b:Last>
            <b:First>M.</b:First>
            <b:Middle>G.</b:Middle>
          </b:Person>
          <b:Person>
            <b:Last>Leckebusch</b:Last>
            <b:First>G.</b:First>
            <b:Middle>C.</b:Middle>
          </b:Person>
          <b:Person>
            <b:Last>Pinto</b:Last>
            <b:First>J.</b:First>
            <b:Middle>G.</b:Middle>
          </b:Person>
          <b:Person>
            <b:Last>Ulbrich</b:Last>
            <b:First>U.</b:First>
          </b:Person>
        </b:NameList>
      </b:Author>
    </b:Author>
    <b:Title>Examination of wind storms over Central Europe with respect to circulation weather types and NAO phases</b:Title>
    <b:JournalName>Int. J. Climatol.</b:JournalName>
    <b:Year>2010</b:Year>
    <b:Pages>1289-1300</b:Pages>
    <b:Volume>30</b:Volume>
    <b:RefOrder>8</b:RefOrder>
  </b:Source>
  <b:Source>
    <b:Tag>Ger11</b:Tag>
    <b:SourceType>JournalArticle</b:SourceType>
    <b:Guid>{FB62E42E-CDA3-4C77-8485-CFCE01A84F32}</b:Guid>
    <b:Author>
      <b:Author>
        <b:NameList>
          <b:Person>
            <b:Last>Germe</b:Last>
            <b:First>A.</b:First>
          </b:Person>
          <b:Person>
            <b:Last>Houssais</b:Last>
            <b:First>M.-N.</b:First>
          </b:Person>
          <b:Person>
            <b:Last>Herbaut</b:Last>
            <b:First>C.</b:First>
          </b:Person>
          <b:Person>
            <b:Last>Cassou</b:Last>
            <b:First>C.</b:First>
          </b:Person>
        </b:NameList>
      </b:Author>
    </b:Author>
    <b:Title>Greenland Sea sea ice variability over 1979-2007 and its link to the surface atmosphere</b:Title>
    <b:JournalName>J. Gephys. Res.</b:JournalName>
    <b:Year>2011</b:Year>
    <b:Pages>C10034</b:Pages>
    <b:Volume>116</b:Volume>
    <b:RefOrder>9</b:RefOrder>
  </b:Source>
  <b:Source>
    <b:Tag>JSj11</b:Tag>
    <b:SourceType>JournalArticle</b:SourceType>
    <b:Guid>{B68F5D17-6ABE-4AAD-95C9-9ED0CCC7D35E}</b:Guid>
    <b:Author>
      <b:Author>
        <b:NameList>
          <b:Person>
            <b:Last>Sjolte</b:Last>
            <b:First>J.</b:First>
          </b:Person>
          <b:Person>
            <b:Last>Hoffmann</b:Last>
            <b:First>G.</b:First>
          </b:Person>
          <b:Person>
            <b:Last>Johnsen</b:Last>
            <b:First>S.</b:First>
            <b:Middle>J.</b:Middle>
          </b:Person>
          <b:Person>
            <b:Last>Vinther</b:Last>
            <b:First>B.</b:First>
            <b:Middle>M.</b:Middle>
          </b:Person>
          <b:Person>
            <b:Last>Masson-Delmotte</b:Last>
            <b:First>V.</b:First>
          </b:Person>
          <b:Person>
            <b:Last>Sturm</b:Last>
            <b:First>C.</b:First>
          </b:Person>
        </b:NameList>
      </b:Author>
    </b:Author>
    <b:Title>Modeling the water isotopes in Greenland precipitation 1959-2001 with the meso-scale model REMO-iso</b:Title>
    <b:JournalName>J. Geophys. Res.</b:JournalName>
    <b:Year>2011</b:Year>
    <b:Pages>D18105</b:Pages>
    <b:RefOrder>10</b:RefOrder>
  </b:Source>
  <b:Source>
    <b:Tag>Cha12</b:Tag>
    <b:SourceType>JournalArticle</b:SourceType>
    <b:Guid>{C2DAF242-B7A1-40B7-A921-8B6489BF6430}</b:Guid>
    <b:Author>
      <b:Author>
        <b:NameList>
          <b:Person>
            <b:Last>Chand</b:Last>
            <b:First>S.</b:First>
            <b:Middle>S.</b:Middle>
          </b:Person>
          <b:Person>
            <b:Last>McBride</b:Last>
            <b:First>J.</b:First>
            <b:Middle>L.</b:Middle>
          </b:Person>
          <b:Person>
            <b:Last>Tory</b:Last>
            <b:First>K.</b:First>
            <b:Middle>J.</b:Middle>
          </b:Person>
          <b:Person>
            <b:Last>Wheeler</b:Last>
            <b:First>M.</b:First>
            <b:Middle>C.</b:Middle>
          </b:Person>
          <b:Person>
            <b:Last>Walsh</b:Last>
            <b:First>K.</b:First>
            <b:Middle>J. E.</b:Middle>
          </b:Person>
        </b:NameList>
      </b:Author>
    </b:Author>
    <b:Title>Impact of different ENSO regimes on Southwest Pacific tropical cyclones</b:Title>
    <b:JournalName>Journal of Climate</b:JournalName>
    <b:Year>2012</b:Year>
    <b:Pages>600-608</b:Pages>
    <b:Volume>26</b:Volume>
    <b:RefOrder>11</b:RefOrder>
  </b:Source>
  <b:Source>
    <b:Tag>War10</b:Tag>
    <b:SourceType>JournalArticle</b:SourceType>
    <b:Guid>{426C0183-E01D-4984-8D46-4C294F464E83}</b:Guid>
    <b:Author>
      <b:Author>
        <b:NameList>
          <b:Person>
            <b:Last>Ward</b:Last>
            <b:First>P.</b:First>
            <b:Middle>J.</b:Middle>
          </b:Person>
          <b:Person>
            <b:Last>Beets</b:Last>
            <b:First>W.</b:First>
          </b:Person>
          <b:Person>
            <b:Last>Bouwer</b:Last>
            <b:First>L.</b:First>
            <b:Middle>M.</b:Middle>
          </b:Person>
          <b:Person>
            <b:Last>Aerts</b:Last>
            <b:First>J.</b:First>
          </b:Person>
          <b:Person>
            <b:Last>Renssen</b:Last>
            <b:First>H.</b:First>
          </b:Person>
        </b:NameList>
      </b:Author>
    </b:Author>
    <b:Title>Sensitivity of river discharge to ENSO</b:Title>
    <b:JournalName>Geophys. Res. Lett.</b:JournalName>
    <b:Year>2010</b:Year>
    <b:Pages>L12402</b:Pages>
    <b:Volume>37</b:Volume>
    <b:RefOrder>12</b:RefOrder>
  </b:Source>
  <b:Source>
    <b:Tag>NMa10</b:Tag>
    <b:SourceType>JournalArticle</b:SourceType>
    <b:Guid>{E1131FD1-093F-4540-9C90-DCD039CD6FD8}</b:Guid>
    <b:Title>Long-term hydrological changes of the Seine River flow (France) and their relation to the North Atlantic Oscillation over the period 1950-2008</b:Title>
    <b:JournalName>Int. J. Climatol.</b:JournalName>
    <b:Year>2010</b:Year>
    <b:Pages>2146-2154</b:Pages>
    <b:Author>
      <b:Author>
        <b:NameList>
          <b:Person>
            <b:Last>Massei</b:Last>
            <b:First>N.</b:First>
          </b:Person>
          <b:Person>
            <b:Last>Laignel</b:Last>
            <b:First>B.</b:First>
          </b:Person>
          <b:Person>
            <b:Last>Deloffre</b:Last>
            <b:First>J.</b:First>
          </b:Person>
          <b:Person>
            <b:Last>Mesquita</b:Last>
            <b:First>J.</b:First>
          </b:Person>
          <b:Person>
            <b:Last>Motelay</b:Last>
            <b:First>A.</b:First>
          </b:Person>
          <b:Person>
            <b:Last>Lafite</b:Last>
            <b:First>R.</b:First>
          </b:Person>
          <b:Person>
            <b:Last>Durand</b:Last>
            <b:First>A.</b:First>
          </b:Person>
        </b:NameList>
      </b:Author>
    </b:Author>
    <b:Volume>30</b:Volume>
    <b:RefOrder>13</b:RefOrder>
  </b:Source>
  <b:Source>
    <b:Tag>Pin11</b:Tag>
    <b:SourceType>JournalArticle</b:SourceType>
    <b:Guid>{27598760-F339-48D6-BA9B-3552DF49CCF9}</b:Guid>
    <b:Author>
      <b:Author>
        <b:NameList>
          <b:Person>
            <b:Last>Pinto</b:Last>
            <b:First>J.</b:First>
            <b:Middle>G.</b:Middle>
          </b:Person>
          <b:Person>
            <b:Last>Reyers</b:Last>
            <b:First>M.</b:First>
          </b:Person>
          <b:Person>
            <b:Last>Ulbrich</b:Last>
            <b:First>U.</b:First>
          </b:Person>
        </b:NameList>
      </b:Author>
    </b:Author>
    <b:Title>The variable link between PNA and NAO in observations and in multi-century CGCM simulations</b:Title>
    <b:JournalName>Clim. Dyn.</b:JournalName>
    <b:Year>2011</b:Year>
    <b:Pages>337-354</b:Pages>
    <b:Volume>36</b:Volume>
    <b:RefOrder>14</b:RefOrder>
  </b:Source>
  <b:Source>
    <b:Tag>LiY12</b:Tag>
    <b:SourceType>JournalArticle</b:SourceType>
    <b:Guid>{487C5899-E3D2-46EB-8394-8C6D5E54DD0B}</b:Guid>
    <b:Author>
      <b:Author>
        <b:NameList>
          <b:Person>
            <b:Last>Li</b:Last>
            <b:First>Y.</b:First>
          </b:Person>
          <b:Person>
            <b:Last>Lau</b:Last>
            <b:First>N.-C.</b:First>
          </b:Person>
        </b:NameList>
      </b:Author>
    </b:Author>
    <b:Title>Impact of ENSO on the atmospheric variability over the North Atlantic in late winter - role of transient eddies</b:Title>
    <b:JournalName>Journal of Climate</b:JournalName>
    <b:Year>2012</b:Year>
    <b:Pages>320-342</b:Pages>
    <b:Volume>25</b:Volume>
    <b:RefOrder>15</b:RefOrder>
  </b:Source>
  <b:Source>
    <b:Tag>Rog84</b:Tag>
    <b:SourceType>JournalArticle</b:SourceType>
    <b:Guid>{B0E1762D-5814-47BB-874D-9CE1F076A69B}</b:Guid>
    <b:Author>
      <b:Author>
        <b:NameList>
          <b:Person>
            <b:Last>Rogers</b:Last>
            <b:First>J.</b:First>
            <b:Middle>C.</b:Middle>
          </b:Person>
        </b:NameList>
      </b:Author>
    </b:Author>
    <b:Title>The association between the North Atlantic Oscillation and the Southern Oscillation in the Northern Hemisphere</b:Title>
    <b:JournalName>Mon. Wea. Rev.</b:JournalName>
    <b:Year>1984</b:Year>
    <b:Pages>1999-2015</b:Pages>
    <b:Volume>112</b:Volume>
    <b:RefOrder>16</b:RefOrder>
  </b:Source>
  <b:Source>
    <b:Tag>Fra94</b:Tag>
    <b:SourceType>JournalArticle</b:SourceType>
    <b:Guid>{DEA95669-9D24-46F0-8BA1-405A67AB0BA1}</b:Guid>
    <b:Author>
      <b:Author>
        <b:NameList>
          <b:Person>
            <b:Last>Fraedrich</b:Last>
            <b:First>K.</b:First>
          </b:Person>
        </b:NameList>
      </b:Author>
    </b:Author>
    <b:Title>An ENSO impact on Europe? A review</b:Title>
    <b:JournalName>Tellus</b:JournalName>
    <b:Year>1994</b:Year>
    <b:Pages>541-552</b:Pages>
    <b:Volume>46</b:Volume>
    <b:RefOrder>17</b:RefOrder>
  </b:Source>
  <b:Source>
    <b:Tag>Brö07</b:Tag>
    <b:SourceType>JournalArticle</b:SourceType>
    <b:Guid>{7B846DB6-0DE4-44A5-8F34-FABDA12A7581}</b:Guid>
    <b:Author>
      <b:Author>
        <b:NameList>
          <b:Person>
            <b:Last>Brönnimann</b:Last>
            <b:First>S.</b:First>
          </b:Person>
        </b:NameList>
      </b:Author>
    </b:Author>
    <b:Title>Impact of El Niño–Southern Oscillation on European climate</b:Title>
    <b:JournalName>Rev. Geophys.</b:JournalName>
    <b:Year>2007</b:Year>
    <b:Pages>RG3003</b:Pages>
    <b:Volume>45</b:Volume>
    <b:RefOrder>18</b:RefOrder>
  </b:Source>
  <b:Source>
    <b:Tag>Christiansen2008</b:Tag>
    <b:SourceType>JournalArticle</b:SourceType>
    <b:Guid>{D6DC0774-1CFE-4083-966C-989E83E4D1D5}</b:Guid>
    <b:Author>
      <b:Author>
        <b:NameList>
          <b:Person>
            <b:Last>Chen</b:Last>
            <b:First>D.</b:First>
          </b:Person>
          <b:Person>
            <b:Last>Cane</b:Last>
            <b:First>M.</b:First>
            <b:Middle>A.</b:Middle>
          </b:Person>
          <b:Person>
            <b:Last>Kaplan</b:Last>
            <b:First>A.</b:First>
          </b:Person>
          <b:Person>
            <b:Last>Zebiak</b:Last>
            <b:First>S.</b:First>
            <b:Middle>E.</b:Middle>
          </b:Person>
          <b:Person>
            <b:Last>Huang</b:Last>
            <b:First>D.</b:First>
            <b:Middle>J.</b:Middle>
          </b:Person>
        </b:NameList>
      </b:Author>
    </b:Author>
    <b:Title>Predictability of El Niño over past 148 years</b:Title>
    <b:JournalName>Nature</b:JournalName>
    <b:Year>2004</b:Year>
    <b:Pages>733-736</b:Pages>
    <b:Volume>428</b:Volume>
    <b:RefOrder>19</b:RefOrder>
  </b:Source>
  <b:Source>
    <b:Tag>ERo</b:Tag>
    <b:SourceType>Report</b:SourceType>
    <b:Guid>{87C00175-8684-4826-B379-C74E08729B40}</b:Guid>
    <b:Title>The atmospheric general circulation model ECHAM5. Part I: Model description</b:Title>
    <b:Author>
      <b:Author>
        <b:NameList>
          <b:Person>
            <b:Last>Roeckner</b:Last>
            <b:First>E.</b:First>
          </b:Person>
          <b:Person>
            <b:Last>Bäuml</b:Last>
            <b:First>G.</b:First>
          </b:Person>
          <b:Person>
            <b:Last>Bonaventura</b:Last>
            <b:First>L.</b:First>
          </b:Person>
          <b:Person>
            <b:Last>Brokopf</b:Last>
            <b:First>R.</b:First>
          </b:Person>
          <b:Person>
            <b:Last>Esch</b:Last>
            <b:First>M.</b:First>
          </b:Person>
          <b:Person>
            <b:Last>Giorgetta</b:Last>
            <b:First>M.</b:First>
          </b:Person>
          <b:Person>
            <b:Last>Hagemann</b:Last>
            <b:First>S.</b:First>
          </b:Person>
          <b:Person>
            <b:Last>Kirchner</b:Last>
            <b:First>I.</b:First>
          </b:Person>
          <b:Person>
            <b:Last>Kornblueh</b:Last>
            <b:First>L.</b:First>
          </b:Person>
          <b:Person>
            <b:Last>Manzini</b:Last>
            <b:First>E.</b:First>
          </b:Person>
          <b:Person>
            <b:Last>A.Rhodin</b:Last>
          </b:Person>
          <b:Person>
            <b:Last>Schlese</b:Last>
            <b:First>U.</b:First>
          </b:Person>
          <b:Person>
            <b:Last>Schulzweida</b:Last>
            <b:First>U.</b:First>
          </b:Person>
          <b:Person>
            <b:Last>Tompkins</b:Last>
            <b:First>A.</b:First>
          </b:Person>
        </b:NameList>
      </b:Author>
    </b:Author>
    <b:Year>2003</b:Year>
    <b:Publisher>Max Planck Institute for Meteorology</b:Publisher>
    <b:City>Hamburg</b:City>
    <b:Pages>127</b:Pages>
    <b:StandardNumber>ISSN 0937 - 1060</b:StandardNumber>
    <b:RefOrder>20</b:RefOrder>
  </b:Source>
  <b:Source>
    <b:Tag>Mar03</b:Tag>
    <b:SourceType>JournalArticle</b:SourceType>
    <b:Guid>{81A297D0-297D-4CB2-AA9C-D5BE80C37486}</b:Guid>
    <b:Title>The Max Planck Institute global ocean/sea ice model with orthogonal curvilinear coordinates</b:Title>
    <b:Year>2003</b:Year>
    <b:Author>
      <b:Author>
        <b:NameList>
          <b:Person>
            <b:Last>Marsland</b:Last>
            <b:First>S.</b:First>
            <b:Middle>J.</b:Middle>
          </b:Person>
          <b:Person>
            <b:Last>Haak</b:Last>
            <b:First>H.</b:First>
          </b:Person>
          <b:Person>
            <b:Last>Jungclaus</b:Last>
            <b:First>J.</b:First>
            <b:Middle>H.</b:Middle>
          </b:Person>
          <b:Person>
            <b:Last>Latif</b:Last>
            <b:First>M.</b:First>
          </b:Person>
          <b:Person>
            <b:Last>Roeske</b:Last>
            <b:First>F.</b:First>
          </b:Person>
        </b:NameList>
      </b:Author>
    </b:Author>
    <b:JournalName>Ocean Modell</b:JournalName>
    <b:Pages>91-127</b:Pages>
    <b:Volume>5</b:Volume>
    <b:RefOrder>21</b:RefOrder>
  </b:Source>
  <b:Source>
    <b:Tag>Jun10</b:Tag>
    <b:SourceType>JournalArticle</b:SourceType>
    <b:Guid>{8254C29F-BE8A-4985-876A-6D290E26BB3C}</b:Guid>
    <b:Author>
      <b:Author>
        <b:NameList>
          <b:Person>
            <b:Last>Jungclaus</b:Last>
            <b:First>J.</b:First>
            <b:Middle>H.</b:Middle>
          </b:Person>
          <b:Person>
            <b:Last>Lorenz</b:Last>
            <b:First>S.</b:First>
            <b:Middle>J.</b:Middle>
          </b:Person>
          <b:Person>
            <b:Last>Timmreck</b:Last>
            <b:First>C.</b:First>
          </b:Person>
          <b:Person>
            <b:Last>Reick</b:Last>
            <b:First>C.</b:First>
            <b:Middle>H.</b:Middle>
          </b:Person>
          <b:Person>
            <b:Last>Brovkin</b:Last>
            <b:First>V.</b:First>
          </b:Person>
          <b:Person>
            <b:Last>Six</b:Last>
            <b:First>K.</b:First>
          </b:Person>
          <b:Person>
            <b:Last>Segschneider</b:Last>
            <b:First>J.</b:First>
          </b:Person>
          <b:Person>
            <b:Last>Giorgetta</b:Last>
            <b:First>M.</b:First>
            <b:Middle>A.</b:Middle>
          </b:Person>
          <b:Person>
            <b:Last>Crowley</b:Last>
            <b:First>T.</b:First>
            <b:Middle>J.</b:Middle>
          </b:Person>
          <b:Person>
            <b:Last>Pongratz</b:Last>
            <b:First>J.</b:First>
          </b:Person>
          <b:Person>
            <b:Last>Krivova</b:Last>
            <b:First>N.</b:First>
            <b:Middle>A.</b:Middle>
          </b:Person>
          <b:Person>
            <b:Last>Vieira</b:Last>
            <b:First>L.</b:First>
            <b:Middle>E.</b:Middle>
          </b:Person>
          <b:Person>
            <b:Last>Solanski</b:Last>
            <b:First>S.</b:First>
            <b:Middle>K.</b:Middle>
          </b:Person>
          <b:Person>
            <b:Last>Klocke</b:Last>
            <b:First>D.</b:First>
          </b:Person>
          <b:Person>
            <b:Last>Botzet</b:Last>
            <b:First>M.</b:First>
          </b:Person>
          <b:Person>
            <b:Last>Esch</b:Last>
            <b:First>M.</b:First>
          </b:Person>
          <b:Person>
            <b:Last>Gayler</b:Last>
            <b:First>V.</b:First>
          </b:Person>
          <b:Person>
            <b:Last>Haak</b:Last>
            <b:First>H.</b:First>
          </b:Person>
          <b:Person>
            <b:Last>Raddatz</b:Last>
            <b:First>T.</b:First>
            <b:Middle>J.</b:Middle>
          </b:Person>
        </b:NameList>
      </b:Author>
    </b:Author>
    <b:Title>Climate and carbon-cycle variability over the last millennium</b:Title>
    <b:JournalName>Clim. Past</b:JournalName>
    <b:Year>2010</b:Year>
    <b:Pages>723-737</b:Pages>
    <b:Volume>6</b:Volume>
    <b:RefOrder>22</b:RefOrder>
  </b:Source>
  <b:Source>
    <b:Tag>Com11</b:Tag>
    <b:SourceType>JournalArticle</b:SourceType>
    <b:Guid>{C806756D-7077-4528-90FB-557E6B276721}</b:Guid>
    <b:Author>
      <b:Author>
        <b:NameList>
          <b:Person>
            <b:Last>Compo</b:Last>
            <b:First>G.</b:First>
            <b:Middle>P.</b:Middle>
          </b:Person>
          <b:Person>
            <b:Last>Whitaker</b:Last>
            <b:First>J.</b:First>
            <b:Middle>S.</b:Middle>
          </b:Person>
          <b:Person>
            <b:Last>Sardeshmukh</b:Last>
            <b:First>P.</b:First>
            <b:Middle>D.</b:Middle>
          </b:Person>
          <b:Person>
            <b:Last>Matsui</b:Last>
            <b:First>N.</b:First>
          </b:Person>
          <b:Person>
            <b:Last>Allan</b:Last>
            <b:First>R.</b:First>
            <b:Middle>J.</b:Middle>
          </b:Person>
          <b:Person>
            <b:Last>Yin</b:Last>
            <b:First>X.</b:First>
          </b:Person>
          <b:Person>
            <b:Last>Jr</b:Last>
            <b:First>B.</b:First>
            <b:Middle>E. Gleason</b:Middle>
          </b:Person>
          <b:Person>
            <b:Last>Vose</b:Last>
            <b:First>R.</b:First>
            <b:Middle>S.</b:Middle>
          </b:Person>
          <b:Person>
            <b:Last>Rutledge</b:Last>
            <b:First>G.</b:First>
          </b:Person>
          <b:Person>
            <b:Last>Bessemoulin</b:Last>
            <b:First>P.</b:First>
          </b:Person>
          <b:Person>
            <b:Last>Brönnimann</b:Last>
            <b:First>S.</b:First>
          </b:Person>
          <b:Person>
            <b:Last>Brunet</b:Last>
            <b:First>M.</b:First>
          </b:Person>
          <b:Person>
            <b:Last>Crouthamel</b:Last>
            <b:First>R.</b:First>
            <b:Middle>I.</b:Middle>
          </b:Person>
          <b:Person>
            <b:Last>Grant</b:Last>
            <b:First>A.</b:First>
            <b:Middle>N.</b:Middle>
          </b:Person>
          <b:Person>
            <b:Last>Groisman</b:Last>
            <b:First>P.</b:First>
            <b:Middle>Y.</b:Middle>
          </b:Person>
          <b:Person>
            <b:Last>Jones</b:Last>
            <b:First>P.</b:First>
            <b:Middle>D.</b:Middle>
          </b:Person>
          <b:Person>
            <b:Last>Kruk</b:Last>
            <b:First>M.</b:First>
            <b:Middle>C.</b:Middle>
          </b:Person>
          <b:Person>
            <b:Last>Kruger</b:Last>
            <b:First>A.</b:First>
            <b:Middle>C.</b:Middle>
          </b:Person>
        </b:NameList>
      </b:Author>
    </b:Author>
    <b:Title>The Twentieth Century Reanalysis Project</b:Title>
    <b:JournalName>Q. J. R. Meteorol. Soc.</b:JournalName>
    <b:Year>2011</b:Year>
    <b:Pages>1-28</b:Pages>
    <b:Volume>137</b:Volume>
    <b:RefOrder>23</b:RefOrder>
  </b:Source>
  <b:Source>
    <b:Tag>Bra87</b:Tag>
    <b:SourceType>JournalArticle</b:SourceType>
    <b:Guid>{CE452E46-CF3C-415A-B90D-AF4FE5697FB0}</b:Guid>
    <b:Author>
      <b:Author>
        <b:NameList>
          <b:Person>
            <b:Last>Barnston</b:Last>
            <b:First>A.</b:First>
            <b:Middle>G.</b:Middle>
          </b:Person>
          <b:Person>
            <b:Last>Livezey</b:Last>
            <b:First>R.</b:First>
            <b:Middle>E.</b:Middle>
          </b:Person>
        </b:NameList>
      </b:Author>
    </b:Author>
    <b:Title>Classification, seasonality, and persistence of low-frequency circulation patterns</b:Title>
    <b:JournalName>Mon. Wea. Rev.</b:JournalName>
    <b:Year>1987</b:Year>
    <b:Pages>1083-1126</b:Pages>
    <b:Volume>115</b:Volume>
    <b:RefOrder>24</b:RefOrder>
  </b:Source>
  <b:Source>
    <b:Tag>Lau91</b:Tag>
    <b:SourceType>JournalArticle</b:SourceType>
    <b:Guid>{0449BB64-7A4B-480F-993E-0B7A2CA3EEEC}</b:Guid>
    <b:Author>
      <b:Author>
        <b:NameList>
          <b:Person>
            <b:Last>Lau</b:Last>
            <b:First>N.-C.</b:First>
          </b:Person>
          <b:Person>
            <b:Last>Nath</b:Last>
            <b:First>M.</b:First>
            <b:Middle>J.</b:Middle>
          </b:Person>
        </b:NameList>
      </b:Author>
    </b:Author>
    <b:Title>Variability of the baroclinic and barotropic transient eddy forcing associated with monthly changes in the midlatitude storm tracks</b:Title>
    <b:JournalName>J. Atmos. Sci.</b:JournalName>
    <b:Year>1991</b:Year>
    <b:Pages>2589-2613</b:Pages>
    <b:Volume>48</b:Volume>
    <b:RefOrder>25</b:RefOrder>
  </b:Source>
  <b:Source>
    <b:Tag>Jin6a</b:Tag>
    <b:SourceType>JournalArticle</b:SourceType>
    <b:Guid>{9CF98EC6-9D60-4AE9-AB70-94287F709393}</b:Guid>
    <b:Author>
      <b:Author>
        <b:NameList>
          <b:Person>
            <b:Last>Jin</b:Last>
            <b:First>F.-F.</b:First>
          </b:Person>
          <b:Person>
            <b:Last>Pan</b:Last>
            <b:First>L.-L.</b:First>
          </b:Person>
          <b:Person>
            <b:Last>Watanabe</b:Last>
            <b:First>M.</b:First>
          </b:Person>
        </b:NameList>
      </b:Author>
    </b:Author>
    <b:Title>Dynamics of synoptic eddy and low-frequency flow interaction. Part I: A linear closure</b:Title>
    <b:JournalName>J. Atmos. Sci.</b:JournalName>
    <b:Year>2006a</b:Year>
    <b:Pages>1677-1694</b:Pages>
    <b:Volume>63</b:Volume>
    <b:RefOrder>26</b:RefOrder>
  </b:Source>
  <b:Source>
    <b:Tag>Jin6b</b:Tag>
    <b:SourceType>JournalArticle</b:SourceType>
    <b:Guid>{A7936F2A-1719-414E-86DD-544F3E7AAA5C}</b:Guid>
    <b:Author>
      <b:Author>
        <b:NameList>
          <b:Person>
            <b:Last>Jin</b:Last>
            <b:First>F.-F.</b:First>
          </b:Person>
          <b:Person>
            <b:Last>Pan</b:Last>
            <b:First>L.-L.</b:First>
          </b:Person>
          <b:Person>
            <b:Last>Watanabe</b:Last>
            <b:First>M.</b:First>
          </b:Person>
        </b:NameList>
      </b:Author>
    </b:Author>
    <b:Year>2006b</b:Year>
    <b:Title>Dynamics of synoptic eddy and low-frequency flow interaction. Part II: A theory for low-frequency modes</b:Title>
    <b:JournalName>J. Atmos. Sci.</b:JournalName>
    <b:Pages>1695-1708</b:Pages>
    <b:Volume>63</b:Volume>
    <b:RefOrder>27</b:RefOrder>
  </b:Source>
  <b:Source>
    <b:Tag>Spi88</b:Tag>
    <b:SourceType>Book</b:SourceType>
    <b:Guid>{12E02BB4-BB37-4F73-A144-779A1D665989}</b:Guid>
    <b:Title>Schaum’s Outline of Theory and Problems of Statistics</b:Title>
    <b:Year>1988</b:Year>
    <b:Author>
      <b:Author>
        <b:NameList>
          <b:Person>
            <b:Last>Spiegel</b:Last>
            <b:First>M.</b:First>
            <b:Middle>R.</b:Middle>
          </b:Person>
        </b:NameList>
      </b:Author>
    </b:Author>
    <b:Publisher>McGraw-Hill</b:Publisher>
    <b:RefOrder>28</b:RefOrder>
  </b:Source>
</b:Sources>
</file>

<file path=customXml/itemProps1.xml><?xml version="1.0" encoding="utf-8"?>
<ds:datastoreItem xmlns:ds="http://schemas.openxmlformats.org/officeDocument/2006/customXml" ds:itemID="{14B26B52-8705-4C59-A2AE-EC81A2EC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24484</TotalTime>
  <Pages>7</Pages>
  <Words>3929</Words>
  <Characters>22400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Le</dc:creator>
  <cp:lastModifiedBy>Le Thanh</cp:lastModifiedBy>
  <cp:revision>560</cp:revision>
  <cp:lastPrinted>2023-08-10T00:49:00Z</cp:lastPrinted>
  <dcterms:created xsi:type="dcterms:W3CDTF">2014-08-13T16:20:00Z</dcterms:created>
  <dcterms:modified xsi:type="dcterms:W3CDTF">2024-01-10T15:12:00Z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http://www.zotero.org/styles/environmental-research-letters</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http://www.zotero.org/styles/atmospheric-chemistry-and-physics</vt:lpwstr>
  </property>
  <property fmtid="{D5CDD505-2E9C-101B-9397-08002B2CF9AE}" pid="11" name="Mendeley Recent Style Name 3_1">
    <vt:lpwstr>Atmospheric Chemistry and Physics</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http://www.zotero.org/styles/entropy</vt:lpwstr>
  </property>
  <property fmtid="{D5CDD505-2E9C-101B-9397-08002B2CF9AE}" pid="15" name="Mendeley Recent Style Name 5_1">
    <vt:lpwstr>Entropy</vt:lpwstr>
  </property>
  <property fmtid="{D5CDD505-2E9C-101B-9397-08002B2CF9AE}" pid="16" name="Mendeley Recent Style Id 6_1">
    <vt:lpwstr>http://www.zotero.org/styles/environmental-research-letters</vt:lpwstr>
  </property>
  <property fmtid="{D5CDD505-2E9C-101B-9397-08002B2CF9AE}" pid="17" name="Mendeley Recent Style Name 6_1">
    <vt:lpwstr>Environmental Research Letters</vt:lpwstr>
  </property>
  <property fmtid="{D5CDD505-2E9C-101B-9397-08002B2CF9AE}" pid="18" name="Mendeley Recent Style Id 7_1">
    <vt:lpwstr>http://www.zotero.org/styles/geophysical-research-letters</vt:lpwstr>
  </property>
  <property fmtid="{D5CDD505-2E9C-101B-9397-08002B2CF9AE}" pid="19" name="Mendeley Recent Style Name 7_1">
    <vt:lpwstr>Geophysical Research Letters</vt:lpwstr>
  </property>
  <property fmtid="{D5CDD505-2E9C-101B-9397-08002B2CF9AE}" pid="20" name="Mendeley Recent Style Id 8_1">
    <vt:lpwstr>http://www.zotero.org/styles/nature-climate-change</vt:lpwstr>
  </property>
  <property fmtid="{D5CDD505-2E9C-101B-9397-08002B2CF9AE}" pid="21" name="Mendeley Recent Style Name 8_1">
    <vt:lpwstr>Nature Climate Change</vt:lpwstr>
  </property>
  <property fmtid="{D5CDD505-2E9C-101B-9397-08002B2CF9AE}" pid="22" name="Mendeley Recent Style Id 9_1">
    <vt:lpwstr>http://www.zotero.org/styles/science-of-the-total-environment</vt:lpwstr>
  </property>
  <property fmtid="{D5CDD505-2E9C-101B-9397-08002B2CF9AE}" pid="23" name="Mendeley Recent Style Name 9_1">
    <vt:lpwstr>Science of the Total Environment</vt:lpwstr>
  </property>
  <property fmtid="{D5CDD505-2E9C-101B-9397-08002B2CF9AE}" pid="24" name="Mendeley Unique User Id_1">
    <vt:lpwstr>fe6b8900-4e18-39b3-add2-40198f1a0bce</vt:lpwstr>
  </property>
</Properties>
</file>