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21E2" w14:textId="77777777" w:rsidR="00C34BF8" w:rsidRPr="00FB1DBA" w:rsidRDefault="00C34BF8" w:rsidP="00C34BF8">
      <w:pPr>
        <w:pStyle w:val="Papermain"/>
        <w:jc w:val="center"/>
        <w:rPr>
          <w:spacing w:val="1"/>
          <w:lang w:val="en-GB"/>
        </w:rPr>
      </w:pPr>
      <w:r>
        <w:rPr>
          <w:noProof/>
          <w:spacing w:val="1"/>
        </w:rPr>
        <w:drawing>
          <wp:inline distT="0" distB="0" distL="0" distR="0" wp14:anchorId="2B8CF3D0" wp14:editId="59724EA6">
            <wp:extent cx="4572208" cy="1666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90" cy="1675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3A210" w14:textId="77777777" w:rsidR="00C34BF8" w:rsidRDefault="00C34BF8" w:rsidP="00C34BF8">
      <w:pPr>
        <w:pStyle w:val="RSCB02ArticleText"/>
        <w:spacing w:after="160" w:line="259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BD11F4">
        <w:rPr>
          <w:rFonts w:asciiTheme="majorBidi" w:hAnsiTheme="majorBidi" w:cstheme="majorBidi"/>
          <w:b/>
          <w:bCs/>
          <w:sz w:val="24"/>
          <w:szCs w:val="24"/>
          <w:lang w:bidi="fa-IR"/>
        </w:rPr>
        <w:t>Scheme 1.</w:t>
      </w:r>
      <w:r w:rsidRPr="00BD11F4">
        <w:rPr>
          <w:rFonts w:asciiTheme="majorBidi" w:hAnsiTheme="majorBidi" w:cstheme="majorBidi"/>
          <w:sz w:val="24"/>
          <w:szCs w:val="24"/>
          <w:lang w:bidi="fa-IR"/>
        </w:rPr>
        <w:t xml:space="preserve"> The reaction of synthesis of carbamate derivatives using </w:t>
      </w:r>
      <w:r w:rsidRPr="00BD11F4">
        <w:rPr>
          <w:rFonts w:asciiTheme="majorBidi" w:hAnsiTheme="majorBidi" w:cstheme="majorBidi"/>
          <w:i/>
          <w:iCs/>
          <w:sz w:val="24"/>
          <w:szCs w:val="24"/>
          <w:lang w:bidi="fa-IR"/>
        </w:rPr>
        <w:t>Carvacrol</w:t>
      </w:r>
      <w:r w:rsidRPr="00BD11F4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BD11F4">
        <w:rPr>
          <w:rFonts w:asciiTheme="majorBidi" w:hAnsiTheme="majorBidi" w:cstheme="majorBidi"/>
          <w:i/>
          <w:iCs/>
          <w:sz w:val="24"/>
          <w:szCs w:val="24"/>
          <w:lang w:bidi="fa-IR"/>
        </w:rPr>
        <w:t>Thymol</w:t>
      </w:r>
      <w:r w:rsidRPr="00BD11F4">
        <w:rPr>
          <w:rFonts w:asciiTheme="majorBidi" w:hAnsiTheme="majorBidi" w:cstheme="majorBidi"/>
          <w:sz w:val="24"/>
          <w:szCs w:val="24"/>
          <w:lang w:bidi="fa-IR"/>
        </w:rPr>
        <w:t xml:space="preserve"> and </w:t>
      </w:r>
      <w:r w:rsidRPr="00BD11F4">
        <w:rPr>
          <w:rFonts w:asciiTheme="majorBidi" w:hAnsiTheme="majorBidi" w:cstheme="majorBidi"/>
          <w:i/>
          <w:iCs/>
          <w:sz w:val="24"/>
          <w:szCs w:val="24"/>
          <w:lang w:bidi="fa-IR"/>
        </w:rPr>
        <w:t>Eugenol</w:t>
      </w:r>
      <w:r w:rsidRPr="00BD11F4">
        <w:rPr>
          <w:rFonts w:asciiTheme="majorBidi" w:hAnsiTheme="majorBidi" w:cstheme="majorBidi"/>
          <w:sz w:val="24"/>
          <w:szCs w:val="24"/>
          <w:lang w:bidi="fa-IR"/>
        </w:rPr>
        <w:t xml:space="preserve"> with cyclohexyl and phenyl isocyanate.</w:t>
      </w:r>
    </w:p>
    <w:p w14:paraId="743A7E8C" w14:textId="77777777" w:rsidR="00C34BF8" w:rsidRDefault="00C34BF8" w:rsidP="00C34BF8">
      <w:pPr>
        <w:pStyle w:val="Papermain"/>
        <w:jc w:val="center"/>
        <w:rPr>
          <w:spacing w:val="1"/>
          <w:lang w:val="en-GB"/>
        </w:rPr>
      </w:pPr>
      <w:r>
        <w:rPr>
          <w:noProof/>
          <w:spacing w:val="1"/>
        </w:rPr>
        <w:drawing>
          <wp:inline distT="0" distB="0" distL="0" distR="0" wp14:anchorId="70BF810B" wp14:editId="7DC687EB">
            <wp:extent cx="2466975" cy="2981814"/>
            <wp:effectExtent l="0" t="0" r="0" b="9525"/>
            <wp:docPr id="2" name="Picture 2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of a molecu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250" cy="299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5A74A" w14:textId="77777777" w:rsidR="00C34BF8" w:rsidRDefault="00C34BF8" w:rsidP="00C34BF8">
      <w:pPr>
        <w:pStyle w:val="Papermain"/>
        <w:rPr>
          <w:spacing w:val="1"/>
          <w:lang w:val="en-GB"/>
        </w:rPr>
      </w:pPr>
      <w:r w:rsidRPr="007F6FF4">
        <w:rPr>
          <w:b/>
          <w:bCs/>
          <w:spacing w:val="1"/>
          <w:lang w:val="en-GB"/>
        </w:rPr>
        <w:t xml:space="preserve">Scheme 2.  </w:t>
      </w:r>
      <w:r w:rsidRPr="007F6FF4">
        <w:rPr>
          <w:spacing w:val="1"/>
          <w:lang w:val="en-GB"/>
        </w:rPr>
        <w:t xml:space="preserve">An illustrative mechanism for the reaction between </w:t>
      </w:r>
      <w:r w:rsidRPr="00D61A68">
        <w:rPr>
          <w:i/>
          <w:iCs/>
          <w:spacing w:val="1"/>
          <w:lang w:val="en-GB"/>
        </w:rPr>
        <w:t>Thymol</w:t>
      </w:r>
      <w:r w:rsidRPr="007F6FF4">
        <w:rPr>
          <w:spacing w:val="1"/>
          <w:lang w:val="en-GB"/>
        </w:rPr>
        <w:t xml:space="preserve"> and phenyl isocyanate.</w:t>
      </w:r>
    </w:p>
    <w:p w14:paraId="3BA9BF7B" w14:textId="6044D715" w:rsidR="00C34BF8" w:rsidRDefault="00C34BF8" w:rsidP="00C34BF8">
      <w:pPr>
        <w:pStyle w:val="Papermain"/>
        <w:rPr>
          <w:spacing w:val="1"/>
          <w:lang w:val="en-GB"/>
        </w:rPr>
      </w:pPr>
      <w:r w:rsidRPr="006C3B5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BFC2C60" wp14:editId="243F405C">
            <wp:simplePos x="0" y="0"/>
            <wp:positionH relativeFrom="margin">
              <wp:posOffset>0</wp:posOffset>
            </wp:positionH>
            <wp:positionV relativeFrom="paragraph">
              <wp:posOffset>353695</wp:posOffset>
            </wp:positionV>
            <wp:extent cx="3324225" cy="2298700"/>
            <wp:effectExtent l="0" t="0" r="9525" b="6350"/>
            <wp:wrapTopAndBottom/>
            <wp:docPr id="9" name="Picture 9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E6068" w14:textId="77777777" w:rsidR="00C34BF8" w:rsidRDefault="00C34BF8" w:rsidP="00C34BF8">
      <w:pPr>
        <w:pStyle w:val="RSCB01ARTAbstr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10EA984" w14:textId="2994C8F6" w:rsidR="00C34BF8" w:rsidRDefault="00C34BF8" w:rsidP="00C34BF8">
      <w:pPr>
        <w:pStyle w:val="RSCB01ARTAbstract"/>
        <w:jc w:val="center"/>
        <w:rPr>
          <w:rFonts w:asciiTheme="majorBidi" w:hAnsiTheme="majorBidi" w:cstheme="majorBidi"/>
          <w:sz w:val="24"/>
          <w:szCs w:val="24"/>
        </w:rPr>
      </w:pPr>
      <w:r w:rsidRPr="0092144F">
        <w:rPr>
          <w:rFonts w:asciiTheme="majorBidi" w:hAnsiTheme="majorBidi" w:cstheme="majorBidi"/>
          <w:b/>
          <w:bCs/>
          <w:sz w:val="24"/>
          <w:szCs w:val="24"/>
        </w:rPr>
        <w:t>Scheme 3.</w:t>
      </w:r>
      <w:r w:rsidRPr="0092144F">
        <w:rPr>
          <w:rFonts w:asciiTheme="majorBidi" w:hAnsiTheme="majorBidi" w:cstheme="majorBidi"/>
          <w:sz w:val="24"/>
          <w:szCs w:val="24"/>
        </w:rPr>
        <w:t xml:space="preserve">  The pathways for observed dynamic processes in compound </w:t>
      </w:r>
      <w:r w:rsidRPr="0092144F">
        <w:rPr>
          <w:rFonts w:asciiTheme="majorBidi" w:hAnsiTheme="majorBidi" w:cstheme="majorBidi"/>
          <w:b/>
          <w:bCs/>
          <w:sz w:val="24"/>
          <w:szCs w:val="24"/>
        </w:rPr>
        <w:t>7d</w:t>
      </w:r>
      <w:r w:rsidRPr="0092144F">
        <w:rPr>
          <w:rFonts w:asciiTheme="majorBidi" w:hAnsiTheme="majorBidi" w:cstheme="majorBidi"/>
          <w:sz w:val="24"/>
          <w:szCs w:val="24"/>
        </w:rPr>
        <w:t>.</w:t>
      </w:r>
    </w:p>
    <w:p w14:paraId="66390CBC" w14:textId="77777777" w:rsidR="00C34BF8" w:rsidRDefault="00C34BF8" w:rsidP="00C34BF8">
      <w:pPr>
        <w:pStyle w:val="RSCB01ARTAbstract"/>
        <w:jc w:val="center"/>
        <w:rPr>
          <w:rFonts w:asciiTheme="majorBidi" w:hAnsiTheme="majorBidi" w:cstheme="majorBidi"/>
          <w:sz w:val="24"/>
          <w:szCs w:val="24"/>
        </w:rPr>
      </w:pPr>
    </w:p>
    <w:p w14:paraId="2E6278B9" w14:textId="77777777" w:rsidR="00C874ED" w:rsidRPr="00C34BF8" w:rsidRDefault="00C874ED">
      <w:pPr>
        <w:rPr>
          <w:lang w:val="en-GB"/>
        </w:rPr>
      </w:pPr>
    </w:p>
    <w:sectPr w:rsidR="00C874ED" w:rsidRPr="00C34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F8"/>
    <w:rsid w:val="00C34BF8"/>
    <w:rsid w:val="00C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A6066"/>
  <w15:chartTrackingRefBased/>
  <w15:docId w15:val="{8B31411A-F75D-424E-9A3A-AFAC9270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main">
    <w:name w:val="Paper main"/>
    <w:qFormat/>
    <w:rsid w:val="00C34BF8"/>
    <w:pPr>
      <w:spacing w:after="0" w:line="480" w:lineRule="auto"/>
      <w:jc w:val="both"/>
    </w:pPr>
    <w:rPr>
      <w:rFonts w:ascii="Times New Roman" w:hAnsi="Times New Roman"/>
      <w:color w:val="000000" w:themeColor="text1"/>
      <w:kern w:val="0"/>
      <w:sz w:val="24"/>
      <w14:ligatures w14:val="none"/>
    </w:rPr>
  </w:style>
  <w:style w:type="paragraph" w:customStyle="1" w:styleId="RSCB02ArticleText">
    <w:name w:val="RSC B02 Article Text"/>
    <w:basedOn w:val="Normal"/>
    <w:link w:val="RSCB02ArticleTextChar"/>
    <w:qFormat/>
    <w:rsid w:val="00C34BF8"/>
    <w:pPr>
      <w:spacing w:after="0" w:line="240" w:lineRule="exact"/>
      <w:jc w:val="both"/>
    </w:pPr>
    <w:rPr>
      <w:rFonts w:cs="Times New Roman"/>
      <w:w w:val="108"/>
      <w:kern w:val="0"/>
      <w:sz w:val="18"/>
      <w:szCs w:val="18"/>
      <w:lang w:val="en-GB"/>
      <w14:ligatures w14:val="none"/>
    </w:rPr>
  </w:style>
  <w:style w:type="character" w:customStyle="1" w:styleId="RSCB02ArticleTextChar">
    <w:name w:val="RSC B02 Article Text Char"/>
    <w:basedOn w:val="DefaultParagraphFont"/>
    <w:link w:val="RSCB02ArticleText"/>
    <w:rsid w:val="00C34BF8"/>
    <w:rPr>
      <w:rFonts w:cs="Times New Roman"/>
      <w:w w:val="108"/>
      <w:kern w:val="0"/>
      <w:sz w:val="18"/>
      <w:szCs w:val="18"/>
      <w:lang w:val="en-GB"/>
      <w14:ligatures w14:val="none"/>
    </w:rPr>
  </w:style>
  <w:style w:type="character" w:customStyle="1" w:styleId="RSCB01ARTAbstractChar">
    <w:name w:val="RSC B01 ART Abstract Char"/>
    <w:basedOn w:val="DefaultParagraphFont"/>
    <w:link w:val="RSCB01ARTAbstract"/>
    <w:locked/>
    <w:rsid w:val="00C34BF8"/>
    <w:rPr>
      <w:noProof/>
      <w:sz w:val="16"/>
      <w:lang w:val="en-GB" w:eastAsia="en-GB"/>
    </w:rPr>
  </w:style>
  <w:style w:type="paragraph" w:customStyle="1" w:styleId="RSCB01ARTAbstract">
    <w:name w:val="RSC B01 ART Abstract"/>
    <w:basedOn w:val="Normal"/>
    <w:link w:val="RSCB01ARTAbstractChar"/>
    <w:qFormat/>
    <w:rsid w:val="00C34BF8"/>
    <w:pPr>
      <w:spacing w:after="200" w:line="240" w:lineRule="exact"/>
      <w:jc w:val="both"/>
    </w:pPr>
    <w:rPr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263</Characters>
  <Application>Microsoft Office Word</Application>
  <DocSecurity>0</DocSecurity>
  <Lines>2</Lines>
  <Paragraphs>1</Paragraphs>
  <ScaleCrop>false</ScaleCrop>
  <Company>SpringerNature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2024-03-07T05:02:00Z</dcterms:created>
  <dcterms:modified xsi:type="dcterms:W3CDTF">2024-03-07T05:03:00Z</dcterms:modified>
</cp:coreProperties>
</file>