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FC236" w14:textId="77777777" w:rsidR="004E7B57" w:rsidRPr="00D61FB8" w:rsidRDefault="004E7B57" w:rsidP="004E7B57">
      <w:pPr>
        <w:spacing w:line="480" w:lineRule="auto"/>
        <w:rPr>
          <w:rFonts w:eastAsia="Times New Roman"/>
          <w:b/>
          <w:lang w:val="en-US"/>
        </w:rPr>
      </w:pPr>
      <w:r w:rsidRPr="00D61FB8">
        <w:rPr>
          <w:rFonts w:eastAsia="Times New Roman"/>
          <w:b/>
          <w:lang w:val="en-US"/>
        </w:rPr>
        <w:t>Supplemental File SF1. Bioinformatic pipeline for the bacterial genome assembly</w:t>
      </w:r>
    </w:p>
    <w:p w14:paraId="552A6ADB" w14:textId="77777777" w:rsidR="004E7B57" w:rsidRDefault="004E7B57" w:rsidP="004E7B57">
      <w:pPr>
        <w:spacing w:line="480" w:lineRule="auto"/>
        <w:rPr>
          <w:rFonts w:eastAsia="Times New Roman"/>
          <w:b/>
          <w:lang w:val="en-US"/>
        </w:rPr>
      </w:pPr>
    </w:p>
    <w:p w14:paraId="57523A36" w14:textId="77777777" w:rsidR="004E7B57" w:rsidRDefault="004E7B57" w:rsidP="004E7B57">
      <w:pPr>
        <w:spacing w:line="480" w:lineRule="auto"/>
        <w:rPr>
          <w:rFonts w:eastAsia="Times New Roman"/>
          <w:b/>
          <w:lang w:val="en-US"/>
        </w:rPr>
      </w:pPr>
    </w:p>
    <w:p w14:paraId="088FFD9E" w14:textId="77777777" w:rsidR="004E7B57" w:rsidRDefault="004E7B57" w:rsidP="004E7B57">
      <w:pPr>
        <w:spacing w:line="480" w:lineRule="auto"/>
        <w:rPr>
          <w:rFonts w:eastAsia="Times New Roman"/>
          <w:b/>
          <w:lang w:val="en-US"/>
        </w:rPr>
      </w:pPr>
      <w:r w:rsidRPr="00851270">
        <w:rPr>
          <w:rFonts w:eastAsia="Times New Roman"/>
          <w:noProof/>
        </w:rPr>
        <w:drawing>
          <wp:inline distT="114300" distB="114300" distL="114300" distR="114300" wp14:anchorId="5C6A9DC3" wp14:editId="01331BFC">
            <wp:extent cx="5731200" cy="2679700"/>
            <wp:effectExtent l="0" t="0" r="0" b="0"/>
            <wp:docPr id="3" name="image4.png" descr="A black screen with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 descr="A black screen with white text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7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013B44" w14:textId="77777777" w:rsidR="004E7B57" w:rsidRDefault="004E7B57" w:rsidP="004E7B57">
      <w:pPr>
        <w:spacing w:line="480" w:lineRule="auto"/>
        <w:rPr>
          <w:rFonts w:eastAsia="Times New Roman"/>
          <w:lang w:val="en-US"/>
        </w:rPr>
      </w:pPr>
    </w:p>
    <w:p w14:paraId="254B6144" w14:textId="77777777" w:rsidR="004E7B57" w:rsidRPr="00D25702" w:rsidRDefault="004E7B57" w:rsidP="004E7B57">
      <w:pPr>
        <w:spacing w:line="480" w:lineRule="auto"/>
        <w:rPr>
          <w:rFonts w:eastAsia="Times New Roman"/>
          <w:lang w:val="en-US"/>
        </w:rPr>
      </w:pPr>
      <w:r w:rsidRPr="00851270">
        <w:rPr>
          <w:rFonts w:eastAsia="Times New Roman"/>
          <w:lang w:val="en-US"/>
        </w:rPr>
        <w:t xml:space="preserve">Figure S1. Flow chart illustrating the pipeline for the bacterial genome assembly. This pipeline utilized a consensus (generated using Trycicler) of the output of two de novo assemblers (Flye and Canu), followed by a polishing stage using Medaka. The assembly was evaluated with QUAST and BUSCO after the polishing stage. </w:t>
      </w:r>
      <w:r w:rsidRPr="00D25702">
        <w:rPr>
          <w:rFonts w:eastAsia="Times New Roman"/>
          <w:lang w:val="en-US"/>
        </w:rPr>
        <w:t>ONT = Oxford Nanopore Technologies, QC = quality control.</w:t>
      </w:r>
    </w:p>
    <w:p w14:paraId="57DF4512" w14:textId="77777777" w:rsidR="004E7B57" w:rsidRPr="00D25702" w:rsidRDefault="004E7B57" w:rsidP="004E7B57">
      <w:pPr>
        <w:spacing w:line="480" w:lineRule="auto"/>
        <w:rPr>
          <w:rFonts w:eastAsia="Times New Roman"/>
          <w:lang w:val="en-US"/>
        </w:rPr>
      </w:pPr>
      <w:r w:rsidRPr="00D25702">
        <w:rPr>
          <w:rFonts w:eastAsia="Times New Roman"/>
          <w:lang w:val="en-US"/>
        </w:rPr>
        <w:br w:type="page"/>
      </w:r>
    </w:p>
    <w:p w14:paraId="2B699570" w14:textId="77777777" w:rsidR="004E7B57" w:rsidRPr="00D61FB8" w:rsidRDefault="004E7B57" w:rsidP="004E7B57">
      <w:pPr>
        <w:spacing w:line="480" w:lineRule="auto"/>
        <w:jc w:val="both"/>
        <w:rPr>
          <w:b/>
          <w:bCs/>
          <w:lang w:val="en-US"/>
        </w:rPr>
      </w:pPr>
      <w:r w:rsidRPr="00D61FB8">
        <w:rPr>
          <w:b/>
          <w:bCs/>
          <w:lang w:val="en-US"/>
        </w:rPr>
        <w:lastRenderedPageBreak/>
        <w:t>Supplemental File SF2. Quality assessment of the ONT sequencing run</w:t>
      </w:r>
    </w:p>
    <w:p w14:paraId="0C96B19F" w14:textId="77777777" w:rsidR="004E7B57" w:rsidRPr="00D61FB8" w:rsidRDefault="004E7B57" w:rsidP="004E7B57">
      <w:pPr>
        <w:spacing w:line="480" w:lineRule="auto"/>
        <w:jc w:val="both"/>
        <w:rPr>
          <w:b/>
          <w:bCs/>
          <w:lang w:val="en-US"/>
        </w:rPr>
      </w:pPr>
    </w:p>
    <w:p w14:paraId="0C28E2A1" w14:textId="77777777" w:rsidR="004E7B57" w:rsidRPr="00D61FB8" w:rsidRDefault="004E7B57" w:rsidP="004E7B57">
      <w:pPr>
        <w:spacing w:line="480" w:lineRule="auto"/>
        <w:jc w:val="both"/>
        <w:rPr>
          <w:b/>
          <w:bCs/>
          <w:lang w:val="en-US"/>
        </w:rPr>
      </w:pPr>
      <w:r w:rsidRPr="00D61FB8">
        <w:rPr>
          <w:b/>
          <w:bCs/>
          <w:lang w:val="en-US"/>
        </w:rPr>
        <w:t>Reads Quality (Nanoplot)</w:t>
      </w:r>
    </w:p>
    <w:p w14:paraId="178AE101" w14:textId="77777777" w:rsidR="004E7B57" w:rsidRPr="00D61FB8" w:rsidRDefault="004E7B57" w:rsidP="004E7B57">
      <w:pPr>
        <w:spacing w:line="480" w:lineRule="auto"/>
        <w:jc w:val="both"/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1601"/>
        <w:gridCol w:w="1601"/>
        <w:gridCol w:w="1601"/>
        <w:gridCol w:w="1601"/>
        <w:gridCol w:w="1601"/>
      </w:tblGrid>
      <w:tr w:rsidR="004E7B57" w:rsidRPr="00F60797" w14:paraId="78AD0FF8" w14:textId="77777777" w:rsidTr="00E8661C">
        <w:trPr>
          <w:trHeight w:val="576"/>
          <w:jc w:val="center"/>
        </w:trPr>
        <w:tc>
          <w:tcPr>
            <w:tcW w:w="1345" w:type="dxa"/>
            <w:vAlign w:val="center"/>
          </w:tcPr>
          <w:p w14:paraId="45E6A4C7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Isolates</w:t>
            </w:r>
          </w:p>
        </w:tc>
        <w:tc>
          <w:tcPr>
            <w:tcW w:w="1601" w:type="dxa"/>
            <w:vAlign w:val="center"/>
          </w:tcPr>
          <w:p w14:paraId="3C4C2FB9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Mean read length</w:t>
            </w:r>
          </w:p>
        </w:tc>
        <w:tc>
          <w:tcPr>
            <w:tcW w:w="1601" w:type="dxa"/>
            <w:vAlign w:val="center"/>
          </w:tcPr>
          <w:p w14:paraId="51CFA658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Mean read quality</w:t>
            </w:r>
          </w:p>
        </w:tc>
        <w:tc>
          <w:tcPr>
            <w:tcW w:w="1601" w:type="dxa"/>
            <w:vAlign w:val="center"/>
          </w:tcPr>
          <w:p w14:paraId="262D6B84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Number of reads</w:t>
            </w:r>
          </w:p>
        </w:tc>
        <w:tc>
          <w:tcPr>
            <w:tcW w:w="1601" w:type="dxa"/>
            <w:vAlign w:val="center"/>
          </w:tcPr>
          <w:p w14:paraId="37826FDC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Read length N50</w:t>
            </w:r>
          </w:p>
        </w:tc>
        <w:tc>
          <w:tcPr>
            <w:tcW w:w="1601" w:type="dxa"/>
            <w:vAlign w:val="center"/>
          </w:tcPr>
          <w:p w14:paraId="220A1AA6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Percentage of reads &gt;Q10</w:t>
            </w:r>
          </w:p>
        </w:tc>
      </w:tr>
      <w:tr w:rsidR="004E7B57" w:rsidRPr="00F60797" w14:paraId="020AD92D" w14:textId="77777777" w:rsidTr="00E8661C">
        <w:trPr>
          <w:trHeight w:val="576"/>
          <w:jc w:val="center"/>
        </w:trPr>
        <w:tc>
          <w:tcPr>
            <w:tcW w:w="1345" w:type="dxa"/>
            <w:vAlign w:val="center"/>
          </w:tcPr>
          <w:p w14:paraId="224A89BE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MJ 1-1</w:t>
            </w:r>
          </w:p>
        </w:tc>
        <w:tc>
          <w:tcPr>
            <w:tcW w:w="1601" w:type="dxa"/>
            <w:vAlign w:val="center"/>
          </w:tcPr>
          <w:p w14:paraId="20930030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1,161.4</w:t>
            </w:r>
          </w:p>
        </w:tc>
        <w:tc>
          <w:tcPr>
            <w:tcW w:w="1601" w:type="dxa"/>
            <w:vAlign w:val="center"/>
          </w:tcPr>
          <w:p w14:paraId="427AF3D3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11.4</w:t>
            </w:r>
          </w:p>
        </w:tc>
        <w:tc>
          <w:tcPr>
            <w:tcW w:w="1601" w:type="dxa"/>
            <w:vAlign w:val="center"/>
          </w:tcPr>
          <w:p w14:paraId="01E8BCF3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68,193</w:t>
            </w:r>
          </w:p>
        </w:tc>
        <w:tc>
          <w:tcPr>
            <w:tcW w:w="1601" w:type="dxa"/>
            <w:vAlign w:val="center"/>
          </w:tcPr>
          <w:p w14:paraId="58A55AD7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2,162</w:t>
            </w:r>
          </w:p>
        </w:tc>
        <w:tc>
          <w:tcPr>
            <w:tcW w:w="1601" w:type="dxa"/>
            <w:vAlign w:val="center"/>
          </w:tcPr>
          <w:p w14:paraId="5A9ADC86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92.2%</w:t>
            </w:r>
          </w:p>
        </w:tc>
      </w:tr>
      <w:tr w:rsidR="004E7B57" w:rsidRPr="00F60797" w14:paraId="198B42FC" w14:textId="77777777" w:rsidTr="00E8661C">
        <w:trPr>
          <w:trHeight w:val="576"/>
          <w:jc w:val="center"/>
        </w:trPr>
        <w:tc>
          <w:tcPr>
            <w:tcW w:w="1345" w:type="dxa"/>
            <w:vAlign w:val="center"/>
          </w:tcPr>
          <w:p w14:paraId="753A3450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MJ 5-2</w:t>
            </w:r>
          </w:p>
        </w:tc>
        <w:tc>
          <w:tcPr>
            <w:tcW w:w="1601" w:type="dxa"/>
            <w:vAlign w:val="center"/>
          </w:tcPr>
          <w:p w14:paraId="54F5DE45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3,580.2</w:t>
            </w:r>
          </w:p>
        </w:tc>
        <w:tc>
          <w:tcPr>
            <w:tcW w:w="1601" w:type="dxa"/>
            <w:vAlign w:val="center"/>
          </w:tcPr>
          <w:p w14:paraId="775CDB8C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11.6</w:t>
            </w:r>
          </w:p>
        </w:tc>
        <w:tc>
          <w:tcPr>
            <w:tcW w:w="1601" w:type="dxa"/>
            <w:vAlign w:val="center"/>
          </w:tcPr>
          <w:p w14:paraId="405F8BEF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87,952</w:t>
            </w:r>
          </w:p>
        </w:tc>
        <w:tc>
          <w:tcPr>
            <w:tcW w:w="1601" w:type="dxa"/>
            <w:vAlign w:val="center"/>
          </w:tcPr>
          <w:p w14:paraId="2C883641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6,578</w:t>
            </w:r>
          </w:p>
        </w:tc>
        <w:tc>
          <w:tcPr>
            <w:tcW w:w="1601" w:type="dxa"/>
            <w:vAlign w:val="center"/>
          </w:tcPr>
          <w:p w14:paraId="00961AB5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93.1%</w:t>
            </w:r>
          </w:p>
        </w:tc>
      </w:tr>
      <w:tr w:rsidR="004E7B57" w:rsidRPr="00F60797" w14:paraId="1AB4EAB2" w14:textId="77777777" w:rsidTr="00E8661C">
        <w:trPr>
          <w:trHeight w:val="576"/>
          <w:jc w:val="center"/>
        </w:trPr>
        <w:tc>
          <w:tcPr>
            <w:tcW w:w="1345" w:type="dxa"/>
            <w:vAlign w:val="center"/>
          </w:tcPr>
          <w:p w14:paraId="0E957DFD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MJ 7-1</w:t>
            </w:r>
          </w:p>
        </w:tc>
        <w:tc>
          <w:tcPr>
            <w:tcW w:w="1601" w:type="dxa"/>
            <w:vAlign w:val="center"/>
          </w:tcPr>
          <w:p w14:paraId="180F19FB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3,194.3</w:t>
            </w:r>
          </w:p>
        </w:tc>
        <w:tc>
          <w:tcPr>
            <w:tcW w:w="1601" w:type="dxa"/>
            <w:vAlign w:val="center"/>
          </w:tcPr>
          <w:p w14:paraId="166483D2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11.7</w:t>
            </w:r>
          </w:p>
        </w:tc>
        <w:tc>
          <w:tcPr>
            <w:tcW w:w="1601" w:type="dxa"/>
            <w:vAlign w:val="center"/>
          </w:tcPr>
          <w:p w14:paraId="2921D204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121,220</w:t>
            </w:r>
          </w:p>
        </w:tc>
        <w:tc>
          <w:tcPr>
            <w:tcW w:w="1601" w:type="dxa"/>
            <w:vAlign w:val="center"/>
          </w:tcPr>
          <w:p w14:paraId="1182A08F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6,220</w:t>
            </w:r>
          </w:p>
        </w:tc>
        <w:tc>
          <w:tcPr>
            <w:tcW w:w="1601" w:type="dxa"/>
            <w:vAlign w:val="center"/>
          </w:tcPr>
          <w:p w14:paraId="5B565983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94.5%</w:t>
            </w:r>
          </w:p>
        </w:tc>
      </w:tr>
      <w:tr w:rsidR="004E7B57" w:rsidRPr="00F60797" w14:paraId="738319E6" w14:textId="77777777" w:rsidTr="00E8661C">
        <w:trPr>
          <w:trHeight w:val="576"/>
          <w:jc w:val="center"/>
        </w:trPr>
        <w:tc>
          <w:tcPr>
            <w:tcW w:w="1345" w:type="dxa"/>
            <w:vAlign w:val="center"/>
          </w:tcPr>
          <w:p w14:paraId="299C6045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MJ 8-1</w:t>
            </w:r>
          </w:p>
        </w:tc>
        <w:tc>
          <w:tcPr>
            <w:tcW w:w="1601" w:type="dxa"/>
            <w:vAlign w:val="center"/>
          </w:tcPr>
          <w:p w14:paraId="6F25F3FB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3,029.8</w:t>
            </w:r>
          </w:p>
        </w:tc>
        <w:tc>
          <w:tcPr>
            <w:tcW w:w="1601" w:type="dxa"/>
            <w:vAlign w:val="center"/>
          </w:tcPr>
          <w:p w14:paraId="1E0DD7E0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11.2</w:t>
            </w:r>
          </w:p>
        </w:tc>
        <w:tc>
          <w:tcPr>
            <w:tcW w:w="1601" w:type="dxa"/>
            <w:vAlign w:val="center"/>
          </w:tcPr>
          <w:p w14:paraId="141F713D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14,365</w:t>
            </w:r>
          </w:p>
        </w:tc>
        <w:tc>
          <w:tcPr>
            <w:tcW w:w="1601" w:type="dxa"/>
            <w:vAlign w:val="center"/>
          </w:tcPr>
          <w:p w14:paraId="1547E1DE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5,515</w:t>
            </w:r>
          </w:p>
        </w:tc>
        <w:tc>
          <w:tcPr>
            <w:tcW w:w="1601" w:type="dxa"/>
            <w:vAlign w:val="center"/>
          </w:tcPr>
          <w:p w14:paraId="01B0B7AD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87.1%</w:t>
            </w:r>
          </w:p>
        </w:tc>
      </w:tr>
      <w:tr w:rsidR="004E7B57" w:rsidRPr="00F60797" w14:paraId="7E186EF3" w14:textId="77777777" w:rsidTr="00E8661C">
        <w:trPr>
          <w:trHeight w:val="576"/>
          <w:jc w:val="center"/>
        </w:trPr>
        <w:tc>
          <w:tcPr>
            <w:tcW w:w="1345" w:type="dxa"/>
            <w:vAlign w:val="center"/>
          </w:tcPr>
          <w:p w14:paraId="0785734A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MJ 9-1</w:t>
            </w:r>
          </w:p>
        </w:tc>
        <w:tc>
          <w:tcPr>
            <w:tcW w:w="1601" w:type="dxa"/>
            <w:vAlign w:val="center"/>
          </w:tcPr>
          <w:p w14:paraId="25A48320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2,777.8</w:t>
            </w:r>
          </w:p>
        </w:tc>
        <w:tc>
          <w:tcPr>
            <w:tcW w:w="1601" w:type="dxa"/>
            <w:vAlign w:val="center"/>
          </w:tcPr>
          <w:p w14:paraId="334720AB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11.1</w:t>
            </w:r>
          </w:p>
        </w:tc>
        <w:tc>
          <w:tcPr>
            <w:tcW w:w="1601" w:type="dxa"/>
            <w:vAlign w:val="center"/>
          </w:tcPr>
          <w:p w14:paraId="4ABD02E2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73,436</w:t>
            </w:r>
          </w:p>
        </w:tc>
        <w:tc>
          <w:tcPr>
            <w:tcW w:w="1601" w:type="dxa"/>
            <w:vAlign w:val="center"/>
          </w:tcPr>
          <w:p w14:paraId="50246BDF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6,645</w:t>
            </w:r>
          </w:p>
        </w:tc>
        <w:tc>
          <w:tcPr>
            <w:tcW w:w="1601" w:type="dxa"/>
            <w:vAlign w:val="center"/>
          </w:tcPr>
          <w:p w14:paraId="204B26B3" w14:textId="77777777" w:rsidR="004E7B57" w:rsidRPr="00F60797" w:rsidRDefault="004E7B57" w:rsidP="00E8661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60797">
              <w:rPr>
                <w:sz w:val="22"/>
                <w:szCs w:val="22"/>
              </w:rPr>
              <w:t>85.0%</w:t>
            </w:r>
          </w:p>
        </w:tc>
      </w:tr>
    </w:tbl>
    <w:p w14:paraId="0A655CE3" w14:textId="77777777" w:rsidR="004E7B57" w:rsidRPr="00F60797" w:rsidRDefault="004E7B57" w:rsidP="004E7B57">
      <w:pPr>
        <w:spacing w:line="480" w:lineRule="auto"/>
        <w:jc w:val="both"/>
      </w:pPr>
    </w:p>
    <w:p w14:paraId="6DA926A3" w14:textId="77777777" w:rsidR="004E7B57" w:rsidRPr="00D61FB8" w:rsidRDefault="004E7B57" w:rsidP="004E7B57">
      <w:pPr>
        <w:spacing w:line="480" w:lineRule="auto"/>
        <w:jc w:val="both"/>
        <w:rPr>
          <w:b/>
          <w:bCs/>
          <w:lang w:val="en-US"/>
        </w:rPr>
      </w:pPr>
      <w:r w:rsidRPr="00D61FB8">
        <w:rPr>
          <w:b/>
          <w:bCs/>
          <w:lang w:val="en-US"/>
        </w:rPr>
        <w:t>Q-score distributions (Nanoplot)</w:t>
      </w:r>
    </w:p>
    <w:p w14:paraId="0D3C2192" w14:textId="77777777" w:rsidR="004E7B57" w:rsidRPr="00D61FB8" w:rsidRDefault="004E7B57" w:rsidP="004E7B57">
      <w:pPr>
        <w:spacing w:line="480" w:lineRule="auto"/>
        <w:jc w:val="both"/>
        <w:rPr>
          <w:lang w:val="en-US"/>
        </w:rPr>
      </w:pPr>
    </w:p>
    <w:p w14:paraId="56E0964F" w14:textId="77777777" w:rsidR="004E7B57" w:rsidRPr="00F60797" w:rsidRDefault="004E7B57" w:rsidP="004E7B57">
      <w:pPr>
        <w:spacing w:line="480" w:lineRule="auto"/>
        <w:jc w:val="both"/>
      </w:pPr>
      <w:r w:rsidRPr="00F60797">
        <w:t>MJ 1-1</w:t>
      </w:r>
    </w:p>
    <w:p w14:paraId="00F33E5A" w14:textId="77777777" w:rsidR="004E7B57" w:rsidRPr="00F60797" w:rsidRDefault="004E7B57" w:rsidP="004E7B57">
      <w:pPr>
        <w:spacing w:line="480" w:lineRule="auto"/>
        <w:jc w:val="both"/>
      </w:pPr>
      <w:r w:rsidRPr="00F60797">
        <w:rPr>
          <w:noProof/>
        </w:rPr>
        <w:drawing>
          <wp:inline distT="0" distB="0" distL="0" distR="0" wp14:anchorId="20C5335E" wp14:editId="4850660E">
            <wp:extent cx="5585012" cy="2362293"/>
            <wp:effectExtent l="0" t="0" r="3175" b="0"/>
            <wp:docPr id="6" name="Picture 6" descr="A graph with green and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with green and blue dot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98619" cy="236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BBA85" w14:textId="77777777" w:rsidR="004E7B57" w:rsidRPr="00F60797" w:rsidRDefault="004E7B57" w:rsidP="004E7B57">
      <w:pPr>
        <w:spacing w:line="480" w:lineRule="auto"/>
        <w:jc w:val="both"/>
      </w:pPr>
    </w:p>
    <w:p w14:paraId="6D1F4027" w14:textId="77777777" w:rsidR="004E7B57" w:rsidRPr="00F60797" w:rsidRDefault="004E7B57" w:rsidP="004E7B57">
      <w:pPr>
        <w:spacing w:line="480" w:lineRule="auto"/>
        <w:jc w:val="both"/>
      </w:pPr>
      <w:r w:rsidRPr="00F60797">
        <w:t>MJ 5-2</w:t>
      </w:r>
    </w:p>
    <w:p w14:paraId="62ED1A94" w14:textId="77777777" w:rsidR="004E7B57" w:rsidRPr="00F60797" w:rsidRDefault="004E7B57" w:rsidP="004E7B57">
      <w:pPr>
        <w:spacing w:line="480" w:lineRule="auto"/>
        <w:jc w:val="both"/>
      </w:pPr>
      <w:r w:rsidRPr="00F60797">
        <w:rPr>
          <w:noProof/>
        </w:rPr>
        <w:lastRenderedPageBreak/>
        <w:drawing>
          <wp:inline distT="0" distB="0" distL="0" distR="0" wp14:anchorId="4F68024F" wp14:editId="642D8356">
            <wp:extent cx="5226424" cy="2213413"/>
            <wp:effectExtent l="0" t="0" r="0" b="0"/>
            <wp:docPr id="7" name="Picture 7" descr="A graph showing a number of green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showing a number of green dots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6558" cy="22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1927B" w14:textId="77777777" w:rsidR="004E7B57" w:rsidRPr="00F60797" w:rsidRDefault="004E7B57" w:rsidP="004E7B57">
      <w:pPr>
        <w:spacing w:line="480" w:lineRule="auto"/>
        <w:jc w:val="both"/>
      </w:pPr>
      <w:r w:rsidRPr="00F60797">
        <w:t>MJ 7-1</w:t>
      </w:r>
    </w:p>
    <w:p w14:paraId="4BFD560B" w14:textId="77777777" w:rsidR="004E7B57" w:rsidRPr="00F60797" w:rsidRDefault="004E7B57" w:rsidP="004E7B57">
      <w:pPr>
        <w:spacing w:line="480" w:lineRule="auto"/>
        <w:jc w:val="both"/>
      </w:pPr>
    </w:p>
    <w:p w14:paraId="50DACA46" w14:textId="77777777" w:rsidR="004E7B57" w:rsidRPr="00F60797" w:rsidRDefault="004E7B57" w:rsidP="004E7B57">
      <w:pPr>
        <w:spacing w:line="480" w:lineRule="auto"/>
        <w:jc w:val="both"/>
      </w:pPr>
      <w:r w:rsidRPr="00F60797">
        <w:rPr>
          <w:noProof/>
        </w:rPr>
        <w:drawing>
          <wp:inline distT="0" distB="0" distL="0" distR="0" wp14:anchorId="41147700" wp14:editId="4925FF09">
            <wp:extent cx="5943600" cy="2195830"/>
            <wp:effectExtent l="0" t="0" r="0" b="1270"/>
            <wp:docPr id="5" name="Picture 5" descr="A graph showing a number of green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showing a number of green dots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EB6F1" w14:textId="77777777" w:rsidR="004E7B57" w:rsidRPr="00F60797" w:rsidRDefault="004E7B57" w:rsidP="004E7B57">
      <w:pPr>
        <w:spacing w:line="480" w:lineRule="auto"/>
        <w:jc w:val="both"/>
      </w:pPr>
      <w:r w:rsidRPr="00F60797">
        <w:t>MJ 8-1</w:t>
      </w:r>
    </w:p>
    <w:p w14:paraId="220D41C0" w14:textId="77777777" w:rsidR="004E7B57" w:rsidRPr="00F60797" w:rsidRDefault="004E7B57" w:rsidP="004E7B57">
      <w:pPr>
        <w:spacing w:line="480" w:lineRule="auto"/>
        <w:jc w:val="both"/>
      </w:pPr>
      <w:r w:rsidRPr="00F60797">
        <w:rPr>
          <w:noProof/>
        </w:rPr>
        <w:drawing>
          <wp:inline distT="0" distB="0" distL="0" distR="0" wp14:anchorId="51B5D369" wp14:editId="477C4680">
            <wp:extent cx="5943600" cy="2512695"/>
            <wp:effectExtent l="0" t="0" r="0" b="1905"/>
            <wp:docPr id="8" name="Picture 8" descr="A graph with green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aph with green dot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02283" w14:textId="77777777" w:rsidR="004E7B57" w:rsidRPr="00F60797" w:rsidRDefault="004E7B57" w:rsidP="004E7B57">
      <w:pPr>
        <w:spacing w:line="480" w:lineRule="auto"/>
        <w:jc w:val="both"/>
        <w:rPr>
          <w:lang w:val="sv-SE"/>
        </w:rPr>
      </w:pPr>
      <w:r w:rsidRPr="00F60797">
        <w:rPr>
          <w:lang w:val="sv-SE"/>
        </w:rPr>
        <w:lastRenderedPageBreak/>
        <w:t>MJ 9-1</w:t>
      </w:r>
    </w:p>
    <w:p w14:paraId="2758EB89" w14:textId="77777777" w:rsidR="004E7B57" w:rsidRPr="00F60797" w:rsidRDefault="004E7B57" w:rsidP="004E7B57">
      <w:pPr>
        <w:spacing w:line="480" w:lineRule="auto"/>
        <w:jc w:val="both"/>
        <w:rPr>
          <w:lang w:val="sv-SE"/>
        </w:rPr>
      </w:pPr>
    </w:p>
    <w:p w14:paraId="1950A8A2" w14:textId="77777777" w:rsidR="004E7B57" w:rsidRPr="00F60797" w:rsidRDefault="004E7B57" w:rsidP="004E7B57">
      <w:pPr>
        <w:spacing w:line="480" w:lineRule="auto"/>
        <w:jc w:val="both"/>
        <w:rPr>
          <w:lang w:val="sv-SE"/>
        </w:rPr>
      </w:pPr>
      <w:r w:rsidRPr="00F60797">
        <w:rPr>
          <w:noProof/>
        </w:rPr>
        <w:drawing>
          <wp:inline distT="0" distB="0" distL="0" distR="0" wp14:anchorId="05A970CC" wp14:editId="505902D9">
            <wp:extent cx="5943600" cy="2245360"/>
            <wp:effectExtent l="0" t="0" r="0" b="2540"/>
            <wp:docPr id="9" name="Picture 9" descr="A graph showing the difference between average read quality and average read qual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aph showing the difference between average read quality and average read quality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21BBA" w14:textId="77777777" w:rsidR="004E7B57" w:rsidRPr="00F60797" w:rsidRDefault="004E7B57" w:rsidP="004E7B57">
      <w:pPr>
        <w:spacing w:line="480" w:lineRule="auto"/>
        <w:jc w:val="both"/>
      </w:pPr>
    </w:p>
    <w:p w14:paraId="3CCE9659" w14:textId="77777777" w:rsidR="004E7B57" w:rsidRPr="00F60797" w:rsidRDefault="004E7B57" w:rsidP="004E7B57">
      <w:pPr>
        <w:spacing w:line="480" w:lineRule="auto"/>
        <w:jc w:val="both"/>
      </w:pPr>
    </w:p>
    <w:p w14:paraId="06848098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57"/>
    <w:rsid w:val="001C76BA"/>
    <w:rsid w:val="004E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FB2FC"/>
  <w15:chartTrackingRefBased/>
  <w15:docId w15:val="{AAC3A4DC-151B-4DAD-9715-39AA3888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B57"/>
    <w:pPr>
      <w:spacing w:after="0" w:line="276" w:lineRule="auto"/>
    </w:pPr>
    <w:rPr>
      <w:rFonts w:ascii="Arial" w:eastAsia="Arial" w:hAnsi="Arial" w:cs="Arial"/>
      <w:kern w:val="0"/>
      <w:lang w:val="e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B5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</Words>
  <Characters>810</Characters>
  <Application>Microsoft Office Word</Application>
  <DocSecurity>0</DocSecurity>
  <Lines>6</Lines>
  <Paragraphs>1</Paragraphs>
  <ScaleCrop>false</ScaleCrop>
  <Company>SpringerNature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2024-05-10T15:35:00Z</dcterms:created>
  <dcterms:modified xsi:type="dcterms:W3CDTF">2024-05-10T15:36:00Z</dcterms:modified>
</cp:coreProperties>
</file>