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1CA25" w14:textId="77777777" w:rsidR="00827E9C" w:rsidRDefault="00827E9C" w:rsidP="00991A6C">
      <w:pPr>
        <w:keepNext/>
        <w:keepLines/>
        <w:spacing w:after="216" w:line="265" w:lineRule="auto"/>
        <w:ind w:left="-5" w:hanging="10"/>
        <w:outlineLvl w:val="0"/>
        <w:rPr>
          <w:rFonts w:ascii="Cambria" w:eastAsia="Cambria" w:hAnsi="Cambria" w:cs="Cambria"/>
          <w:b/>
          <w:color w:val="000000"/>
          <w:sz w:val="20"/>
          <w:szCs w:val="24"/>
        </w:rPr>
      </w:pPr>
    </w:p>
    <w:p w14:paraId="234751EA" w14:textId="15EBBB6C" w:rsidR="00991A6C" w:rsidRPr="00991A6C" w:rsidRDefault="00387FC8" w:rsidP="00991A6C">
      <w:pPr>
        <w:keepNext/>
        <w:keepLines/>
        <w:spacing w:after="216" w:line="265" w:lineRule="auto"/>
        <w:ind w:left="-5" w:hanging="10"/>
        <w:outlineLvl w:val="0"/>
        <w:rPr>
          <w:rFonts w:ascii="Cambria" w:eastAsia="Cambria" w:hAnsi="Cambria" w:cs="Cambria"/>
          <w:b/>
          <w:color w:val="000000"/>
          <w:sz w:val="20"/>
          <w:szCs w:val="24"/>
        </w:rPr>
      </w:pPr>
      <w:r>
        <w:rPr>
          <w:rFonts w:ascii="Cambria" w:eastAsia="Cambria" w:hAnsi="Cambria" w:cs="Cambria"/>
          <w:b/>
          <w:color w:val="000000"/>
          <w:sz w:val="20"/>
          <w:szCs w:val="24"/>
        </w:rPr>
        <w:t>Supplementary</w:t>
      </w:r>
      <w:r w:rsidR="00991A6C" w:rsidRPr="00991A6C">
        <w:rPr>
          <w:rFonts w:ascii="Cambria" w:eastAsia="Cambria" w:hAnsi="Cambria" w:cs="Cambria"/>
          <w:b/>
          <w:color w:val="000000"/>
          <w:sz w:val="20"/>
          <w:szCs w:val="24"/>
        </w:rPr>
        <w:t xml:space="preserve"> Note 2. Langmuir Probe and RF Power Meter Diagnostics of the Plasma</w:t>
      </w:r>
    </w:p>
    <w:p w14:paraId="021E4A24" w14:textId="77777777" w:rsidR="00991A6C" w:rsidRPr="00991A6C" w:rsidRDefault="00991A6C" w:rsidP="00991A6C">
      <w:pPr>
        <w:spacing w:after="114" w:line="317" w:lineRule="auto"/>
        <w:ind w:left="-5" w:right="8" w:hanging="10"/>
        <w:jc w:val="both"/>
        <w:rPr>
          <w:rFonts w:ascii="Cambria" w:eastAsia="Cambria" w:hAnsi="Cambria" w:cs="Cambria"/>
          <w:color w:val="000000"/>
          <w:sz w:val="20"/>
          <w:szCs w:val="24"/>
        </w:rPr>
      </w:pPr>
      <w:r w:rsidRPr="00991A6C">
        <w:rPr>
          <w:rFonts w:ascii="Cambria" w:eastAsia="Cambria" w:hAnsi="Cambria" w:cs="Cambria"/>
          <w:color w:val="000000"/>
          <w:sz w:val="20"/>
          <w:szCs w:val="24"/>
        </w:rPr>
        <w:t>Electrical measurements of the RF matching network are necessary to calculate the electron density. An RF power probe (</w:t>
      </w:r>
      <w:proofErr w:type="spellStart"/>
      <w:r w:rsidRPr="00991A6C">
        <w:rPr>
          <w:rFonts w:ascii="Cambria" w:eastAsia="Cambria" w:hAnsi="Cambria" w:cs="Cambria"/>
          <w:color w:val="000000"/>
          <w:sz w:val="20"/>
          <w:szCs w:val="24"/>
        </w:rPr>
        <w:t>Octive</w:t>
      </w:r>
      <w:proofErr w:type="spellEnd"/>
      <w:r w:rsidRPr="00991A6C">
        <w:rPr>
          <w:rFonts w:ascii="Cambria" w:eastAsia="Cambria" w:hAnsi="Cambria" w:cs="Cambria"/>
          <w:color w:val="000000"/>
          <w:sz w:val="20"/>
          <w:szCs w:val="24"/>
        </w:rPr>
        <w:t xml:space="preserve"> Poly, </w:t>
      </w:r>
      <w:proofErr w:type="spellStart"/>
      <w:r w:rsidRPr="00991A6C">
        <w:rPr>
          <w:rFonts w:ascii="Cambria" w:eastAsia="Cambria" w:hAnsi="Cambria" w:cs="Cambria"/>
          <w:color w:val="000000"/>
          <w:sz w:val="20"/>
          <w:szCs w:val="24"/>
        </w:rPr>
        <w:t>Impedans</w:t>
      </w:r>
      <w:proofErr w:type="spellEnd"/>
      <w:r w:rsidRPr="00991A6C">
        <w:rPr>
          <w:rFonts w:ascii="Cambria" w:eastAsia="Cambria" w:hAnsi="Cambria" w:cs="Cambria"/>
          <w:color w:val="000000"/>
          <w:sz w:val="20"/>
          <w:szCs w:val="24"/>
        </w:rPr>
        <w:t xml:space="preserve"> Ltd.) was used to measure the discharge voltage with the plasma on at 100, 150 and 200 W. It was also measured at a power of 5 W when the plasma discharge was not activated which allowed for the subtraction of the stray impedance of the matching network. The plasma resistance for each case was calculated using the equivalent circuit model from [26]. Then the electron density was calculated from the equation:</w:t>
      </w:r>
    </w:p>
    <w:p w14:paraId="5F0EE92B" w14:textId="77777777" w:rsidR="00991A6C" w:rsidRPr="00991A6C" w:rsidRDefault="00991A6C" w:rsidP="00991A6C">
      <w:pPr>
        <w:tabs>
          <w:tab w:val="center" w:pos="3471"/>
          <w:tab w:val="right" w:pos="6898"/>
        </w:tabs>
        <w:spacing w:after="74"/>
        <w:rPr>
          <w:rFonts w:ascii="Cambria" w:eastAsia="Cambria" w:hAnsi="Cambria" w:cs="Cambria"/>
          <w:color w:val="000000"/>
          <w:sz w:val="20"/>
          <w:szCs w:val="24"/>
        </w:rPr>
      </w:pPr>
      <w:r w:rsidRPr="00991A6C">
        <w:rPr>
          <w:rFonts w:ascii="Calibri" w:eastAsia="Calibri" w:hAnsi="Calibri" w:cs="Calibri"/>
          <w:color w:val="000000"/>
          <w:szCs w:val="24"/>
        </w:rPr>
        <w:tab/>
      </w:r>
      <w:r w:rsidRPr="00991A6C">
        <w:rPr>
          <w:rFonts w:ascii="Cambria" w:eastAsia="Cambria" w:hAnsi="Cambria" w:cs="Cambria"/>
          <w:noProof/>
          <w:color w:val="000000"/>
          <w:sz w:val="20"/>
          <w:szCs w:val="24"/>
        </w:rPr>
        <w:drawing>
          <wp:inline distT="0" distB="0" distL="0" distR="0" wp14:anchorId="16EA132D" wp14:editId="2CEE560D">
            <wp:extent cx="752856" cy="301752"/>
            <wp:effectExtent l="0" t="0" r="0" b="0"/>
            <wp:docPr id="50184" name="Picture 50184"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0184" name="Picture 50184" descr="A black background with a black square&#10;&#10;Description automatically generated with medium confidence"/>
                    <pic:cNvPicPr/>
                  </pic:nvPicPr>
                  <pic:blipFill>
                    <a:blip r:embed="rId6"/>
                    <a:stretch>
                      <a:fillRect/>
                    </a:stretch>
                  </pic:blipFill>
                  <pic:spPr>
                    <a:xfrm>
                      <a:off x="0" y="0"/>
                      <a:ext cx="752856" cy="301752"/>
                    </a:xfrm>
                    <a:prstGeom prst="rect">
                      <a:avLst/>
                    </a:prstGeom>
                  </pic:spPr>
                </pic:pic>
              </a:graphicData>
            </a:graphic>
          </wp:inline>
        </w:drawing>
      </w:r>
      <w:r w:rsidRPr="00991A6C">
        <w:rPr>
          <w:rFonts w:ascii="Cambria" w:eastAsia="Cambria" w:hAnsi="Cambria" w:cs="Cambria"/>
          <w:color w:val="000000"/>
          <w:sz w:val="20"/>
          <w:szCs w:val="24"/>
        </w:rPr>
        <w:tab/>
        <w:t>(3)</w:t>
      </w:r>
    </w:p>
    <w:p w14:paraId="5A140943" w14:textId="77777777" w:rsidR="00991A6C" w:rsidRPr="00991A6C" w:rsidRDefault="00991A6C" w:rsidP="00991A6C">
      <w:pPr>
        <w:spacing w:after="165" w:line="317" w:lineRule="auto"/>
        <w:ind w:left="-5" w:right="8" w:hanging="10"/>
        <w:jc w:val="both"/>
        <w:rPr>
          <w:rFonts w:ascii="Cambria" w:eastAsia="Cambria" w:hAnsi="Cambria" w:cs="Cambria"/>
          <w:color w:val="000000"/>
          <w:sz w:val="20"/>
          <w:szCs w:val="24"/>
        </w:rPr>
      </w:pPr>
      <w:r w:rsidRPr="00991A6C">
        <w:rPr>
          <w:rFonts w:ascii="Cambria" w:eastAsia="Cambria" w:hAnsi="Cambria" w:cs="Cambria"/>
          <w:color w:val="000000"/>
          <w:sz w:val="20"/>
          <w:szCs w:val="24"/>
        </w:rPr>
        <w:t xml:space="preserve">where d is the electrode distance, A is the reactor cross-sectional area, e is the elementary charge, </w:t>
      </w:r>
      <w:r w:rsidRPr="00991A6C">
        <w:rPr>
          <w:rFonts w:ascii="Cambria" w:eastAsia="Cambria" w:hAnsi="Cambria" w:cs="Cambria"/>
          <w:i/>
          <w:color w:val="000000"/>
          <w:sz w:val="20"/>
          <w:szCs w:val="24"/>
        </w:rPr>
        <w:t>µ</w:t>
      </w:r>
      <w:r w:rsidRPr="00991A6C">
        <w:rPr>
          <w:rFonts w:ascii="Cambria" w:eastAsia="Cambria" w:hAnsi="Cambria" w:cs="Cambria"/>
          <w:i/>
          <w:color w:val="000000"/>
          <w:sz w:val="20"/>
          <w:szCs w:val="24"/>
          <w:vertAlign w:val="subscript"/>
        </w:rPr>
        <w:t xml:space="preserve">e </w:t>
      </w:r>
      <w:r w:rsidRPr="00991A6C">
        <w:rPr>
          <w:rFonts w:ascii="Cambria" w:eastAsia="Cambria" w:hAnsi="Cambria" w:cs="Cambria"/>
          <w:color w:val="000000"/>
          <w:sz w:val="20"/>
          <w:szCs w:val="24"/>
        </w:rPr>
        <w:t xml:space="preserve">is the electron mobility, and </w:t>
      </w:r>
      <w:r w:rsidRPr="00991A6C">
        <w:rPr>
          <w:rFonts w:ascii="Cambria" w:eastAsia="Cambria" w:hAnsi="Cambria" w:cs="Cambria"/>
          <w:i/>
          <w:color w:val="000000"/>
          <w:sz w:val="20"/>
          <w:szCs w:val="24"/>
        </w:rPr>
        <w:t>R</w:t>
      </w:r>
      <w:r w:rsidRPr="00991A6C">
        <w:rPr>
          <w:rFonts w:ascii="Cambria" w:eastAsia="Cambria" w:hAnsi="Cambria" w:cs="Cambria"/>
          <w:i/>
          <w:color w:val="000000"/>
          <w:sz w:val="20"/>
          <w:szCs w:val="24"/>
          <w:vertAlign w:val="subscript"/>
        </w:rPr>
        <w:t xml:space="preserve">p </w:t>
      </w:r>
      <w:r w:rsidRPr="00991A6C">
        <w:rPr>
          <w:rFonts w:ascii="Cambria" w:eastAsia="Cambria" w:hAnsi="Cambria" w:cs="Cambria"/>
          <w:color w:val="000000"/>
          <w:sz w:val="20"/>
          <w:szCs w:val="24"/>
        </w:rPr>
        <w:t>is the plasma resistance [27]. The results are shown in Figure 12.</w:t>
      </w:r>
    </w:p>
    <w:p w14:paraId="4DB43CBC" w14:textId="77777777" w:rsidR="00991A6C" w:rsidRPr="00991A6C" w:rsidRDefault="00991A6C" w:rsidP="00991A6C">
      <w:pPr>
        <w:spacing w:after="122"/>
        <w:ind w:left="1073"/>
        <w:rPr>
          <w:rFonts w:ascii="Cambria" w:eastAsia="Cambria" w:hAnsi="Cambria" w:cs="Cambria"/>
          <w:color w:val="000000"/>
          <w:sz w:val="20"/>
          <w:szCs w:val="24"/>
        </w:rPr>
      </w:pPr>
      <w:r w:rsidRPr="00991A6C">
        <w:rPr>
          <w:rFonts w:ascii="Cambria" w:eastAsia="Cambria" w:hAnsi="Cambria" w:cs="Cambria"/>
          <w:noProof/>
          <w:color w:val="000000"/>
          <w:sz w:val="20"/>
          <w:szCs w:val="24"/>
        </w:rPr>
        <w:drawing>
          <wp:inline distT="0" distB="0" distL="0" distR="0" wp14:anchorId="4E680D1C" wp14:editId="08CBC397">
            <wp:extent cx="2959608" cy="2295144"/>
            <wp:effectExtent l="0" t="0" r="0" b="0"/>
            <wp:docPr id="50187" name="Picture 50187" descr="A diagram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0187" name="Picture 50187" descr="A diagram of a graph&#10;&#10;Description automatically generated with medium confidence"/>
                    <pic:cNvPicPr/>
                  </pic:nvPicPr>
                  <pic:blipFill>
                    <a:blip r:embed="rId7"/>
                    <a:stretch>
                      <a:fillRect/>
                    </a:stretch>
                  </pic:blipFill>
                  <pic:spPr>
                    <a:xfrm>
                      <a:off x="0" y="0"/>
                      <a:ext cx="2959608" cy="2295144"/>
                    </a:xfrm>
                    <a:prstGeom prst="rect">
                      <a:avLst/>
                    </a:prstGeom>
                  </pic:spPr>
                </pic:pic>
              </a:graphicData>
            </a:graphic>
          </wp:inline>
        </w:drawing>
      </w:r>
    </w:p>
    <w:p w14:paraId="168AD9A2" w14:textId="77777777" w:rsidR="00991A6C" w:rsidRPr="00991A6C" w:rsidRDefault="00991A6C" w:rsidP="00991A6C">
      <w:pPr>
        <w:spacing w:after="309" w:line="307" w:lineRule="auto"/>
        <w:ind w:left="-5" w:right="8" w:hanging="10"/>
        <w:jc w:val="both"/>
        <w:rPr>
          <w:rFonts w:ascii="Cambria" w:eastAsia="Cambria" w:hAnsi="Cambria" w:cs="Cambria"/>
          <w:color w:val="000000"/>
          <w:sz w:val="20"/>
          <w:szCs w:val="24"/>
        </w:rPr>
      </w:pPr>
      <w:r w:rsidRPr="00991A6C">
        <w:rPr>
          <w:rFonts w:ascii="Cambria" w:eastAsia="Cambria" w:hAnsi="Cambria" w:cs="Cambria"/>
          <w:color w:val="000000"/>
          <w:sz w:val="16"/>
          <w:szCs w:val="24"/>
        </w:rPr>
        <w:t xml:space="preserve">Figure 12: RF power meter results </w:t>
      </w:r>
      <w:proofErr w:type="spellStart"/>
      <w:r w:rsidRPr="00991A6C">
        <w:rPr>
          <w:rFonts w:ascii="Cambria" w:eastAsia="Cambria" w:hAnsi="Cambria" w:cs="Cambria"/>
          <w:color w:val="000000"/>
          <w:sz w:val="16"/>
          <w:szCs w:val="24"/>
        </w:rPr>
        <w:t>results</w:t>
      </w:r>
      <w:proofErr w:type="spellEnd"/>
      <w:r w:rsidRPr="00991A6C">
        <w:rPr>
          <w:rFonts w:ascii="Cambria" w:eastAsia="Cambria" w:hAnsi="Cambria" w:cs="Cambria"/>
          <w:color w:val="000000"/>
          <w:sz w:val="16"/>
          <w:szCs w:val="24"/>
        </w:rPr>
        <w:t>. Electron density for alternate pressures and gas mixture ratios.</w:t>
      </w:r>
    </w:p>
    <w:p w14:paraId="67CBCD74" w14:textId="77777777" w:rsidR="00991A6C" w:rsidRPr="00991A6C" w:rsidRDefault="00991A6C" w:rsidP="00991A6C">
      <w:pPr>
        <w:spacing w:after="165" w:line="317" w:lineRule="auto"/>
        <w:ind w:left="-5" w:right="8" w:hanging="10"/>
        <w:jc w:val="both"/>
        <w:rPr>
          <w:rFonts w:ascii="Cambria" w:eastAsia="Cambria" w:hAnsi="Cambria" w:cs="Cambria"/>
          <w:color w:val="000000"/>
          <w:sz w:val="20"/>
          <w:szCs w:val="24"/>
        </w:rPr>
      </w:pPr>
      <w:r w:rsidRPr="00991A6C">
        <w:rPr>
          <w:rFonts w:ascii="Cambria" w:eastAsia="Cambria" w:hAnsi="Cambria" w:cs="Cambria"/>
          <w:color w:val="000000"/>
          <w:sz w:val="20"/>
          <w:szCs w:val="24"/>
        </w:rPr>
        <w:t xml:space="preserve">A double </w:t>
      </w:r>
      <w:proofErr w:type="spellStart"/>
      <w:r w:rsidRPr="00991A6C">
        <w:rPr>
          <w:rFonts w:ascii="Cambria" w:eastAsia="Cambria" w:hAnsi="Cambria" w:cs="Cambria"/>
          <w:color w:val="000000"/>
          <w:sz w:val="20"/>
          <w:szCs w:val="24"/>
        </w:rPr>
        <w:t>langmuir</w:t>
      </w:r>
      <w:proofErr w:type="spellEnd"/>
      <w:r w:rsidRPr="00991A6C">
        <w:rPr>
          <w:rFonts w:ascii="Cambria" w:eastAsia="Cambria" w:hAnsi="Cambria" w:cs="Cambria"/>
          <w:color w:val="000000"/>
          <w:sz w:val="20"/>
          <w:szCs w:val="24"/>
        </w:rPr>
        <w:t xml:space="preserve"> probe was used to measure the electron temperature, </w:t>
      </w:r>
      <w:proofErr w:type="spellStart"/>
      <w:r w:rsidRPr="00991A6C">
        <w:rPr>
          <w:rFonts w:ascii="Cambria" w:eastAsia="Cambria" w:hAnsi="Cambria" w:cs="Cambria"/>
          <w:color w:val="000000"/>
          <w:sz w:val="20"/>
          <w:szCs w:val="24"/>
        </w:rPr>
        <w:t>T</w:t>
      </w:r>
      <w:r w:rsidRPr="00991A6C">
        <w:rPr>
          <w:rFonts w:ascii="Cambria" w:eastAsia="Cambria" w:hAnsi="Cambria" w:cs="Cambria"/>
          <w:i/>
          <w:color w:val="000000"/>
          <w:sz w:val="20"/>
          <w:szCs w:val="24"/>
          <w:vertAlign w:val="subscript"/>
        </w:rPr>
        <w:t>e</w:t>
      </w:r>
      <w:proofErr w:type="spellEnd"/>
      <w:r w:rsidRPr="00991A6C">
        <w:rPr>
          <w:rFonts w:ascii="Cambria" w:eastAsia="Cambria" w:hAnsi="Cambria" w:cs="Cambria"/>
          <w:color w:val="000000"/>
          <w:sz w:val="20"/>
          <w:szCs w:val="24"/>
        </w:rPr>
        <w:t xml:space="preserve">, ion density, </w:t>
      </w:r>
      <w:proofErr w:type="spellStart"/>
      <w:r w:rsidRPr="00991A6C">
        <w:rPr>
          <w:rFonts w:ascii="Cambria" w:eastAsia="Cambria" w:hAnsi="Cambria" w:cs="Cambria"/>
          <w:color w:val="000000"/>
          <w:sz w:val="20"/>
          <w:szCs w:val="24"/>
        </w:rPr>
        <w:t>n</w:t>
      </w:r>
      <w:r w:rsidRPr="00991A6C">
        <w:rPr>
          <w:rFonts w:ascii="Cambria" w:eastAsia="Cambria" w:hAnsi="Cambria" w:cs="Cambria"/>
          <w:i/>
          <w:color w:val="000000"/>
          <w:sz w:val="20"/>
          <w:szCs w:val="24"/>
          <w:vertAlign w:val="subscript"/>
        </w:rPr>
        <w:t>i</w:t>
      </w:r>
      <w:proofErr w:type="spellEnd"/>
      <w:r w:rsidRPr="00991A6C">
        <w:rPr>
          <w:rFonts w:ascii="Cambria" w:eastAsia="Cambria" w:hAnsi="Cambria" w:cs="Cambria"/>
          <w:color w:val="000000"/>
          <w:sz w:val="20"/>
          <w:szCs w:val="24"/>
        </w:rPr>
        <w:t xml:space="preserve">, and the </w:t>
      </w:r>
      <w:proofErr w:type="spellStart"/>
      <w:r w:rsidRPr="00991A6C">
        <w:rPr>
          <w:rFonts w:ascii="Cambria" w:eastAsia="Cambria" w:hAnsi="Cambria" w:cs="Cambria"/>
          <w:color w:val="000000"/>
          <w:sz w:val="20"/>
          <w:szCs w:val="24"/>
        </w:rPr>
        <w:t>debye</w:t>
      </w:r>
      <w:proofErr w:type="spellEnd"/>
      <w:r w:rsidRPr="00991A6C">
        <w:rPr>
          <w:rFonts w:ascii="Cambria" w:eastAsia="Cambria" w:hAnsi="Cambria" w:cs="Cambria"/>
          <w:color w:val="000000"/>
          <w:sz w:val="20"/>
          <w:szCs w:val="24"/>
        </w:rPr>
        <w:t xml:space="preserve"> length, </w:t>
      </w:r>
      <w:proofErr w:type="spellStart"/>
      <w:r w:rsidRPr="00991A6C">
        <w:rPr>
          <w:rFonts w:ascii="Cambria" w:eastAsia="Cambria" w:hAnsi="Cambria" w:cs="Cambria"/>
          <w:i/>
          <w:color w:val="000000"/>
          <w:sz w:val="20"/>
          <w:szCs w:val="24"/>
        </w:rPr>
        <w:t>λ</w:t>
      </w:r>
      <w:r w:rsidRPr="00991A6C">
        <w:rPr>
          <w:rFonts w:ascii="Cambria" w:eastAsia="Cambria" w:hAnsi="Cambria" w:cs="Cambria"/>
          <w:i/>
          <w:color w:val="000000"/>
          <w:sz w:val="20"/>
          <w:szCs w:val="24"/>
          <w:vertAlign w:val="subscript"/>
        </w:rPr>
        <w:t>D</w:t>
      </w:r>
      <w:proofErr w:type="spellEnd"/>
      <w:r w:rsidRPr="00991A6C">
        <w:rPr>
          <w:rFonts w:ascii="Cambria" w:eastAsia="Cambria" w:hAnsi="Cambria" w:cs="Cambria"/>
          <w:color w:val="000000"/>
          <w:sz w:val="20"/>
          <w:szCs w:val="24"/>
        </w:rPr>
        <w:t>. The results are shown in Figure 13. Data was collected at two pressures, 1.9 and 2.7 kPa, and at two ratios of Ar/N</w:t>
      </w:r>
      <w:r w:rsidRPr="00991A6C">
        <w:rPr>
          <w:rFonts w:ascii="Cambria" w:eastAsia="Cambria" w:hAnsi="Cambria" w:cs="Cambria"/>
          <w:color w:val="000000"/>
          <w:sz w:val="20"/>
          <w:szCs w:val="24"/>
          <w:vertAlign w:val="subscript"/>
        </w:rPr>
        <w:t>2</w:t>
      </w:r>
      <w:r w:rsidRPr="00991A6C">
        <w:rPr>
          <w:rFonts w:ascii="Cambria" w:eastAsia="Cambria" w:hAnsi="Cambria" w:cs="Cambria"/>
          <w:color w:val="000000"/>
          <w:sz w:val="20"/>
          <w:szCs w:val="24"/>
        </w:rPr>
        <w:t>, 95/5 and 97.5/2.5. The plots in the right column of Figure 13 show the change in the plasma properties with the addition of nitric oxide.</w:t>
      </w:r>
    </w:p>
    <w:p w14:paraId="1095BE6D" w14:textId="77777777" w:rsidR="00991A6C" w:rsidRPr="00991A6C" w:rsidRDefault="00991A6C" w:rsidP="00991A6C">
      <w:pPr>
        <w:spacing w:after="127"/>
        <w:ind w:left="59"/>
        <w:rPr>
          <w:rFonts w:ascii="Cambria" w:eastAsia="Cambria" w:hAnsi="Cambria" w:cs="Cambria"/>
          <w:color w:val="000000"/>
          <w:sz w:val="20"/>
          <w:szCs w:val="24"/>
        </w:rPr>
      </w:pPr>
      <w:r w:rsidRPr="00991A6C">
        <w:rPr>
          <w:rFonts w:ascii="Cambria" w:eastAsia="Cambria" w:hAnsi="Cambria" w:cs="Cambria"/>
          <w:noProof/>
          <w:color w:val="000000"/>
          <w:sz w:val="20"/>
          <w:szCs w:val="24"/>
        </w:rPr>
        <w:lastRenderedPageBreak/>
        <w:drawing>
          <wp:inline distT="0" distB="0" distL="0" distR="0" wp14:anchorId="0C1B3839" wp14:editId="0B48974F">
            <wp:extent cx="4285488" cy="4172712"/>
            <wp:effectExtent l="0" t="0" r="0" b="0"/>
            <wp:docPr id="50189" name="Picture 50189"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50189" name="Picture 50189" descr="A screenshot of a graph&#10;&#10;Description automatically generated"/>
                    <pic:cNvPicPr/>
                  </pic:nvPicPr>
                  <pic:blipFill>
                    <a:blip r:embed="rId8"/>
                    <a:stretch>
                      <a:fillRect/>
                    </a:stretch>
                  </pic:blipFill>
                  <pic:spPr>
                    <a:xfrm>
                      <a:off x="0" y="0"/>
                      <a:ext cx="4285488" cy="4172712"/>
                    </a:xfrm>
                    <a:prstGeom prst="rect">
                      <a:avLst/>
                    </a:prstGeom>
                  </pic:spPr>
                </pic:pic>
              </a:graphicData>
            </a:graphic>
          </wp:inline>
        </w:drawing>
      </w:r>
    </w:p>
    <w:p w14:paraId="5BB7028F" w14:textId="77777777" w:rsidR="00991A6C" w:rsidRPr="00991A6C" w:rsidRDefault="00991A6C" w:rsidP="00991A6C">
      <w:pPr>
        <w:spacing w:after="3" w:line="307" w:lineRule="auto"/>
        <w:ind w:left="-5" w:right="8" w:hanging="10"/>
        <w:jc w:val="both"/>
        <w:rPr>
          <w:rFonts w:ascii="Cambria" w:eastAsia="Cambria" w:hAnsi="Cambria" w:cs="Cambria"/>
          <w:color w:val="000000"/>
          <w:sz w:val="20"/>
          <w:szCs w:val="24"/>
        </w:rPr>
      </w:pPr>
      <w:r w:rsidRPr="00991A6C">
        <w:rPr>
          <w:rFonts w:ascii="Cambria" w:eastAsia="Cambria" w:hAnsi="Cambria" w:cs="Cambria"/>
          <w:color w:val="000000"/>
          <w:sz w:val="16"/>
          <w:szCs w:val="24"/>
        </w:rPr>
        <w:t xml:space="preserve">Figure 13: Langmuir probe results. Electron temperature, ion density, and </w:t>
      </w:r>
      <w:proofErr w:type="spellStart"/>
      <w:r w:rsidRPr="00991A6C">
        <w:rPr>
          <w:rFonts w:ascii="Cambria" w:eastAsia="Cambria" w:hAnsi="Cambria" w:cs="Cambria"/>
          <w:color w:val="000000"/>
          <w:sz w:val="16"/>
          <w:szCs w:val="24"/>
        </w:rPr>
        <w:t>debye</w:t>
      </w:r>
      <w:proofErr w:type="spellEnd"/>
      <w:r w:rsidRPr="00991A6C">
        <w:rPr>
          <w:rFonts w:ascii="Cambria" w:eastAsia="Cambria" w:hAnsi="Cambria" w:cs="Cambria"/>
          <w:color w:val="000000"/>
          <w:sz w:val="16"/>
          <w:szCs w:val="24"/>
        </w:rPr>
        <w:t xml:space="preserve"> length for alternate pressures and gas mixture ratios.</w:t>
      </w:r>
    </w:p>
    <w:p w14:paraId="67C58F58" w14:textId="77777777" w:rsidR="002644A4" w:rsidRDefault="002644A4"/>
    <w:sectPr w:rsidR="002644A4" w:rsidSect="005B4E75">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2240" w:h="15840"/>
      <w:pgMar w:top="2493" w:right="2667" w:bottom="1756" w:left="2675"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EA921" w14:textId="77777777" w:rsidR="005B4E75" w:rsidRDefault="005B4E75">
      <w:pPr>
        <w:spacing w:after="0" w:line="240" w:lineRule="auto"/>
      </w:pPr>
      <w:r>
        <w:separator/>
      </w:r>
    </w:p>
  </w:endnote>
  <w:endnote w:type="continuationSeparator" w:id="0">
    <w:p w14:paraId="537FD1C1" w14:textId="77777777" w:rsidR="005B4E75" w:rsidRDefault="005B4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178CE" w14:textId="77777777" w:rsidR="00607B01" w:rsidRDefault="00000000">
    <w:pPr>
      <w:spacing w:after="0"/>
      <w:ind w:right="23"/>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2958F" w14:textId="77777777" w:rsidR="00607B01" w:rsidRDefault="00000000">
    <w:pPr>
      <w:spacing w:after="0"/>
      <w:ind w:right="23"/>
      <w:jc w:val="center"/>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9A5F1" w14:textId="77777777" w:rsidR="00733079" w:rsidRDefault="007330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72796" w14:textId="77777777" w:rsidR="005B4E75" w:rsidRDefault="005B4E75">
      <w:pPr>
        <w:spacing w:after="0" w:line="240" w:lineRule="auto"/>
      </w:pPr>
      <w:r>
        <w:separator/>
      </w:r>
    </w:p>
  </w:footnote>
  <w:footnote w:type="continuationSeparator" w:id="0">
    <w:p w14:paraId="6E14EA82" w14:textId="77777777" w:rsidR="005B4E75" w:rsidRDefault="005B4E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A2730" w14:textId="77777777" w:rsidR="00733079" w:rsidRDefault="007330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FD45B" w14:textId="77777777" w:rsidR="00733079" w:rsidRDefault="007330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75AF6" w14:textId="77777777" w:rsidR="00733079" w:rsidRDefault="00733079" w:rsidP="00733079">
    <w:pPr>
      <w:pStyle w:val="Header"/>
      <w:rPr>
        <w:rFonts w:ascii="Cambria" w:hAnsi="Cambria"/>
        <w:sz w:val="20"/>
        <w:szCs w:val="20"/>
      </w:rPr>
    </w:pPr>
    <w:r w:rsidRPr="00733079">
      <w:rPr>
        <w:rFonts w:ascii="Cambria" w:hAnsi="Cambria"/>
        <w:sz w:val="20"/>
        <w:szCs w:val="20"/>
      </w:rPr>
      <w:t xml:space="preserve">Flow reactor experiments of high-temperature graphite oxidation and </w:t>
    </w:r>
    <w:proofErr w:type="gramStart"/>
    <w:r w:rsidRPr="00733079">
      <w:rPr>
        <w:rFonts w:ascii="Cambria" w:hAnsi="Cambria"/>
        <w:sz w:val="20"/>
        <w:szCs w:val="20"/>
      </w:rPr>
      <w:t>nitridation</w:t>
    </w:r>
    <w:proofErr w:type="gramEnd"/>
  </w:p>
  <w:p w14:paraId="3059EFDC" w14:textId="6B32EE28" w:rsidR="00827E9C" w:rsidRDefault="00827E9C" w:rsidP="00827E9C">
    <w:pPr>
      <w:pStyle w:val="Header"/>
      <w:rPr>
        <w:rFonts w:ascii="Cambria" w:hAnsi="Cambria"/>
        <w:sz w:val="20"/>
        <w:szCs w:val="20"/>
      </w:rPr>
    </w:pPr>
    <w:r>
      <w:rPr>
        <w:rFonts w:ascii="Cambria" w:hAnsi="Cambria"/>
        <w:sz w:val="20"/>
        <w:szCs w:val="20"/>
      </w:rPr>
      <w:t>High Temperature Corrosion of Materials</w:t>
    </w:r>
  </w:p>
  <w:p w14:paraId="05539734" w14:textId="77777777" w:rsidR="00827E9C" w:rsidRPr="00C07A3B" w:rsidRDefault="00827E9C" w:rsidP="00827E9C">
    <w:pPr>
      <w:pStyle w:val="Header"/>
      <w:rPr>
        <w:rFonts w:ascii="Cambria" w:hAnsi="Cambria"/>
        <w:sz w:val="20"/>
        <w:szCs w:val="20"/>
      </w:rPr>
    </w:pPr>
    <w:r w:rsidRPr="00C07A3B">
      <w:rPr>
        <w:rFonts w:ascii="Cambria" w:hAnsi="Cambria"/>
        <w:sz w:val="20"/>
        <w:szCs w:val="20"/>
      </w:rPr>
      <w:t>Nicholas A. Anderson</w:t>
    </w:r>
    <w:r>
      <w:rPr>
        <w:rFonts w:ascii="Cambria" w:hAnsi="Cambria"/>
        <w:sz w:val="20"/>
        <w:szCs w:val="20"/>
        <w:vertAlign w:val="superscript"/>
      </w:rPr>
      <w:t>1</w:t>
    </w:r>
    <w:r w:rsidRPr="00C07A3B">
      <w:rPr>
        <w:rFonts w:ascii="Cambria" w:hAnsi="Cambria"/>
        <w:sz w:val="20"/>
        <w:szCs w:val="20"/>
      </w:rPr>
      <w:t>, Philip Zolfaghari, Souvik Bhattacharya, Lorenzo</w:t>
    </w:r>
  </w:p>
  <w:p w14:paraId="72DC55EB" w14:textId="77777777" w:rsidR="00827E9C" w:rsidRPr="00C07A3B" w:rsidRDefault="00827E9C" w:rsidP="00827E9C">
    <w:pPr>
      <w:pStyle w:val="Header"/>
      <w:rPr>
        <w:rFonts w:ascii="Cambria" w:hAnsi="Cambria"/>
        <w:sz w:val="20"/>
        <w:szCs w:val="20"/>
      </w:rPr>
    </w:pPr>
    <w:r>
      <w:rPr>
        <w:rFonts w:ascii="Cambria" w:hAnsi="Cambria"/>
        <w:sz w:val="20"/>
        <w:szCs w:val="20"/>
      </w:rPr>
      <w:t xml:space="preserve">  </w:t>
    </w:r>
    <w:r w:rsidRPr="00C07A3B">
      <w:rPr>
        <w:rFonts w:ascii="Cambria" w:hAnsi="Cambria"/>
        <w:sz w:val="20"/>
        <w:szCs w:val="20"/>
      </w:rPr>
      <w:t>Capponi, Trey Oldham, R. Mohan Sankaran, Gregory S. Elliott, Francesco Panerai</w:t>
    </w:r>
  </w:p>
  <w:p w14:paraId="09D902C6" w14:textId="77777777" w:rsidR="00827E9C" w:rsidRDefault="00827E9C" w:rsidP="00827E9C">
    <w:pPr>
      <w:pStyle w:val="Header"/>
    </w:pPr>
  </w:p>
  <w:p w14:paraId="654C16B5" w14:textId="77777777" w:rsidR="00827E9C" w:rsidRDefault="00827E9C" w:rsidP="00827E9C">
    <w:pPr>
      <w:pStyle w:val="Header"/>
      <w:rPr>
        <w:rFonts w:ascii="Cambria" w:hAnsi="Cambria"/>
        <w:sz w:val="20"/>
        <w:szCs w:val="20"/>
      </w:rPr>
    </w:pPr>
    <w:r w:rsidRPr="00C07A3B">
      <w:rPr>
        <w:rFonts w:ascii="Cambria" w:hAnsi="Cambria"/>
        <w:sz w:val="20"/>
        <w:szCs w:val="20"/>
        <w:vertAlign w:val="superscript"/>
      </w:rPr>
      <w:t xml:space="preserve">1 </w:t>
    </w:r>
    <w:r w:rsidRPr="00C07A3B">
      <w:rPr>
        <w:rFonts w:ascii="Cambria" w:hAnsi="Cambria"/>
        <w:sz w:val="20"/>
        <w:szCs w:val="20"/>
      </w:rPr>
      <w:t>Corresponding Author</w:t>
    </w:r>
    <w:r>
      <w:rPr>
        <w:rFonts w:ascii="Cambria" w:hAnsi="Cambria"/>
        <w:sz w:val="20"/>
        <w:szCs w:val="20"/>
      </w:rPr>
      <w:t xml:space="preserve">, </w:t>
    </w:r>
  </w:p>
  <w:p w14:paraId="3310011C" w14:textId="77777777" w:rsidR="00827E9C" w:rsidRPr="00C07A3B" w:rsidRDefault="00827E9C" w:rsidP="00827E9C">
    <w:pPr>
      <w:pStyle w:val="Header"/>
      <w:rPr>
        <w:rFonts w:ascii="Cambria" w:hAnsi="Cambria"/>
        <w:sz w:val="20"/>
        <w:szCs w:val="20"/>
      </w:rPr>
    </w:pPr>
    <w:r>
      <w:rPr>
        <w:rFonts w:ascii="Cambria" w:hAnsi="Cambria"/>
        <w:sz w:val="20"/>
        <w:szCs w:val="20"/>
      </w:rPr>
      <w:t xml:space="preserve">     Affiliation: University of Illinois at Urbana-Champaign, Aerospace Engineering</w:t>
    </w:r>
  </w:p>
  <w:p w14:paraId="30564D83" w14:textId="2902FDD8" w:rsidR="00827E9C" w:rsidRDefault="00827E9C">
    <w:pPr>
      <w:pStyle w:val="Header"/>
    </w:pPr>
    <w:r>
      <w:rPr>
        <w:rFonts w:ascii="Cambria" w:hAnsi="Cambria"/>
        <w:sz w:val="20"/>
        <w:szCs w:val="20"/>
      </w:rPr>
      <w:t xml:space="preserve">     Email: nander39@illinois.edu</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A6C"/>
    <w:rsid w:val="002644A4"/>
    <w:rsid w:val="00387FC8"/>
    <w:rsid w:val="005B02A5"/>
    <w:rsid w:val="005B4E75"/>
    <w:rsid w:val="00607B01"/>
    <w:rsid w:val="00733079"/>
    <w:rsid w:val="00827E9C"/>
    <w:rsid w:val="00977208"/>
    <w:rsid w:val="00991A6C"/>
    <w:rsid w:val="009F7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E1638"/>
  <w15:chartTrackingRefBased/>
  <w15:docId w15:val="{74A7F500-4845-4DBA-899F-E3D2D39AC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1A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1A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1A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1A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1A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1A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1A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1A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1A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A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1A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1A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1A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1A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1A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1A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1A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1A6C"/>
    <w:rPr>
      <w:rFonts w:eastAsiaTheme="majorEastAsia" w:cstheme="majorBidi"/>
      <w:color w:val="272727" w:themeColor="text1" w:themeTint="D8"/>
    </w:rPr>
  </w:style>
  <w:style w:type="paragraph" w:styleId="Title">
    <w:name w:val="Title"/>
    <w:basedOn w:val="Normal"/>
    <w:next w:val="Normal"/>
    <w:link w:val="TitleChar"/>
    <w:uiPriority w:val="10"/>
    <w:qFormat/>
    <w:rsid w:val="00991A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1A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1A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1A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1A6C"/>
    <w:pPr>
      <w:spacing w:before="160"/>
      <w:jc w:val="center"/>
    </w:pPr>
    <w:rPr>
      <w:i/>
      <w:iCs/>
      <w:color w:val="404040" w:themeColor="text1" w:themeTint="BF"/>
    </w:rPr>
  </w:style>
  <w:style w:type="character" w:customStyle="1" w:styleId="QuoteChar">
    <w:name w:val="Quote Char"/>
    <w:basedOn w:val="DefaultParagraphFont"/>
    <w:link w:val="Quote"/>
    <w:uiPriority w:val="29"/>
    <w:rsid w:val="00991A6C"/>
    <w:rPr>
      <w:i/>
      <w:iCs/>
      <w:color w:val="404040" w:themeColor="text1" w:themeTint="BF"/>
    </w:rPr>
  </w:style>
  <w:style w:type="paragraph" w:styleId="ListParagraph">
    <w:name w:val="List Paragraph"/>
    <w:basedOn w:val="Normal"/>
    <w:uiPriority w:val="34"/>
    <w:qFormat/>
    <w:rsid w:val="00991A6C"/>
    <w:pPr>
      <w:ind w:left="720"/>
      <w:contextualSpacing/>
    </w:pPr>
  </w:style>
  <w:style w:type="character" w:styleId="IntenseEmphasis">
    <w:name w:val="Intense Emphasis"/>
    <w:basedOn w:val="DefaultParagraphFont"/>
    <w:uiPriority w:val="21"/>
    <w:qFormat/>
    <w:rsid w:val="00991A6C"/>
    <w:rPr>
      <w:i/>
      <w:iCs/>
      <w:color w:val="0F4761" w:themeColor="accent1" w:themeShade="BF"/>
    </w:rPr>
  </w:style>
  <w:style w:type="paragraph" w:styleId="IntenseQuote">
    <w:name w:val="Intense Quote"/>
    <w:basedOn w:val="Normal"/>
    <w:next w:val="Normal"/>
    <w:link w:val="IntenseQuoteChar"/>
    <w:uiPriority w:val="30"/>
    <w:qFormat/>
    <w:rsid w:val="00991A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1A6C"/>
    <w:rPr>
      <w:i/>
      <w:iCs/>
      <w:color w:val="0F4761" w:themeColor="accent1" w:themeShade="BF"/>
    </w:rPr>
  </w:style>
  <w:style w:type="character" w:styleId="IntenseReference">
    <w:name w:val="Intense Reference"/>
    <w:basedOn w:val="DefaultParagraphFont"/>
    <w:uiPriority w:val="32"/>
    <w:qFormat/>
    <w:rsid w:val="00991A6C"/>
    <w:rPr>
      <w:b/>
      <w:bCs/>
      <w:smallCaps/>
      <w:color w:val="0F4761" w:themeColor="accent1" w:themeShade="BF"/>
      <w:spacing w:val="5"/>
    </w:rPr>
  </w:style>
  <w:style w:type="paragraph" w:styleId="Header">
    <w:name w:val="header"/>
    <w:basedOn w:val="Normal"/>
    <w:link w:val="HeaderChar"/>
    <w:uiPriority w:val="99"/>
    <w:unhideWhenUsed/>
    <w:rsid w:val="00827E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7E9C"/>
  </w:style>
  <w:style w:type="paragraph" w:styleId="Footer">
    <w:name w:val="footer"/>
    <w:basedOn w:val="Normal"/>
    <w:link w:val="FooterChar"/>
    <w:uiPriority w:val="99"/>
    <w:unhideWhenUsed/>
    <w:rsid w:val="007330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3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219</Words>
  <Characters>1250</Characters>
  <Application>Microsoft Office Word</Application>
  <DocSecurity>0</DocSecurity>
  <Lines>10</Lines>
  <Paragraphs>2</Paragraphs>
  <ScaleCrop>false</ScaleCrop>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Nicholas Andrew</dc:creator>
  <cp:keywords/>
  <dc:description/>
  <cp:lastModifiedBy>Anderson, Nicholas Andrew</cp:lastModifiedBy>
  <cp:revision>4</cp:revision>
  <dcterms:created xsi:type="dcterms:W3CDTF">2024-03-01T22:11:00Z</dcterms:created>
  <dcterms:modified xsi:type="dcterms:W3CDTF">2024-03-04T03:05:00Z</dcterms:modified>
</cp:coreProperties>
</file>