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2EA121" w14:textId="77777777" w:rsidR="00682D01" w:rsidRPr="00B537BA" w:rsidRDefault="00682D01" w:rsidP="00682D01">
      <w:pPr>
        <w:spacing w:line="360" w:lineRule="auto"/>
        <w:ind w:right="-180"/>
        <w:jc w:val="both"/>
        <w:rPr>
          <w:rFonts w:asciiTheme="majorBidi" w:hAnsiTheme="majorBidi" w:cstheme="majorBidi"/>
          <w:b/>
          <w:bCs/>
          <w:color w:val="000000" w:themeColor="text1"/>
        </w:rPr>
      </w:pPr>
      <w:r w:rsidRPr="003731A7">
        <w:rPr>
          <w:rFonts w:asciiTheme="majorBidi" w:hAnsiTheme="majorBidi" w:cstheme="majorBidi"/>
          <w:b/>
          <w:bCs/>
          <w:color w:val="000000" w:themeColor="text1"/>
        </w:rPr>
        <w:t xml:space="preserve">Table 1: </w:t>
      </w:r>
      <w:r w:rsidRPr="003731A7">
        <w:rPr>
          <w:rFonts w:asciiTheme="majorBidi" w:hAnsiTheme="majorBidi" w:cstheme="majorBidi"/>
          <w:color w:val="000000" w:themeColor="text1"/>
        </w:rPr>
        <w:t>PCR results of DNA, RNA, bacteria, EHP and non-EHP Microsporidia and Haplosporidia.</w:t>
      </w:r>
    </w:p>
    <w:p w14:paraId="2DE81ECB" w14:textId="77777777" w:rsidR="00682D01" w:rsidRPr="00B537BA" w:rsidRDefault="00682D01" w:rsidP="00682D01">
      <w:pPr>
        <w:spacing w:line="360" w:lineRule="auto"/>
        <w:ind w:right="-180"/>
        <w:jc w:val="both"/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  <w:r>
        <w:rPr>
          <w:rFonts w:asciiTheme="majorBidi" w:hAnsiTheme="majorBidi" w:cstheme="majorBidi"/>
          <w:b/>
          <w:bCs/>
          <w:noProof/>
          <w:color w:val="000000" w:themeColor="text1"/>
          <w:sz w:val="20"/>
          <w:szCs w:val="20"/>
          <w14:ligatures w14:val="standardContextual"/>
        </w:rPr>
        <w:drawing>
          <wp:inline distT="0" distB="0" distL="0" distR="0" wp14:anchorId="250F0474" wp14:editId="6FC5B889">
            <wp:extent cx="6000750" cy="2378075"/>
            <wp:effectExtent l="0" t="0" r="6350" b="0"/>
            <wp:docPr id="2582276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227681" name="Picture 25822768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0750" cy="237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F2273D" w14:textId="77777777" w:rsidR="00682D01" w:rsidRPr="00B537BA" w:rsidRDefault="00682D01" w:rsidP="00682D01">
      <w:pPr>
        <w:spacing w:line="360" w:lineRule="auto"/>
        <w:ind w:right="-180"/>
        <w:jc w:val="both"/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</w:p>
    <w:p w14:paraId="30D832AB" w14:textId="77777777" w:rsidR="00682D01" w:rsidRPr="00B537BA" w:rsidRDefault="00682D01" w:rsidP="00682D01">
      <w:pPr>
        <w:spacing w:line="360" w:lineRule="auto"/>
        <w:ind w:right="-180"/>
        <w:jc w:val="both"/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</w:p>
    <w:p w14:paraId="711C85FC" w14:textId="77777777" w:rsidR="00682D01" w:rsidRPr="00B537BA" w:rsidRDefault="00682D01" w:rsidP="00682D01">
      <w:pPr>
        <w:spacing w:line="360" w:lineRule="auto"/>
        <w:jc w:val="both"/>
        <w:rPr>
          <w:rFonts w:asciiTheme="majorBidi" w:hAnsiTheme="majorBidi" w:cstheme="majorBidi"/>
          <w:color w:val="000000" w:themeColor="text1"/>
          <w:sz w:val="18"/>
          <w:szCs w:val="18"/>
        </w:rPr>
      </w:pPr>
      <w:r w:rsidRPr="00B537BA">
        <w:rPr>
          <w:rFonts w:asciiTheme="majorBidi" w:hAnsiTheme="majorBidi" w:cs="Times New Roman (Headings CS)"/>
          <w:color w:val="000000" w:themeColor="text1"/>
          <w:sz w:val="18"/>
          <w:szCs w:val="18"/>
          <w:vertAlign w:val="superscript"/>
        </w:rPr>
        <w:t>1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Hepanhamaparvovirus (DHPV) - Phromjai et al. (2002);  </w:t>
      </w:r>
      <w:r w:rsidRPr="00B537BA">
        <w:rPr>
          <w:rFonts w:asciiTheme="majorBidi" w:hAnsiTheme="majorBidi" w:cs="Times New Roman (Headings CS)"/>
          <w:color w:val="000000" w:themeColor="text1"/>
          <w:sz w:val="18"/>
          <w:szCs w:val="18"/>
          <w:vertAlign w:val="superscript"/>
        </w:rPr>
        <w:t>2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</w:t>
      </w:r>
      <w:r w:rsidRPr="00B537BA">
        <w:rPr>
          <w:rFonts w:asciiTheme="majorBidi" w:hAnsiTheme="majorBidi" w:cstheme="majorBidi"/>
          <w:i/>
          <w:iCs/>
          <w:color w:val="000000" w:themeColor="text1"/>
          <w:sz w:val="18"/>
          <w:szCs w:val="18"/>
        </w:rPr>
        <w:t>Macrobrachium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Bidnavirus (MrBdv) - Gangnonngiw et al. (2023); </w:t>
      </w:r>
      <w:r w:rsidRPr="00B537BA">
        <w:rPr>
          <w:rFonts w:asciiTheme="majorBidi" w:hAnsiTheme="majorBidi" w:cs="Times New Roman (Headings CS)"/>
          <w:color w:val="000000" w:themeColor="text1"/>
          <w:sz w:val="18"/>
          <w:szCs w:val="18"/>
          <w:vertAlign w:val="superscript"/>
        </w:rPr>
        <w:t>3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Decapod Iridescent Virus 1 (DIV1) - Qiu et al. (2017); </w:t>
      </w:r>
      <w:r w:rsidRPr="00B537BA">
        <w:rPr>
          <w:rFonts w:asciiTheme="majorBidi" w:hAnsiTheme="majorBidi" w:cs="Times New Roman (Headings CS)"/>
          <w:color w:val="000000" w:themeColor="text1"/>
          <w:sz w:val="18"/>
          <w:szCs w:val="18"/>
          <w:vertAlign w:val="superscript"/>
        </w:rPr>
        <w:t>4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White Spot </w:t>
      </w:r>
      <w:r w:rsidRPr="008F0F4C">
        <w:rPr>
          <w:rFonts w:asciiTheme="majorBidi" w:hAnsiTheme="majorBidi" w:cstheme="majorBidi"/>
          <w:color w:val="000000" w:themeColor="text1"/>
          <w:sz w:val="18"/>
          <w:szCs w:val="18"/>
        </w:rPr>
        <w:t>Syndrome Virus (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WSSV) - </w:t>
      </w:r>
      <w:r w:rsidRPr="00B537BA">
        <w:rPr>
          <w:rFonts w:asciiTheme="majorBidi" w:hAnsiTheme="majorBidi" w:cstheme="majorBidi"/>
          <w:bCs/>
          <w:color w:val="000000" w:themeColor="text1"/>
          <w:sz w:val="18"/>
          <w:szCs w:val="18"/>
        </w:rPr>
        <w:t xml:space="preserve">Lo et al. (1996); </w:t>
      </w:r>
      <w:r w:rsidRPr="00B537BA">
        <w:rPr>
          <w:rFonts w:asciiTheme="majorBidi" w:hAnsiTheme="majorBidi" w:cs="Times New Roman (Headings CS)"/>
          <w:color w:val="000000" w:themeColor="text1"/>
          <w:sz w:val="18"/>
          <w:szCs w:val="18"/>
          <w:vertAlign w:val="superscript"/>
        </w:rPr>
        <w:t>5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Infectious Hypodermal and Hematopoietic Necrosis Virus (IHHNV) - Nunan et al. (2000), Tang et al. (2000), Tang and Lightner (2006), Tang et al. (</w:t>
      </w:r>
      <w:r w:rsidRPr="008F0F4C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2007a), ; </w:t>
      </w:r>
      <w:r w:rsidRPr="008F0F4C">
        <w:rPr>
          <w:rFonts w:asciiTheme="majorBidi" w:hAnsiTheme="majorBidi" w:cs="Times New Roman (Headings CS)"/>
          <w:color w:val="000000" w:themeColor="text1"/>
          <w:sz w:val="18"/>
          <w:szCs w:val="18"/>
          <w:vertAlign w:val="superscript"/>
        </w:rPr>
        <w:t>6</w:t>
      </w:r>
      <w:r w:rsidRPr="008F0F4C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IHHNV ** as infectious, or ** EVE; </w:t>
      </w:r>
      <w:r w:rsidRPr="008F0F4C">
        <w:rPr>
          <w:rFonts w:asciiTheme="majorBidi" w:hAnsiTheme="majorBidi" w:cs="Times New Roman (Headings CS)"/>
          <w:color w:val="000000" w:themeColor="text1"/>
          <w:sz w:val="18"/>
          <w:szCs w:val="18"/>
          <w:vertAlign w:val="superscript"/>
        </w:rPr>
        <w:t>7</w:t>
      </w:r>
      <w:r w:rsidRPr="008F0F4C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Wenzhou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shrimp virus 8 (WzSV8) -</w:t>
      </w:r>
      <w:r w:rsidRPr="00B537BA">
        <w:rPr>
          <w:rFonts w:asciiTheme="majorBidi" w:hAnsiTheme="majorBidi" w:cstheme="majorBidi"/>
          <w:i/>
          <w:iCs/>
          <w:color w:val="000000" w:themeColor="text1"/>
          <w:sz w:val="18"/>
          <w:szCs w:val="18"/>
        </w:rPr>
        <w:t xml:space="preserve"> 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Srisala et al. (2023); </w:t>
      </w:r>
      <w:r w:rsidRPr="00B537BA">
        <w:rPr>
          <w:rFonts w:asciiTheme="majorBidi" w:hAnsiTheme="majorBidi" w:cs="Times New Roman (Headings CS)"/>
          <w:color w:val="000000" w:themeColor="text1"/>
          <w:sz w:val="18"/>
          <w:szCs w:val="18"/>
          <w:vertAlign w:val="superscript"/>
        </w:rPr>
        <w:t>8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</w:t>
      </w:r>
      <w:r w:rsidRPr="008F0F4C">
        <w:rPr>
          <w:rFonts w:asciiTheme="majorBidi" w:hAnsiTheme="majorBidi" w:cstheme="majorBidi"/>
          <w:i/>
          <w:iCs/>
          <w:color w:val="000000" w:themeColor="text1"/>
          <w:sz w:val="18"/>
          <w:szCs w:val="18"/>
        </w:rPr>
        <w:t>P. vannamei</w:t>
      </w:r>
      <w:r w:rsidRPr="008F0F4C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 nodavirus - </w:t>
      </w:r>
      <w:r w:rsidRPr="008F0F4C">
        <w:rPr>
          <w:rFonts w:asciiTheme="majorBidi" w:hAnsiTheme="majorBidi" w:cstheme="majorBidi"/>
          <w:bCs/>
          <w:color w:val="000000" w:themeColor="text1"/>
          <w:sz w:val="18"/>
          <w:szCs w:val="18"/>
        </w:rPr>
        <w:t>Tang et al. (2007b</w:t>
      </w:r>
      <w:r w:rsidRPr="008F0F4C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); </w:t>
      </w:r>
      <w:r w:rsidRPr="008F0F4C">
        <w:rPr>
          <w:rFonts w:asciiTheme="majorBidi" w:hAnsiTheme="majorBidi" w:cs="Times New Roman (Headings CS)"/>
          <w:color w:val="000000" w:themeColor="text1"/>
          <w:sz w:val="18"/>
          <w:szCs w:val="18"/>
          <w:vertAlign w:val="superscript"/>
        </w:rPr>
        <w:t>9</w:t>
      </w:r>
      <w:r w:rsidRPr="008F0F4C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Covert Mortality Nodavirus (CMNV) - Zhang et al. (2017); </w:t>
      </w:r>
      <w:r w:rsidRPr="008F0F4C">
        <w:rPr>
          <w:rFonts w:asciiTheme="majorBidi" w:hAnsiTheme="majorBidi" w:cs="Times New Roman (Headings CS)"/>
          <w:color w:val="000000" w:themeColor="text1"/>
          <w:sz w:val="18"/>
          <w:szCs w:val="18"/>
          <w:vertAlign w:val="superscript"/>
        </w:rPr>
        <w:t>10</w:t>
      </w:r>
      <w:r w:rsidRPr="008F0F4C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Infectious Myonecrosis Virus (IMNV</w:t>
      </w:r>
      <w:r w:rsidRPr="008F0F4C">
        <w:rPr>
          <w:rFonts w:asciiTheme="majorBidi" w:hAnsiTheme="majorBidi" w:cstheme="majorBidi"/>
          <w:bCs/>
          <w:color w:val="000000" w:themeColor="text1"/>
          <w:sz w:val="18"/>
          <w:szCs w:val="18"/>
        </w:rPr>
        <w:t>) - Poulos &amp; Lightner (2006</w:t>
      </w:r>
      <w:r w:rsidRPr="008F0F4C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); </w:t>
      </w:r>
      <w:r w:rsidRPr="008F0F4C">
        <w:rPr>
          <w:rFonts w:asciiTheme="majorBidi" w:hAnsiTheme="majorBidi" w:cs="Times New Roman (Headings CS)"/>
          <w:color w:val="000000" w:themeColor="text1"/>
          <w:sz w:val="18"/>
          <w:szCs w:val="18"/>
          <w:vertAlign w:val="superscript"/>
        </w:rPr>
        <w:t>11</w:t>
      </w:r>
      <w:r w:rsidRPr="008F0F4C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Yellow Head Virus (YHV) - </w:t>
      </w:r>
      <w:r w:rsidRPr="008F0F4C">
        <w:rPr>
          <w:rFonts w:asciiTheme="majorBidi" w:hAnsiTheme="majorBidi" w:cstheme="majorBidi"/>
          <w:bCs/>
          <w:color w:val="000000" w:themeColor="text1"/>
          <w:sz w:val="18"/>
          <w:szCs w:val="18"/>
        </w:rPr>
        <w:t>Mohr et al. (2015</w:t>
      </w:r>
      <w:r w:rsidRPr="008F0F4C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); </w:t>
      </w:r>
      <w:r w:rsidRPr="008F0F4C">
        <w:rPr>
          <w:rFonts w:asciiTheme="majorBidi" w:hAnsiTheme="majorBidi" w:cs="Times New Roman (Headings CS)"/>
          <w:color w:val="000000" w:themeColor="text1"/>
          <w:sz w:val="18"/>
          <w:szCs w:val="18"/>
          <w:vertAlign w:val="superscript"/>
        </w:rPr>
        <w:t>12</w:t>
      </w:r>
      <w:r w:rsidRPr="008F0F4C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Gill-associated virus (GAV) - </w:t>
      </w:r>
      <w:r w:rsidRPr="008F0F4C">
        <w:rPr>
          <w:rFonts w:asciiTheme="majorBidi" w:hAnsiTheme="majorBidi" w:cstheme="majorBidi"/>
          <w:bCs/>
          <w:color w:val="000000" w:themeColor="text1"/>
          <w:sz w:val="18"/>
          <w:szCs w:val="18"/>
        </w:rPr>
        <w:t>Mohr</w:t>
      </w:r>
      <w:r w:rsidRPr="00B537BA">
        <w:rPr>
          <w:rFonts w:asciiTheme="majorBidi" w:hAnsiTheme="majorBidi" w:cstheme="majorBidi"/>
          <w:bCs/>
          <w:color w:val="000000" w:themeColor="text1"/>
          <w:sz w:val="18"/>
          <w:szCs w:val="18"/>
        </w:rPr>
        <w:t xml:space="preserve"> et al. (2015)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; </w:t>
      </w:r>
      <w:r w:rsidRPr="00B537BA">
        <w:rPr>
          <w:rFonts w:asciiTheme="majorBidi" w:hAnsiTheme="majorBidi" w:cs="Times New Roman (Headings CS)"/>
          <w:color w:val="000000" w:themeColor="text1"/>
          <w:sz w:val="18"/>
          <w:szCs w:val="18"/>
          <w:vertAlign w:val="superscript"/>
        </w:rPr>
        <w:t>13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Taura Syndrome Virus (TSV) - </w:t>
      </w:r>
      <w:r w:rsidRPr="00B537BA">
        <w:rPr>
          <w:rFonts w:asciiTheme="majorBidi" w:hAnsiTheme="majorBidi" w:cstheme="majorBidi"/>
          <w:bCs/>
          <w:color w:val="000000" w:themeColor="text1"/>
          <w:sz w:val="18"/>
          <w:szCs w:val="18"/>
        </w:rPr>
        <w:t>Nunan et al. (1998), Navarro et al. (2009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); </w:t>
      </w:r>
      <w:r w:rsidRPr="00B537BA">
        <w:rPr>
          <w:rFonts w:asciiTheme="majorBidi" w:hAnsiTheme="majorBidi" w:cs="Times New Roman (Headings CS)"/>
          <w:color w:val="000000" w:themeColor="text1"/>
          <w:sz w:val="18"/>
          <w:szCs w:val="18"/>
          <w:vertAlign w:val="superscript"/>
        </w:rPr>
        <w:t>14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</w:t>
      </w:r>
      <w:r w:rsidRPr="00B537BA">
        <w:rPr>
          <w:rFonts w:asciiTheme="majorBidi" w:hAnsiTheme="majorBidi" w:cstheme="majorBidi"/>
          <w:i/>
          <w:iCs/>
          <w:color w:val="000000" w:themeColor="text1"/>
          <w:sz w:val="18"/>
          <w:szCs w:val="18"/>
        </w:rPr>
        <w:t>Macrobrachium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Nodavirus (MrNV) - </w:t>
      </w:r>
      <w:r w:rsidRPr="00B537BA">
        <w:rPr>
          <w:rFonts w:asciiTheme="majorBidi" w:hAnsiTheme="majorBidi" w:cstheme="majorBidi"/>
          <w:bCs/>
          <w:color w:val="000000" w:themeColor="text1"/>
          <w:sz w:val="18"/>
          <w:szCs w:val="18"/>
        </w:rPr>
        <w:t>Gangnonngiw et al. (2020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), </w:t>
      </w:r>
      <w:r w:rsidRPr="00B537BA">
        <w:rPr>
          <w:rFonts w:asciiTheme="majorBidi" w:hAnsiTheme="majorBidi" w:cs="Times New Roman (Headings CS)"/>
          <w:color w:val="000000" w:themeColor="text1"/>
          <w:sz w:val="18"/>
          <w:szCs w:val="18"/>
          <w:vertAlign w:val="superscript"/>
        </w:rPr>
        <w:t>15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</w:t>
      </w:r>
      <w:r w:rsidRPr="003731A7">
        <w:rPr>
          <w:rFonts w:asciiTheme="majorBidi" w:hAnsiTheme="majorBidi" w:cstheme="majorBidi"/>
          <w:color w:val="000000" w:themeColor="text1"/>
          <w:sz w:val="18"/>
          <w:szCs w:val="18"/>
        </w:rPr>
        <w:t>Extra small virus (XSV) usually associated with MrNV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- </w:t>
      </w:r>
      <w:r w:rsidRPr="00B537BA">
        <w:rPr>
          <w:rFonts w:asciiTheme="majorBidi" w:hAnsiTheme="majorBidi" w:cstheme="majorBidi"/>
          <w:bCs/>
          <w:color w:val="000000" w:themeColor="text1"/>
          <w:sz w:val="18"/>
          <w:szCs w:val="18"/>
        </w:rPr>
        <w:t>Senapin et al. (2012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); </w:t>
      </w:r>
      <w:r w:rsidRPr="00B537BA">
        <w:rPr>
          <w:rFonts w:asciiTheme="majorBidi" w:hAnsiTheme="majorBidi" w:cs="Times New Roman (Headings CS)"/>
          <w:color w:val="000000" w:themeColor="text1"/>
          <w:sz w:val="18"/>
          <w:szCs w:val="18"/>
          <w:vertAlign w:val="superscript"/>
        </w:rPr>
        <w:t>16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</w:t>
      </w:r>
      <w:r w:rsidRPr="00B537BA">
        <w:rPr>
          <w:rFonts w:asciiTheme="majorBidi" w:hAnsiTheme="majorBidi" w:cstheme="majorBidi"/>
          <w:i/>
          <w:iCs/>
          <w:color w:val="000000" w:themeColor="text1"/>
          <w:sz w:val="18"/>
          <w:szCs w:val="18"/>
        </w:rPr>
        <w:t>Spiroplasma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- Nunan et al. (2004); </w:t>
      </w:r>
      <w:r w:rsidRPr="00B537BA">
        <w:rPr>
          <w:rFonts w:asciiTheme="majorBidi" w:hAnsiTheme="majorBidi" w:cs="Times New Roman (Headings CS)"/>
          <w:color w:val="000000" w:themeColor="text1"/>
          <w:sz w:val="18"/>
          <w:szCs w:val="18"/>
          <w:vertAlign w:val="superscript"/>
        </w:rPr>
        <w:t>17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</w:t>
      </w:r>
      <w:r w:rsidRPr="00B537BA">
        <w:rPr>
          <w:rFonts w:asciiTheme="majorBidi" w:hAnsiTheme="majorBidi" w:cstheme="majorBidi"/>
          <w:i/>
          <w:iCs/>
          <w:color w:val="000000" w:themeColor="text1"/>
          <w:sz w:val="18"/>
          <w:szCs w:val="18"/>
        </w:rPr>
        <w:t xml:space="preserve">Vibrio 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>spp</w:t>
      </w:r>
      <w:r w:rsidRPr="00B537BA">
        <w:rPr>
          <w:rFonts w:asciiTheme="majorBidi" w:hAnsiTheme="majorBidi" w:cstheme="majorBidi"/>
          <w:bCs/>
          <w:color w:val="000000" w:themeColor="text1"/>
          <w:sz w:val="18"/>
          <w:szCs w:val="18"/>
        </w:rPr>
        <w:t>. - Thompson et al. (2004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); </w:t>
      </w:r>
      <w:r w:rsidRPr="00B537BA">
        <w:rPr>
          <w:rFonts w:asciiTheme="majorBidi" w:hAnsiTheme="majorBidi" w:cs="Times New Roman (Headings CS)"/>
          <w:color w:val="000000" w:themeColor="text1"/>
          <w:sz w:val="18"/>
          <w:szCs w:val="18"/>
          <w:vertAlign w:val="superscript"/>
        </w:rPr>
        <w:t>18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</w:t>
      </w:r>
      <w:r w:rsidRPr="00B537BA">
        <w:rPr>
          <w:rFonts w:asciiTheme="majorBidi" w:hAnsiTheme="majorBidi" w:cstheme="majorBidi"/>
          <w:i/>
          <w:iCs/>
          <w:color w:val="000000" w:themeColor="text1"/>
          <w:sz w:val="18"/>
          <w:szCs w:val="18"/>
        </w:rPr>
        <w:t>Rickettsia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-Like Bacteria (RLB) - Nunan et al. (2003); </w:t>
      </w:r>
      <w:r w:rsidRPr="00B537BA">
        <w:rPr>
          <w:rFonts w:asciiTheme="majorBidi" w:hAnsiTheme="majorBidi" w:cs="Times New Roman (Headings CS)"/>
          <w:color w:val="000000" w:themeColor="text1"/>
          <w:sz w:val="18"/>
          <w:szCs w:val="18"/>
          <w:vertAlign w:val="superscript"/>
        </w:rPr>
        <w:t>19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Necrotizing Hepatopancreatitis Bacteria (NHP-B) - Aranguren et al., (2010); </w:t>
      </w:r>
      <w:r w:rsidRPr="00B537BA">
        <w:rPr>
          <w:rFonts w:asciiTheme="majorBidi" w:hAnsiTheme="majorBidi" w:cs="Times New Roman (Headings CS)"/>
          <w:color w:val="000000" w:themeColor="text1"/>
          <w:sz w:val="18"/>
          <w:szCs w:val="18"/>
          <w:vertAlign w:val="superscript"/>
        </w:rPr>
        <w:t>20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</w:t>
      </w:r>
      <w:r w:rsidRPr="00B537BA">
        <w:rPr>
          <w:rFonts w:asciiTheme="majorBidi" w:hAnsiTheme="majorBidi" w:cstheme="majorBidi"/>
          <w:i/>
          <w:iCs/>
          <w:color w:val="000000" w:themeColor="text1"/>
          <w:sz w:val="18"/>
          <w:szCs w:val="18"/>
        </w:rPr>
        <w:t>Ecytonucleospora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[</w:t>
      </w:r>
      <w:r w:rsidRPr="00B537BA">
        <w:rPr>
          <w:rFonts w:asciiTheme="majorBidi" w:hAnsiTheme="majorBidi" w:cstheme="majorBidi"/>
          <w:i/>
          <w:iCs/>
          <w:color w:val="000000" w:themeColor="text1"/>
          <w:sz w:val="18"/>
          <w:szCs w:val="18"/>
        </w:rPr>
        <w:t>Enterocytozoon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>]</w:t>
      </w:r>
      <w:r w:rsidRPr="00B537BA">
        <w:rPr>
          <w:rFonts w:asciiTheme="majorBidi" w:hAnsiTheme="majorBidi" w:cstheme="majorBidi"/>
          <w:i/>
          <w:iCs/>
          <w:color w:val="000000" w:themeColor="text1"/>
          <w:sz w:val="18"/>
          <w:szCs w:val="18"/>
        </w:rPr>
        <w:t xml:space="preserve"> hepatopenaei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(EHP) - Jaroenlak et al. (2016); </w:t>
      </w:r>
      <w:r w:rsidRPr="00B537BA">
        <w:rPr>
          <w:rFonts w:asciiTheme="majorBidi" w:hAnsiTheme="majorBidi" w:cs="Times New Roman (Headings CS)"/>
          <w:color w:val="000000" w:themeColor="text1"/>
          <w:sz w:val="18"/>
          <w:szCs w:val="18"/>
          <w:vertAlign w:val="superscript"/>
        </w:rPr>
        <w:t>21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non-EHP Microsporidia</w:t>
      </w:r>
      <w:r w:rsidRPr="00B537BA">
        <w:rPr>
          <w:rFonts w:asciiTheme="majorBidi" w:hAnsiTheme="majorBidi" w:cstheme="majorBidi"/>
          <w:b/>
          <w:bCs/>
          <w:color w:val="000000" w:themeColor="text1"/>
          <w:sz w:val="18"/>
          <w:szCs w:val="18"/>
        </w:rPr>
        <w:t xml:space="preserve"> - 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Pasharawipas et al. (1994); </w:t>
      </w:r>
      <w:r w:rsidRPr="00B537BA">
        <w:rPr>
          <w:rFonts w:asciiTheme="majorBidi" w:hAnsiTheme="majorBidi" w:cs="Times New Roman (Headings CS)"/>
          <w:color w:val="000000" w:themeColor="text1"/>
          <w:sz w:val="18"/>
          <w:szCs w:val="18"/>
          <w:vertAlign w:val="superscript"/>
        </w:rPr>
        <w:t>22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Acute Hepatopancreatic Necrosis Disease (AHPND)</w:t>
      </w:r>
      <w:r w:rsidRPr="00B537BA">
        <w:rPr>
          <w:rFonts w:asciiTheme="majorBidi" w:hAnsiTheme="majorBidi" w:cstheme="majorBidi"/>
          <w:bCs/>
          <w:color w:val="000000" w:themeColor="text1"/>
          <w:sz w:val="18"/>
          <w:szCs w:val="18"/>
        </w:rPr>
        <w:t xml:space="preserve"> - Dangtip et al. (2015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); </w:t>
      </w:r>
      <w:r w:rsidRPr="00B537BA">
        <w:rPr>
          <w:rFonts w:asciiTheme="majorBidi" w:hAnsiTheme="majorBidi" w:cs="Times New Roman (Headings CS)"/>
          <w:color w:val="000000" w:themeColor="text1"/>
          <w:sz w:val="18"/>
          <w:szCs w:val="18"/>
          <w:vertAlign w:val="superscript"/>
        </w:rPr>
        <w:t>23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Haplosporidia - Utari et al. (2012). </w:t>
      </w:r>
    </w:p>
    <w:p w14:paraId="6E4D19C4" w14:textId="77777777" w:rsidR="00682D01" w:rsidRPr="00B537BA" w:rsidRDefault="00682D01" w:rsidP="00682D01">
      <w:pPr>
        <w:spacing w:line="480" w:lineRule="atLeast"/>
        <w:jc w:val="both"/>
      </w:pPr>
    </w:p>
    <w:p w14:paraId="1EE272E9" w14:textId="77777777" w:rsidR="00682D01" w:rsidRPr="00B537BA" w:rsidRDefault="00682D01" w:rsidP="00682D01">
      <w:pPr>
        <w:spacing w:line="480" w:lineRule="atLeast"/>
        <w:jc w:val="both"/>
      </w:pPr>
    </w:p>
    <w:p w14:paraId="705F0E1D" w14:textId="77777777" w:rsidR="00682D01" w:rsidRPr="00B537BA" w:rsidRDefault="00682D01" w:rsidP="00682D01">
      <w:pPr>
        <w:spacing w:line="480" w:lineRule="atLeast"/>
        <w:jc w:val="both"/>
      </w:pPr>
    </w:p>
    <w:p w14:paraId="09AD5497" w14:textId="77777777" w:rsidR="00682D01" w:rsidRPr="00B537BA" w:rsidRDefault="00682D01" w:rsidP="00682D01">
      <w:pPr>
        <w:spacing w:line="480" w:lineRule="atLeast"/>
        <w:jc w:val="both"/>
      </w:pPr>
    </w:p>
    <w:p w14:paraId="5992E79E" w14:textId="77777777" w:rsidR="00682D01" w:rsidRPr="00B537BA" w:rsidRDefault="00682D01" w:rsidP="00682D01">
      <w:pPr>
        <w:spacing w:line="480" w:lineRule="atLeast"/>
        <w:jc w:val="both"/>
      </w:pPr>
    </w:p>
    <w:p w14:paraId="73CC6C2A" w14:textId="77777777" w:rsidR="00682D01" w:rsidRPr="00B537BA" w:rsidRDefault="00682D01" w:rsidP="00682D01">
      <w:pPr>
        <w:spacing w:line="480" w:lineRule="atLeast"/>
        <w:jc w:val="both"/>
      </w:pPr>
    </w:p>
    <w:p w14:paraId="045E8A50" w14:textId="77777777" w:rsidR="00682D01" w:rsidRPr="00B537BA" w:rsidRDefault="00682D01" w:rsidP="00682D01">
      <w:pPr>
        <w:spacing w:line="480" w:lineRule="atLeast"/>
        <w:jc w:val="both"/>
      </w:pPr>
    </w:p>
    <w:p w14:paraId="39ECC6B3" w14:textId="77777777" w:rsidR="00682D01" w:rsidRPr="00B537BA" w:rsidRDefault="00682D01" w:rsidP="00682D01">
      <w:pPr>
        <w:jc w:val="both"/>
        <w:rPr>
          <w:b/>
          <w:bCs/>
          <w:color w:val="000000" w:themeColor="text1"/>
          <w:highlight w:val="yellow"/>
        </w:rPr>
      </w:pPr>
      <w:r w:rsidRPr="00B537BA">
        <w:rPr>
          <w:b/>
          <w:bCs/>
          <w:color w:val="000000" w:themeColor="text1"/>
          <w:highlight w:val="yellow"/>
        </w:rPr>
        <w:br w:type="page"/>
      </w:r>
    </w:p>
    <w:p w14:paraId="4B8F9E3D" w14:textId="77777777" w:rsidR="00682D01" w:rsidRPr="00B537BA" w:rsidRDefault="00682D01" w:rsidP="00682D01">
      <w:pPr>
        <w:spacing w:line="360" w:lineRule="auto"/>
        <w:ind w:right="-180"/>
        <w:jc w:val="both"/>
        <w:rPr>
          <w:color w:val="000000" w:themeColor="text1"/>
        </w:rPr>
      </w:pPr>
      <w:r w:rsidRPr="009120B5">
        <w:rPr>
          <w:b/>
          <w:bCs/>
          <w:color w:val="000000" w:themeColor="text1"/>
        </w:rPr>
        <w:lastRenderedPageBreak/>
        <w:t xml:space="preserve">Table 2: </w:t>
      </w:r>
      <w:r w:rsidRPr="009120B5">
        <w:rPr>
          <w:color w:val="000000" w:themeColor="text1"/>
        </w:rPr>
        <w:t>Microbiology results of affected and healthy zoea.</w:t>
      </w:r>
    </w:p>
    <w:p w14:paraId="5FB66280" w14:textId="77777777" w:rsidR="00682D01" w:rsidRPr="00B537BA" w:rsidRDefault="00682D01" w:rsidP="00682D01">
      <w:pPr>
        <w:spacing w:line="360" w:lineRule="auto"/>
        <w:ind w:right="-180"/>
        <w:jc w:val="both"/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</w:p>
    <w:p w14:paraId="72EDA841" w14:textId="77777777" w:rsidR="00682D01" w:rsidRPr="00B537BA" w:rsidRDefault="00682D01" w:rsidP="00682D01">
      <w:pPr>
        <w:spacing w:line="360" w:lineRule="auto"/>
        <w:ind w:right="-180"/>
        <w:jc w:val="center"/>
        <w:rPr>
          <w:rFonts w:asciiTheme="majorBidi" w:hAnsiTheme="majorBidi" w:cstheme="majorBidi"/>
          <w:color w:val="000000" w:themeColor="text1"/>
        </w:rPr>
      </w:pPr>
      <w:r w:rsidRPr="00B537BA">
        <w:rPr>
          <w:rFonts w:asciiTheme="majorBidi" w:hAnsiTheme="majorBidi" w:cstheme="majorBidi"/>
          <w:noProof/>
          <w:color w:val="000000" w:themeColor="text1"/>
          <w:sz w:val="18"/>
          <w:szCs w:val="18"/>
          <w14:ligatures w14:val="standardContextual"/>
        </w:rPr>
        <w:drawing>
          <wp:inline distT="0" distB="0" distL="0" distR="0" wp14:anchorId="18C2CEFE" wp14:editId="62519B75">
            <wp:extent cx="5011018" cy="2735643"/>
            <wp:effectExtent l="0" t="0" r="5715" b="0"/>
            <wp:docPr id="1630137699" name="Picture 4" descr="A table with numbers and symbo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0137699" name="Picture 4" descr="A table with numbers and symbols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8495" cy="2794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5CCB10" w14:textId="77777777" w:rsidR="00682D01" w:rsidRPr="00B537BA" w:rsidRDefault="00682D01" w:rsidP="00682D01">
      <w:pPr>
        <w:spacing w:line="360" w:lineRule="auto"/>
        <w:ind w:right="-180"/>
        <w:jc w:val="both"/>
        <w:rPr>
          <w:rFonts w:asciiTheme="majorBidi" w:hAnsiTheme="majorBidi" w:cstheme="majorBidi"/>
          <w:color w:val="000000" w:themeColor="text1"/>
        </w:rPr>
      </w:pPr>
    </w:p>
    <w:p w14:paraId="5CE6EB9E" w14:textId="77777777" w:rsidR="00682D01" w:rsidRPr="00B537BA" w:rsidRDefault="00682D01" w:rsidP="00682D01">
      <w:pPr>
        <w:spacing w:line="360" w:lineRule="auto"/>
        <w:ind w:right="-180"/>
        <w:jc w:val="both"/>
        <w:rPr>
          <w:rFonts w:asciiTheme="majorBidi" w:hAnsiTheme="majorBidi" w:cstheme="majorBidi"/>
          <w:i/>
          <w:iCs/>
          <w:color w:val="000000" w:themeColor="text1"/>
          <w:sz w:val="18"/>
          <w:szCs w:val="18"/>
        </w:rPr>
      </w:pPr>
      <w:r w:rsidRPr="00B537BA">
        <w:rPr>
          <w:rFonts w:asciiTheme="majorBidi" w:hAnsiTheme="majorBidi" w:cs="Times New Roman (Headings CS)"/>
          <w:color w:val="000000" w:themeColor="text1"/>
          <w:sz w:val="18"/>
          <w:szCs w:val="18"/>
          <w:vertAlign w:val="superscript"/>
        </w:rPr>
        <w:t>1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Tryptic Soy Agar (TSA, Difco); </w:t>
      </w:r>
      <w:r w:rsidRPr="00B537BA">
        <w:rPr>
          <w:rFonts w:asciiTheme="majorBidi" w:hAnsiTheme="majorBidi" w:cs="Times New Roman (Headings CS)"/>
          <w:color w:val="000000" w:themeColor="text1"/>
          <w:sz w:val="18"/>
          <w:szCs w:val="18"/>
          <w:vertAlign w:val="superscript"/>
        </w:rPr>
        <w:t>2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thiosulphate-citrate-bile-sucrose agar (TCBS, Difco); </w:t>
      </w:r>
      <w:r w:rsidRPr="00B537BA">
        <w:rPr>
          <w:rFonts w:asciiTheme="majorBidi" w:hAnsiTheme="majorBidi" w:cs="Times New Roman (Headings CS)"/>
          <w:color w:val="000000" w:themeColor="text1"/>
          <w:sz w:val="18"/>
          <w:szCs w:val="18"/>
          <w:vertAlign w:val="superscript"/>
        </w:rPr>
        <w:t>3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Green colonies in TCBS; </w:t>
      </w:r>
      <w:r w:rsidRPr="00B537BA">
        <w:rPr>
          <w:rFonts w:asciiTheme="majorBidi" w:hAnsiTheme="majorBidi" w:cs="Times New Roman (Headings CS)"/>
          <w:color w:val="000000" w:themeColor="text1"/>
          <w:sz w:val="18"/>
          <w:szCs w:val="18"/>
          <w:vertAlign w:val="superscript"/>
        </w:rPr>
        <w:t>4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CHROMagar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  <w:vertAlign w:val="superscript"/>
        </w:rPr>
        <w:t>TM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</w:t>
      </w:r>
      <w:r w:rsidRPr="00B537BA">
        <w:rPr>
          <w:rFonts w:asciiTheme="majorBidi" w:hAnsiTheme="majorBidi" w:cstheme="majorBidi"/>
          <w:i/>
          <w:iCs/>
          <w:color w:val="000000" w:themeColor="text1"/>
          <w:sz w:val="18"/>
          <w:szCs w:val="18"/>
        </w:rPr>
        <w:t>Vibrio</w:t>
      </w:r>
      <w:r w:rsidRPr="00B537BA">
        <w:rPr>
          <w:rFonts w:asciiTheme="majorBidi" w:hAnsiTheme="majorBidi" w:cstheme="majorBidi"/>
          <w:bCs/>
          <w:color w:val="000000" w:themeColor="text1"/>
          <w:sz w:val="18"/>
          <w:szCs w:val="18"/>
        </w:rPr>
        <w:t xml:space="preserve">; </w:t>
      </w:r>
      <w:r w:rsidRPr="00B537BA">
        <w:rPr>
          <w:rFonts w:asciiTheme="majorBidi" w:hAnsiTheme="majorBidi" w:cs="Times New Roman (Headings CS)"/>
          <w:color w:val="000000" w:themeColor="text1"/>
          <w:sz w:val="18"/>
          <w:szCs w:val="18"/>
          <w:vertAlign w:val="superscript"/>
        </w:rPr>
        <w:t>5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Purple colonies in CHROMagar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  <w:vertAlign w:val="superscript"/>
        </w:rPr>
        <w:t>TM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</w:t>
      </w:r>
      <w:r w:rsidRPr="00B537BA">
        <w:rPr>
          <w:rFonts w:asciiTheme="majorBidi" w:hAnsiTheme="majorBidi" w:cstheme="majorBidi"/>
          <w:i/>
          <w:iCs/>
          <w:color w:val="000000" w:themeColor="text1"/>
          <w:sz w:val="18"/>
          <w:szCs w:val="18"/>
        </w:rPr>
        <w:t>Vibrio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. </w:t>
      </w:r>
      <w:r w:rsidRPr="00B537BA">
        <w:rPr>
          <w:rFonts w:asciiTheme="majorBidi" w:hAnsiTheme="majorBidi" w:cs="Times New Roman (Headings CS)"/>
          <w:color w:val="000000" w:themeColor="text1"/>
          <w:sz w:val="18"/>
          <w:szCs w:val="18"/>
          <w:vertAlign w:val="superscript"/>
        </w:rPr>
        <w:t>6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Percentage of presumptive </w:t>
      </w:r>
      <w:r w:rsidRPr="00B537BA">
        <w:rPr>
          <w:rFonts w:asciiTheme="majorBidi" w:hAnsiTheme="majorBidi" w:cstheme="majorBidi"/>
          <w:i/>
          <w:iCs/>
          <w:color w:val="000000" w:themeColor="text1"/>
          <w:sz w:val="18"/>
          <w:szCs w:val="18"/>
        </w:rPr>
        <w:t>Vibrio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(TCBS) of total bacterial population; </w:t>
      </w:r>
      <w:r w:rsidRPr="00B537BA">
        <w:rPr>
          <w:rFonts w:asciiTheme="majorBidi" w:hAnsiTheme="majorBidi" w:cs="Times New Roman (Headings CS)"/>
          <w:color w:val="000000" w:themeColor="text1"/>
          <w:sz w:val="18"/>
          <w:szCs w:val="18"/>
          <w:vertAlign w:val="superscript"/>
        </w:rPr>
        <w:t>7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Percentage of green colonies of the total population of presumptive </w:t>
      </w:r>
      <w:r w:rsidRPr="00B537BA">
        <w:rPr>
          <w:rFonts w:asciiTheme="majorBidi" w:hAnsiTheme="majorBidi" w:cstheme="majorBidi"/>
          <w:i/>
          <w:iCs/>
          <w:color w:val="000000" w:themeColor="text1"/>
          <w:sz w:val="18"/>
          <w:szCs w:val="18"/>
        </w:rPr>
        <w:t>Vibrio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(TCBS);</w:t>
      </w:r>
      <w:r w:rsidRPr="00B537BA">
        <w:rPr>
          <w:rFonts w:asciiTheme="majorBidi" w:hAnsiTheme="majorBidi" w:cs="Times New Roman (Headings CS)"/>
          <w:color w:val="000000" w:themeColor="text1"/>
          <w:sz w:val="18"/>
          <w:szCs w:val="18"/>
          <w:vertAlign w:val="superscript"/>
        </w:rPr>
        <w:t xml:space="preserve"> 8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Percentage of purple colonies of the total population of presumptive </w:t>
      </w:r>
      <w:r w:rsidRPr="00B537BA">
        <w:rPr>
          <w:rFonts w:asciiTheme="majorBidi" w:hAnsiTheme="majorBidi" w:cstheme="majorBidi"/>
          <w:i/>
          <w:iCs/>
          <w:color w:val="000000" w:themeColor="text1"/>
          <w:sz w:val="18"/>
          <w:szCs w:val="18"/>
        </w:rPr>
        <w:t>Vibrio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CHROMagar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  <w:vertAlign w:val="superscript"/>
        </w:rPr>
        <w:t>TM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</w:t>
      </w:r>
      <w:r w:rsidRPr="00B537BA">
        <w:rPr>
          <w:rFonts w:asciiTheme="majorBidi" w:hAnsiTheme="majorBidi" w:cstheme="majorBidi"/>
          <w:i/>
          <w:iCs/>
          <w:color w:val="000000" w:themeColor="text1"/>
          <w:sz w:val="18"/>
          <w:szCs w:val="18"/>
        </w:rPr>
        <w:t>Vibrio.</w:t>
      </w:r>
    </w:p>
    <w:p w14:paraId="21E9FF31" w14:textId="77777777" w:rsidR="00682D01" w:rsidRPr="00B537BA" w:rsidRDefault="00682D01" w:rsidP="00682D01">
      <w:pPr>
        <w:spacing w:line="480" w:lineRule="atLeast"/>
        <w:jc w:val="both"/>
      </w:pPr>
    </w:p>
    <w:p w14:paraId="28EFB8C5" w14:textId="77777777" w:rsidR="00682D01" w:rsidRPr="00B537BA" w:rsidRDefault="00682D01" w:rsidP="00682D01">
      <w:pPr>
        <w:spacing w:line="480" w:lineRule="atLeast"/>
        <w:jc w:val="both"/>
      </w:pPr>
    </w:p>
    <w:p w14:paraId="0F90195D" w14:textId="77777777" w:rsidR="00682D01" w:rsidRPr="00B537BA" w:rsidRDefault="00682D01" w:rsidP="00682D01">
      <w:pPr>
        <w:spacing w:line="480" w:lineRule="atLeast"/>
        <w:jc w:val="both"/>
      </w:pPr>
    </w:p>
    <w:p w14:paraId="2629B651" w14:textId="77777777" w:rsidR="00682D01" w:rsidRPr="00B537BA" w:rsidRDefault="00682D01" w:rsidP="00682D01">
      <w:pPr>
        <w:spacing w:line="480" w:lineRule="atLeast"/>
        <w:jc w:val="both"/>
      </w:pPr>
    </w:p>
    <w:p w14:paraId="2943F760" w14:textId="77777777" w:rsidR="00682D01" w:rsidRPr="00B537BA" w:rsidRDefault="00682D01" w:rsidP="00682D01">
      <w:pPr>
        <w:spacing w:line="480" w:lineRule="atLeast"/>
        <w:jc w:val="both"/>
      </w:pPr>
    </w:p>
    <w:p w14:paraId="2F75EF53" w14:textId="77777777" w:rsidR="00682D01" w:rsidRPr="00B537BA" w:rsidRDefault="00682D01" w:rsidP="00682D01">
      <w:pPr>
        <w:spacing w:line="480" w:lineRule="atLeast"/>
        <w:jc w:val="both"/>
      </w:pPr>
    </w:p>
    <w:p w14:paraId="5A6B07A3" w14:textId="77777777" w:rsidR="00682D01" w:rsidRPr="00B537BA" w:rsidRDefault="00682D01" w:rsidP="00682D01">
      <w:pPr>
        <w:spacing w:line="480" w:lineRule="atLeast"/>
        <w:jc w:val="both"/>
      </w:pPr>
    </w:p>
    <w:p w14:paraId="5710D2CD" w14:textId="77777777" w:rsidR="00682D01" w:rsidRPr="00B537BA" w:rsidRDefault="00682D01" w:rsidP="00682D01">
      <w:pPr>
        <w:spacing w:line="480" w:lineRule="atLeast"/>
        <w:jc w:val="both"/>
      </w:pPr>
    </w:p>
    <w:p w14:paraId="3B73F377" w14:textId="77777777" w:rsidR="00682D01" w:rsidRPr="00B537BA" w:rsidRDefault="00682D01" w:rsidP="00682D01">
      <w:pPr>
        <w:spacing w:line="480" w:lineRule="atLeast"/>
        <w:jc w:val="both"/>
      </w:pPr>
    </w:p>
    <w:p w14:paraId="6A4FF2C5" w14:textId="77777777" w:rsidR="00682D01" w:rsidRPr="00B537BA" w:rsidRDefault="00682D01" w:rsidP="00682D01">
      <w:pPr>
        <w:spacing w:line="480" w:lineRule="atLeast"/>
        <w:jc w:val="both"/>
      </w:pPr>
    </w:p>
    <w:p w14:paraId="182167E7" w14:textId="77777777" w:rsidR="00682D01" w:rsidRPr="00B537BA" w:rsidRDefault="00682D01" w:rsidP="00682D01">
      <w:pPr>
        <w:spacing w:line="480" w:lineRule="atLeast"/>
        <w:jc w:val="both"/>
      </w:pPr>
    </w:p>
    <w:p w14:paraId="549BD7D1" w14:textId="77777777" w:rsidR="00682D01" w:rsidRPr="00B537BA" w:rsidRDefault="00682D01" w:rsidP="00682D01">
      <w:pPr>
        <w:spacing w:line="480" w:lineRule="atLeast"/>
        <w:jc w:val="both"/>
      </w:pPr>
    </w:p>
    <w:p w14:paraId="79B35107" w14:textId="77777777" w:rsidR="00682D01" w:rsidRPr="00B537BA" w:rsidRDefault="00682D01" w:rsidP="00682D01">
      <w:pPr>
        <w:spacing w:line="480" w:lineRule="atLeast"/>
        <w:jc w:val="both"/>
      </w:pPr>
    </w:p>
    <w:p w14:paraId="6F386D28" w14:textId="77777777" w:rsidR="00682D01" w:rsidRPr="00B537BA" w:rsidRDefault="00682D01" w:rsidP="00682D01">
      <w:pPr>
        <w:spacing w:line="480" w:lineRule="atLeast"/>
        <w:jc w:val="both"/>
      </w:pPr>
    </w:p>
    <w:p w14:paraId="62C07BDC" w14:textId="77777777" w:rsidR="00682D01" w:rsidRDefault="00682D01" w:rsidP="00682D01">
      <w:pPr>
        <w:spacing w:line="360" w:lineRule="auto"/>
        <w:ind w:right="-180"/>
        <w:jc w:val="both"/>
        <w:rPr>
          <w:rFonts w:asciiTheme="majorBidi" w:hAnsiTheme="majorBidi" w:cstheme="majorBidi"/>
          <w:color w:val="000000" w:themeColor="text1"/>
        </w:rPr>
      </w:pPr>
      <w:r w:rsidRPr="009120B5">
        <w:rPr>
          <w:rFonts w:asciiTheme="majorBidi" w:hAnsiTheme="majorBidi" w:cstheme="majorBidi"/>
          <w:b/>
          <w:bCs/>
          <w:color w:val="000000" w:themeColor="text1"/>
        </w:rPr>
        <w:t xml:space="preserve">Table 3a: </w:t>
      </w:r>
      <w:r w:rsidRPr="009120B5">
        <w:rPr>
          <w:rFonts w:asciiTheme="majorBidi" w:hAnsiTheme="majorBidi" w:cstheme="majorBidi"/>
          <w:color w:val="000000" w:themeColor="text1"/>
        </w:rPr>
        <w:t>Characterization of bacteria isolated from affected and healthy zoea.</w:t>
      </w:r>
    </w:p>
    <w:p w14:paraId="0D5C8928" w14:textId="77777777" w:rsidR="00682D01" w:rsidRPr="00B537BA" w:rsidRDefault="00682D01" w:rsidP="00682D01">
      <w:pPr>
        <w:spacing w:line="360" w:lineRule="auto"/>
        <w:ind w:right="-180"/>
        <w:jc w:val="both"/>
        <w:rPr>
          <w:rFonts w:asciiTheme="majorBidi" w:hAnsiTheme="majorBidi" w:cstheme="majorBidi"/>
          <w:b/>
          <w:bCs/>
          <w:color w:val="000000" w:themeColor="text1"/>
        </w:rPr>
      </w:pPr>
      <w:r>
        <w:rPr>
          <w:rFonts w:asciiTheme="majorBidi" w:hAnsiTheme="majorBidi" w:cstheme="majorBidi"/>
          <w:b/>
          <w:bCs/>
          <w:noProof/>
          <w:color w:val="000000" w:themeColor="text1"/>
          <w14:ligatures w14:val="standardContextual"/>
        </w:rPr>
        <w:drawing>
          <wp:inline distT="0" distB="0" distL="0" distR="0" wp14:anchorId="7D566CBC" wp14:editId="77965BD5">
            <wp:extent cx="6227513" cy="1859028"/>
            <wp:effectExtent l="0" t="0" r="0" b="0"/>
            <wp:docPr id="164665019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6650196" name="Picture 164665019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1260" cy="1863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067C07" w14:textId="77777777" w:rsidR="00682D01" w:rsidRPr="0087363D" w:rsidRDefault="00682D01" w:rsidP="00682D01">
      <w:pPr>
        <w:spacing w:line="360" w:lineRule="auto"/>
        <w:ind w:right="-180"/>
        <w:jc w:val="center"/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</w:p>
    <w:p w14:paraId="3DD0F0BC" w14:textId="77777777" w:rsidR="00682D01" w:rsidRPr="004D17EB" w:rsidRDefault="00682D01" w:rsidP="00682D01">
      <w:pPr>
        <w:pStyle w:val="ListParagraph"/>
        <w:numPr>
          <w:ilvl w:val="0"/>
          <w:numId w:val="1"/>
        </w:numPr>
        <w:spacing w:line="276" w:lineRule="auto"/>
        <w:ind w:left="284" w:right="-180" w:hanging="284"/>
        <w:jc w:val="both"/>
        <w:rPr>
          <w:rFonts w:asciiTheme="majorBidi" w:hAnsiTheme="majorBidi" w:cstheme="majorBidi"/>
          <w:color w:val="000000" w:themeColor="text1"/>
          <w:sz w:val="18"/>
          <w:szCs w:val="18"/>
        </w:rPr>
      </w:pP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Strains identified as LBS- were isolated from LBS </w:t>
      </w:r>
      <w:r w:rsidRPr="004D17EB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affected zoea, and H- from healthy, apparently non-affected zoea. </w:t>
      </w:r>
    </w:p>
    <w:p w14:paraId="13B02E1F" w14:textId="77777777" w:rsidR="00682D01" w:rsidRPr="00B537BA" w:rsidRDefault="00682D01" w:rsidP="00682D01">
      <w:pPr>
        <w:spacing w:line="276" w:lineRule="auto"/>
        <w:ind w:right="-180"/>
        <w:jc w:val="both"/>
        <w:rPr>
          <w:rFonts w:asciiTheme="majorBidi" w:hAnsiTheme="majorBidi" w:cstheme="majorBidi"/>
          <w:color w:val="000000" w:themeColor="text1"/>
          <w:sz w:val="18"/>
          <w:szCs w:val="18"/>
        </w:rPr>
      </w:pPr>
      <w:r w:rsidRPr="004D17EB">
        <w:rPr>
          <w:rFonts w:asciiTheme="majorBidi" w:hAnsiTheme="majorBidi" w:cs="Times New Roman (Headings CS)"/>
          <w:color w:val="000000" w:themeColor="text1"/>
          <w:szCs w:val="18"/>
          <w:vertAlign w:val="superscript"/>
        </w:rPr>
        <w:t>1</w:t>
      </w:r>
      <w:r w:rsidRPr="004D17EB">
        <w:rPr>
          <w:rFonts w:asciiTheme="majorBidi" w:hAnsiTheme="majorBidi" w:cstheme="majorBidi"/>
          <w:color w:val="000000" w:themeColor="text1"/>
          <w:sz w:val="18"/>
          <w:szCs w:val="18"/>
        </w:rPr>
        <w:t>Acute Hepatopancreatic Necrosis Disease (AHPND)</w:t>
      </w:r>
      <w:r w:rsidRPr="004D17EB">
        <w:rPr>
          <w:rFonts w:asciiTheme="majorBidi" w:hAnsiTheme="majorBidi" w:cstheme="majorBidi"/>
          <w:bCs/>
          <w:color w:val="000000" w:themeColor="text1"/>
          <w:sz w:val="18"/>
          <w:szCs w:val="18"/>
        </w:rPr>
        <w:t xml:space="preserve"> </w:t>
      </w:r>
      <w:r>
        <w:rPr>
          <w:rFonts w:asciiTheme="majorBidi" w:hAnsiTheme="majorBidi" w:cstheme="majorBidi"/>
          <w:bCs/>
          <w:color w:val="000000" w:themeColor="text1"/>
          <w:sz w:val="18"/>
          <w:szCs w:val="18"/>
        </w:rPr>
        <w:t>–</w:t>
      </w:r>
      <w:r w:rsidRPr="004D17EB">
        <w:rPr>
          <w:rFonts w:asciiTheme="majorBidi" w:hAnsiTheme="majorBidi" w:cstheme="majorBidi"/>
          <w:bCs/>
          <w:color w:val="000000" w:themeColor="text1"/>
          <w:sz w:val="18"/>
          <w:szCs w:val="18"/>
        </w:rPr>
        <w:t xml:space="preserve"> </w:t>
      </w:r>
      <w:r>
        <w:rPr>
          <w:rFonts w:asciiTheme="majorBidi" w:hAnsiTheme="majorBidi" w:cstheme="majorBidi"/>
          <w:bCs/>
          <w:color w:val="000000" w:themeColor="text1"/>
          <w:sz w:val="18"/>
          <w:szCs w:val="18"/>
        </w:rPr>
        <w:t>(</w:t>
      </w:r>
      <w:r w:rsidRPr="004D17EB">
        <w:rPr>
          <w:rFonts w:asciiTheme="majorBidi" w:hAnsiTheme="majorBidi" w:cstheme="majorBidi"/>
          <w:bCs/>
          <w:color w:val="000000" w:themeColor="text1"/>
          <w:sz w:val="18"/>
          <w:szCs w:val="18"/>
        </w:rPr>
        <w:t>Dangtip et al. 2015</w:t>
      </w:r>
      <w:r w:rsidRPr="004D17EB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); </w:t>
      </w:r>
      <w:r w:rsidRPr="004D17EB">
        <w:rPr>
          <w:rFonts w:asciiTheme="majorBidi" w:hAnsiTheme="majorBidi" w:cs="Times New Roman (Headings CS)"/>
          <w:color w:val="000000" w:themeColor="text1"/>
          <w:vertAlign w:val="superscript"/>
        </w:rPr>
        <w:t>2</w:t>
      </w:r>
      <w:r w:rsidRPr="004D17EB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toxR gen (Aguilera-Rivera et al. 2019); </w:t>
      </w:r>
      <w:r w:rsidRPr="004D17EB">
        <w:rPr>
          <w:rFonts w:asciiTheme="majorBidi" w:hAnsiTheme="majorBidi" w:cs="Times New Roman (Headings CS)"/>
          <w:color w:val="000000" w:themeColor="text1"/>
          <w:vertAlign w:val="superscript"/>
        </w:rPr>
        <w:t>3</w:t>
      </w:r>
      <w:r w:rsidRPr="004D17EB">
        <w:rPr>
          <w:rFonts w:asciiTheme="majorBidi" w:hAnsiTheme="majorBidi" w:cstheme="majorBidi"/>
          <w:i/>
          <w:iCs/>
          <w:color w:val="000000" w:themeColor="text1"/>
          <w:sz w:val="18"/>
          <w:szCs w:val="18"/>
        </w:rPr>
        <w:t>Vibrio</w:t>
      </w:r>
      <w:r w:rsidRPr="004D17EB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>spp</w:t>
      </w:r>
      <w:r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(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>Thompson et al. 2004)</w:t>
      </w:r>
      <w:r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; </w:t>
      </w:r>
      <w:r>
        <w:rPr>
          <w:rFonts w:asciiTheme="majorBidi" w:hAnsiTheme="majorBidi" w:cs="Times New Roman (Headings CS)"/>
          <w:color w:val="000000" w:themeColor="text1"/>
          <w:vertAlign w:val="superscript"/>
        </w:rPr>
        <w:t>4</w:t>
      </w:r>
      <w:bookmarkStart w:id="0" w:name="OLE_LINK1"/>
      <w:r w:rsidRPr="00284E99">
        <w:rPr>
          <w:rFonts w:asciiTheme="majorBidi" w:hAnsiTheme="majorBidi" w:cstheme="majorBidi"/>
          <w:i/>
          <w:iCs/>
          <w:color w:val="000000" w:themeColor="text1"/>
          <w:sz w:val="18"/>
          <w:szCs w:val="18"/>
        </w:rPr>
        <w:t>Vibrio</w:t>
      </w:r>
      <w:r w:rsidRPr="00284E99">
        <w:rPr>
          <w:rFonts w:asciiTheme="majorBidi" w:hAnsiTheme="majorBidi" w:cstheme="majorBidi"/>
          <w:color w:val="000000" w:themeColor="text1"/>
          <w:sz w:val="18"/>
          <w:szCs w:val="18"/>
        </w:rPr>
        <w:t>-specific 16S rRNA gene fragment</w:t>
      </w:r>
      <w:bookmarkEnd w:id="0"/>
      <w:r w:rsidRPr="00284E99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>(</w:t>
      </w:r>
      <w:r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Wang et al. 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>20</w:t>
      </w:r>
      <w:r>
        <w:rPr>
          <w:rFonts w:asciiTheme="majorBidi" w:hAnsiTheme="majorBidi" w:cstheme="majorBidi"/>
          <w:color w:val="000000" w:themeColor="text1"/>
          <w:sz w:val="18"/>
          <w:szCs w:val="18"/>
        </w:rPr>
        <w:t>22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>)</w:t>
      </w:r>
      <w:r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; </w:t>
      </w:r>
      <w:r>
        <w:rPr>
          <w:rFonts w:asciiTheme="majorBidi" w:hAnsiTheme="majorBidi" w:cs="Times New Roman (Headings CS)"/>
          <w:color w:val="000000" w:themeColor="text1"/>
          <w:vertAlign w:val="superscript"/>
        </w:rPr>
        <w:t>5</w:t>
      </w:r>
      <w:r w:rsidRPr="00975BE4">
        <w:rPr>
          <w:rFonts w:asciiTheme="majorBidi" w:hAnsiTheme="majorBidi" w:cstheme="majorBidi"/>
          <w:i/>
          <w:iCs/>
          <w:color w:val="000000" w:themeColor="text1"/>
          <w:sz w:val="18"/>
          <w:szCs w:val="18"/>
        </w:rPr>
        <w:t>Vibrio</w:t>
      </w:r>
      <w:r w:rsidRPr="00975BE4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high virulent protein </w:t>
      </w:r>
      <w:r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gen (Liu et al. 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>20</w:t>
      </w:r>
      <w:r>
        <w:rPr>
          <w:rFonts w:asciiTheme="majorBidi" w:hAnsiTheme="majorBidi" w:cstheme="majorBidi"/>
          <w:color w:val="000000" w:themeColor="text1"/>
          <w:sz w:val="18"/>
          <w:szCs w:val="18"/>
        </w:rPr>
        <w:t>23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>)</w:t>
      </w:r>
      <w:r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; </w:t>
      </w:r>
      <w:r>
        <w:rPr>
          <w:rFonts w:asciiTheme="majorBidi" w:hAnsiTheme="majorBidi" w:cs="Times New Roman (Headings CS)"/>
          <w:color w:val="000000" w:themeColor="text1"/>
          <w:vertAlign w:val="superscript"/>
        </w:rPr>
        <w:t>6</w:t>
      </w:r>
      <w:r w:rsidRPr="00B537BA">
        <w:rPr>
          <w:rFonts w:asciiTheme="majorBidi" w:hAnsiTheme="majorBidi" w:cstheme="majorBidi"/>
          <w:i/>
          <w:iCs/>
          <w:color w:val="000000" w:themeColor="text1"/>
          <w:sz w:val="18"/>
          <w:szCs w:val="18"/>
        </w:rPr>
        <w:t>V</w:t>
      </w:r>
      <w:r>
        <w:rPr>
          <w:rFonts w:asciiTheme="majorBidi" w:hAnsiTheme="majorBidi" w:cstheme="majorBidi"/>
          <w:i/>
          <w:iCs/>
          <w:color w:val="000000" w:themeColor="text1"/>
          <w:sz w:val="18"/>
          <w:szCs w:val="18"/>
        </w:rPr>
        <w:t>. parahaemolyticus</w:t>
      </w:r>
      <w:r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(</w:t>
      </w:r>
      <w:r w:rsidRPr="0081327E">
        <w:rPr>
          <w:rFonts w:asciiTheme="majorBidi" w:hAnsiTheme="majorBidi" w:cstheme="majorBidi"/>
          <w:color w:val="000000" w:themeColor="text1"/>
          <w:sz w:val="18"/>
          <w:szCs w:val="18"/>
        </w:rPr>
        <w:t>Khimmakthong</w:t>
      </w:r>
      <w:r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and</w:t>
      </w:r>
      <w:r w:rsidRPr="0081327E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Sukkarun</w:t>
      </w:r>
      <w:r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, </w:t>
      </w:r>
      <w:r w:rsidRPr="00284E99">
        <w:rPr>
          <w:rFonts w:asciiTheme="majorBidi" w:hAnsiTheme="majorBidi" w:cstheme="majorBidi"/>
          <w:color w:val="000000" w:themeColor="text1"/>
          <w:sz w:val="18"/>
          <w:szCs w:val="18"/>
        </w:rPr>
        <w:t>2017)</w:t>
      </w:r>
      <w:r w:rsidRPr="0081327E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>2004)</w:t>
      </w:r>
      <w:r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; </w:t>
      </w:r>
      <w:r>
        <w:rPr>
          <w:rFonts w:asciiTheme="majorBidi" w:hAnsiTheme="majorBidi" w:cs="Times New Roman (Headings CS)"/>
          <w:color w:val="000000" w:themeColor="text1"/>
          <w:vertAlign w:val="superscript"/>
        </w:rPr>
        <w:t>7</w:t>
      </w:r>
      <w:r w:rsidRPr="00284E99">
        <w:rPr>
          <w:rFonts w:asciiTheme="majorBidi" w:hAnsiTheme="majorBidi" w:cstheme="majorBidi"/>
          <w:i/>
          <w:iCs/>
          <w:color w:val="000000" w:themeColor="text1"/>
          <w:sz w:val="18"/>
          <w:szCs w:val="18"/>
        </w:rPr>
        <w:t>V. harveyi</w:t>
      </w:r>
      <w:r w:rsidRPr="00284E99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(vhh)</w:t>
      </w:r>
      <w:r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(Wang et al. 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>20</w:t>
      </w:r>
      <w:r>
        <w:rPr>
          <w:rFonts w:asciiTheme="majorBidi" w:hAnsiTheme="majorBidi" w:cstheme="majorBidi"/>
          <w:color w:val="000000" w:themeColor="text1"/>
          <w:sz w:val="18"/>
          <w:szCs w:val="18"/>
        </w:rPr>
        <w:t>22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>)</w:t>
      </w:r>
      <w:r>
        <w:rPr>
          <w:rFonts w:asciiTheme="majorBidi" w:hAnsiTheme="majorBidi" w:cstheme="majorBidi"/>
          <w:color w:val="000000" w:themeColor="text1"/>
          <w:sz w:val="18"/>
          <w:szCs w:val="18"/>
        </w:rPr>
        <w:t>.</w:t>
      </w:r>
    </w:p>
    <w:p w14:paraId="68E61C39" w14:textId="77777777" w:rsidR="00682D01" w:rsidRPr="00B537BA" w:rsidRDefault="00682D01" w:rsidP="00682D01">
      <w:pPr>
        <w:spacing w:line="276" w:lineRule="auto"/>
        <w:ind w:left="284" w:right="-180" w:hanging="284"/>
        <w:jc w:val="both"/>
        <w:rPr>
          <w:rFonts w:asciiTheme="majorBidi" w:hAnsiTheme="majorBidi" w:cstheme="majorBidi"/>
          <w:color w:val="000000" w:themeColor="text1"/>
          <w:sz w:val="18"/>
          <w:szCs w:val="18"/>
        </w:rPr>
      </w:pPr>
    </w:p>
    <w:p w14:paraId="5ED5A30D" w14:textId="77777777" w:rsidR="00682D01" w:rsidRPr="00B537BA" w:rsidRDefault="00682D01" w:rsidP="00682D01">
      <w:pPr>
        <w:spacing w:line="360" w:lineRule="auto"/>
        <w:ind w:right="-180"/>
        <w:jc w:val="both"/>
        <w:rPr>
          <w:rFonts w:asciiTheme="majorBidi" w:hAnsiTheme="majorBidi" w:cstheme="majorBidi"/>
          <w:color w:val="000000" w:themeColor="text1"/>
          <w:sz w:val="18"/>
          <w:szCs w:val="18"/>
        </w:rPr>
      </w:pPr>
    </w:p>
    <w:p w14:paraId="44DD1C96" w14:textId="77777777" w:rsidR="00682D01" w:rsidRPr="00B537BA" w:rsidRDefault="00682D01" w:rsidP="00682D01">
      <w:pPr>
        <w:spacing w:line="360" w:lineRule="auto"/>
        <w:ind w:right="-180"/>
        <w:jc w:val="both"/>
        <w:rPr>
          <w:rFonts w:asciiTheme="majorBidi" w:hAnsiTheme="majorBidi" w:cstheme="majorBidi"/>
          <w:color w:val="000000" w:themeColor="text1"/>
        </w:rPr>
      </w:pPr>
      <w:r w:rsidRPr="00B537BA">
        <w:rPr>
          <w:rFonts w:asciiTheme="majorBidi" w:hAnsiTheme="majorBidi" w:cstheme="majorBidi"/>
          <w:b/>
          <w:bCs/>
          <w:color w:val="000000" w:themeColor="text1"/>
        </w:rPr>
        <w:t xml:space="preserve">Table 3b: </w:t>
      </w:r>
      <w:r w:rsidRPr="00B537BA">
        <w:rPr>
          <w:rFonts w:asciiTheme="majorBidi" w:hAnsiTheme="majorBidi" w:cstheme="majorBidi"/>
          <w:color w:val="000000" w:themeColor="text1"/>
        </w:rPr>
        <w:t>API 20E characterization of bacteria isolated from affected and healthy zoea.</w:t>
      </w:r>
    </w:p>
    <w:p w14:paraId="719E91C9" w14:textId="77777777" w:rsidR="00682D01" w:rsidRPr="00B537BA" w:rsidRDefault="00682D01" w:rsidP="00682D01">
      <w:pPr>
        <w:spacing w:line="360" w:lineRule="auto"/>
        <w:ind w:right="-180"/>
        <w:jc w:val="center"/>
        <w:rPr>
          <w:rFonts w:asciiTheme="majorBidi" w:hAnsiTheme="majorBidi" w:cstheme="majorBidi"/>
          <w:color w:val="000000" w:themeColor="text1"/>
          <w:sz w:val="18"/>
          <w:szCs w:val="18"/>
        </w:rPr>
      </w:pPr>
      <w:r w:rsidRPr="00B537BA">
        <w:rPr>
          <w:rFonts w:asciiTheme="majorBidi" w:hAnsiTheme="majorBidi" w:cstheme="majorBidi"/>
          <w:noProof/>
          <w:color w:val="000000" w:themeColor="text1"/>
          <w:sz w:val="18"/>
          <w:szCs w:val="18"/>
          <w14:ligatures w14:val="standardContextual"/>
        </w:rPr>
        <w:drawing>
          <wp:inline distT="0" distB="0" distL="0" distR="0" wp14:anchorId="5E4DFE2D" wp14:editId="1E66A195">
            <wp:extent cx="4118579" cy="3798245"/>
            <wp:effectExtent l="0" t="0" r="0" b="0"/>
            <wp:docPr id="704039461" name="Picture 8" descr="A table with numbers and symbo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4039461" name="Picture 8" descr="A table with numbers and symbols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1921" cy="3810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4BD06A" w14:textId="77777777" w:rsidR="00682D01" w:rsidRPr="00B537BA" w:rsidRDefault="00682D01" w:rsidP="00682D01">
      <w:pPr>
        <w:spacing w:line="360" w:lineRule="auto"/>
        <w:ind w:right="-180"/>
        <w:jc w:val="center"/>
        <w:rPr>
          <w:rFonts w:asciiTheme="majorBidi" w:hAnsiTheme="majorBidi" w:cstheme="majorBidi"/>
          <w:color w:val="000000" w:themeColor="text1"/>
          <w:sz w:val="18"/>
          <w:szCs w:val="18"/>
        </w:rPr>
      </w:pPr>
    </w:p>
    <w:p w14:paraId="56877136" w14:textId="77777777" w:rsidR="00682D01" w:rsidRPr="00B537BA" w:rsidRDefault="00682D01" w:rsidP="00682D01">
      <w:pPr>
        <w:spacing w:line="360" w:lineRule="auto"/>
        <w:ind w:right="-180"/>
        <w:jc w:val="both"/>
        <w:rPr>
          <w:rFonts w:asciiTheme="majorBidi" w:hAnsiTheme="majorBidi" w:cstheme="majorBidi"/>
          <w:color w:val="000000" w:themeColor="text1"/>
          <w:sz w:val="18"/>
          <w:szCs w:val="18"/>
        </w:rPr>
      </w:pPr>
      <w:r w:rsidRPr="00B537BA">
        <w:rPr>
          <w:rFonts w:asciiTheme="majorBidi" w:hAnsiTheme="majorBidi" w:cs="Times New Roman (Headings CS)"/>
          <w:color w:val="000000" w:themeColor="text1"/>
          <w:sz w:val="28"/>
          <w:szCs w:val="18"/>
          <w:vertAlign w:val="superscript"/>
        </w:rPr>
        <w:t>a</w:t>
      </w:r>
      <w:r w:rsidRPr="00B537BA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(numbers in parenthesis (Group/total strains)</w:t>
      </w:r>
    </w:p>
    <w:p w14:paraId="2D14DEEE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(Headings CS)">
    <w:altName w:val="Times New Roman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7E3564"/>
    <w:multiLevelType w:val="hybridMultilevel"/>
    <w:tmpl w:val="CE2AA3CC"/>
    <w:lvl w:ilvl="0" w:tplc="021EB8AA">
      <w:start w:val="1"/>
      <w:numFmt w:val="bullet"/>
      <w:lvlText w:val=""/>
      <w:lvlJc w:val="left"/>
      <w:pPr>
        <w:ind w:left="360" w:hanging="360"/>
      </w:pPr>
      <w:rPr>
        <w:rFonts w:ascii="Symbol" w:eastAsia="Times New Roman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4796154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D01"/>
    <w:rsid w:val="000C30FD"/>
    <w:rsid w:val="000D4074"/>
    <w:rsid w:val="001E4B73"/>
    <w:rsid w:val="005314AC"/>
    <w:rsid w:val="00682D01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87716"/>
  <w15:chartTrackingRefBased/>
  <w15:docId w15:val="{C41A1D96-A6F5-4206-BF66-FD332AA8B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2D0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bidi="he-IL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2D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413</Words>
  <Characters>2360</Characters>
  <Application>Microsoft Office Word</Application>
  <DocSecurity>0</DocSecurity>
  <Lines>19</Lines>
  <Paragraphs>5</Paragraphs>
  <ScaleCrop>false</ScaleCrop>
  <Company>Springer Nature</Company>
  <LinksUpToDate>false</LinksUpToDate>
  <CharactersWithSpaces>2768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2024-03-06T06:15:00Z</dcterms:created>
  <dcterms:modified xsi:type="dcterms:W3CDTF">2024-03-06T06:15:00Z</dcterms:modified>
</cp:coreProperties>
</file>