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6F19" w:rsidRPr="00E8208A" w:rsidRDefault="00E8208A" w:rsidP="00D27A17">
      <w:pPr>
        <w:spacing w:line="360" w:lineRule="auto"/>
        <w:ind w:left="426" w:hanging="426"/>
        <w:jc w:val="center"/>
        <w:rPr>
          <w:b/>
          <w:sz w:val="28"/>
          <w:szCs w:val="28"/>
        </w:rPr>
      </w:pPr>
      <w:proofErr w:type="spellStart"/>
      <w:r w:rsidRPr="00E8208A">
        <w:rPr>
          <w:b/>
          <w:sz w:val="28"/>
          <w:szCs w:val="28"/>
        </w:rPr>
        <w:t>Supplementary</w:t>
      </w:r>
      <w:proofErr w:type="spellEnd"/>
      <w:r w:rsidRPr="00E8208A">
        <w:rPr>
          <w:b/>
          <w:sz w:val="28"/>
          <w:szCs w:val="28"/>
        </w:rPr>
        <w:t xml:space="preserve"> </w:t>
      </w:r>
      <w:r w:rsidR="007055B4">
        <w:rPr>
          <w:b/>
          <w:sz w:val="28"/>
          <w:szCs w:val="28"/>
        </w:rPr>
        <w:t>information</w:t>
      </w:r>
      <w:bookmarkStart w:id="0" w:name="_GoBack"/>
      <w:bookmarkEnd w:id="0"/>
    </w:p>
    <w:p w:rsidR="00D27A17" w:rsidRDefault="00D27A17" w:rsidP="00D27A17">
      <w:pPr>
        <w:spacing w:line="360" w:lineRule="auto"/>
        <w:ind w:left="426" w:hanging="426"/>
        <w:jc w:val="center"/>
        <w:rPr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5B095AFF" wp14:editId="10F4E146">
            <wp:extent cx="4838700" cy="3070860"/>
            <wp:effectExtent l="0" t="0" r="0" b="15240"/>
            <wp:docPr id="9" name="Graphique 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367183" w:rsidRPr="00850DBB" w:rsidRDefault="00D27A17" w:rsidP="00D27A17">
      <w:pPr>
        <w:spacing w:line="360" w:lineRule="auto"/>
        <w:ind w:left="426" w:hanging="426"/>
        <w:jc w:val="center"/>
        <w:rPr>
          <w:b/>
          <w:szCs w:val="24"/>
          <w:lang w:val="en-GB"/>
        </w:rPr>
      </w:pPr>
      <w:r w:rsidRPr="00850DBB">
        <w:rPr>
          <w:b/>
          <w:szCs w:val="24"/>
          <w:lang w:val="en-GB"/>
        </w:rPr>
        <w:t>Supplementary figure 1.  Calibration curve (Glucose solution)</w:t>
      </w:r>
    </w:p>
    <w:p w:rsidR="003F36E1" w:rsidRPr="003F36E1" w:rsidRDefault="003F36E1" w:rsidP="003F36E1">
      <w:pPr>
        <w:spacing w:line="360" w:lineRule="auto"/>
        <w:rPr>
          <w:szCs w:val="24"/>
          <w:lang w:val="en-GB"/>
        </w:rPr>
      </w:pPr>
      <w:r w:rsidRPr="003F36E1">
        <w:rPr>
          <w:szCs w:val="24"/>
          <w:lang w:val="en-GB"/>
        </w:rPr>
        <w:t xml:space="preserve">This calibration curve had been used to understand the instrumental response to the </w:t>
      </w:r>
      <w:proofErr w:type="spellStart"/>
      <w:r w:rsidRPr="003F36E1">
        <w:rPr>
          <w:szCs w:val="24"/>
          <w:lang w:val="en-GB"/>
        </w:rPr>
        <w:t>analyte</w:t>
      </w:r>
      <w:proofErr w:type="spellEnd"/>
      <w:r w:rsidRPr="003F36E1">
        <w:rPr>
          <w:szCs w:val="24"/>
          <w:lang w:val="en-GB"/>
        </w:rPr>
        <w:t xml:space="preserve"> and predict the concentration in our samples during </w:t>
      </w:r>
      <w:proofErr w:type="spellStart"/>
      <w:r w:rsidRPr="003F36E1">
        <w:rPr>
          <w:szCs w:val="24"/>
          <w:lang w:val="en-GB"/>
        </w:rPr>
        <w:t>saccharification</w:t>
      </w:r>
      <w:proofErr w:type="spellEnd"/>
      <w:r w:rsidRPr="003F36E1">
        <w:rPr>
          <w:szCs w:val="24"/>
          <w:lang w:val="en-GB"/>
        </w:rPr>
        <w:t xml:space="preserve">. A standard solution of glucose at </w:t>
      </w:r>
      <w:r w:rsidR="00850DBB">
        <w:rPr>
          <w:szCs w:val="24"/>
          <w:lang w:val="en-GB"/>
        </w:rPr>
        <w:t>various</w:t>
      </w:r>
      <w:r w:rsidRPr="003F36E1">
        <w:rPr>
          <w:szCs w:val="24"/>
          <w:lang w:val="en-GB"/>
        </w:rPr>
        <w:t xml:space="preserve"> concentrations with a range including the unknown of interest and the instrumental response at each concentration is recorded.</w:t>
      </w:r>
    </w:p>
    <w:p w:rsidR="003F36E1" w:rsidRPr="003F36E1" w:rsidRDefault="003F36E1" w:rsidP="003F36E1">
      <w:pPr>
        <w:spacing w:line="360" w:lineRule="auto"/>
        <w:rPr>
          <w:szCs w:val="24"/>
          <w:lang w:val="en-GB"/>
        </w:rPr>
      </w:pPr>
      <w:r w:rsidRPr="003F36E1">
        <w:rPr>
          <w:szCs w:val="24"/>
          <w:lang w:val="en-GB"/>
        </w:rPr>
        <w:t xml:space="preserve">For </w:t>
      </w:r>
      <w:r w:rsidR="00850DBB">
        <w:rPr>
          <w:szCs w:val="24"/>
          <w:lang w:val="en-GB"/>
        </w:rPr>
        <w:t xml:space="preserve">more </w:t>
      </w:r>
      <w:r w:rsidRPr="003F36E1">
        <w:rPr>
          <w:szCs w:val="24"/>
          <w:lang w:val="en-GB"/>
        </w:rPr>
        <w:t xml:space="preserve">precision and to understand the error, the response at each concentration was repeated to obtain an error bar. The data was then fitted to a </w:t>
      </w:r>
      <w:r w:rsidR="00850DBB">
        <w:rPr>
          <w:szCs w:val="24"/>
          <w:lang w:val="en-GB"/>
        </w:rPr>
        <w:t xml:space="preserve">linear </w:t>
      </w:r>
      <w:r w:rsidRPr="003F36E1">
        <w:rPr>
          <w:szCs w:val="24"/>
          <w:lang w:val="en-GB"/>
        </w:rPr>
        <w:t>function so that unknown concentrations could be predicted.</w:t>
      </w:r>
    </w:p>
    <w:p w:rsidR="005A37A7" w:rsidRPr="00FE4F73" w:rsidRDefault="005A37A7" w:rsidP="005A37A7">
      <w:pPr>
        <w:spacing w:line="360" w:lineRule="auto"/>
        <w:ind w:left="426" w:hanging="426"/>
        <w:rPr>
          <w:rFonts w:cs="Times New Roman"/>
          <w:b/>
          <w:szCs w:val="24"/>
        </w:rPr>
      </w:pPr>
      <w:proofErr w:type="spellStart"/>
      <w:r w:rsidRPr="00FE4F73">
        <w:rPr>
          <w:rFonts w:cs="Times New Roman"/>
          <w:b/>
          <w:szCs w:val="24"/>
        </w:rPr>
        <w:t>Supplementary</w:t>
      </w:r>
      <w:proofErr w:type="spellEnd"/>
      <w:r w:rsidRPr="00FE4F73">
        <w:rPr>
          <w:rFonts w:cs="Times New Roman"/>
          <w:b/>
          <w:szCs w:val="24"/>
        </w:rPr>
        <w:t xml:space="preserve"> table </w:t>
      </w:r>
      <w:r>
        <w:rPr>
          <w:rFonts w:cs="Times New Roman"/>
          <w:b/>
          <w:szCs w:val="24"/>
        </w:rPr>
        <w:t>1</w:t>
      </w:r>
      <w:r w:rsidRPr="00FE4F73">
        <w:rPr>
          <w:rFonts w:cs="Times New Roman"/>
          <w:b/>
          <w:szCs w:val="24"/>
        </w:rPr>
        <w:t>. Calibration solution (glucose solution)</w:t>
      </w:r>
    </w:p>
    <w:tbl>
      <w:tblPr>
        <w:tblStyle w:val="Grilledetableauclaire"/>
        <w:tblW w:w="4763" w:type="dxa"/>
        <w:jc w:val="center"/>
        <w:tblLook w:val="04A0" w:firstRow="1" w:lastRow="0" w:firstColumn="1" w:lastColumn="0" w:noHBand="0" w:noVBand="1"/>
      </w:tblPr>
      <w:tblGrid>
        <w:gridCol w:w="2569"/>
        <w:gridCol w:w="2194"/>
      </w:tblGrid>
      <w:tr w:rsidR="005A37A7" w:rsidRPr="00FE4F73" w:rsidTr="005A779B">
        <w:trPr>
          <w:trHeight w:val="299"/>
          <w:jc w:val="center"/>
        </w:trPr>
        <w:tc>
          <w:tcPr>
            <w:tcW w:w="2569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Concentration (g/L)</w:t>
            </w:r>
          </w:p>
        </w:tc>
        <w:tc>
          <w:tcPr>
            <w:tcW w:w="2194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Absorbance (λ=540nm)</w:t>
            </w:r>
          </w:p>
        </w:tc>
      </w:tr>
      <w:tr w:rsidR="005A37A7" w:rsidRPr="00FE4F73" w:rsidTr="005A779B">
        <w:trPr>
          <w:trHeight w:val="299"/>
          <w:jc w:val="center"/>
        </w:trPr>
        <w:tc>
          <w:tcPr>
            <w:tcW w:w="2569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</w:t>
            </w:r>
          </w:p>
        </w:tc>
        <w:tc>
          <w:tcPr>
            <w:tcW w:w="2194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0,016</w:t>
            </w:r>
          </w:p>
        </w:tc>
      </w:tr>
      <w:tr w:rsidR="005A37A7" w:rsidRPr="00FE4F73" w:rsidTr="005A779B">
        <w:trPr>
          <w:trHeight w:val="299"/>
          <w:jc w:val="center"/>
        </w:trPr>
        <w:tc>
          <w:tcPr>
            <w:tcW w:w="2569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0,5</w:t>
            </w:r>
          </w:p>
        </w:tc>
        <w:tc>
          <w:tcPr>
            <w:tcW w:w="2194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0,177</w:t>
            </w:r>
          </w:p>
        </w:tc>
      </w:tr>
      <w:tr w:rsidR="005A37A7" w:rsidRPr="00FE4F73" w:rsidTr="005A779B">
        <w:trPr>
          <w:trHeight w:val="299"/>
          <w:jc w:val="center"/>
        </w:trPr>
        <w:tc>
          <w:tcPr>
            <w:tcW w:w="2569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1</w:t>
            </w:r>
          </w:p>
        </w:tc>
        <w:tc>
          <w:tcPr>
            <w:tcW w:w="2194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0,280</w:t>
            </w:r>
          </w:p>
        </w:tc>
      </w:tr>
      <w:tr w:rsidR="005A37A7" w:rsidRPr="00FE4F73" w:rsidTr="005A779B">
        <w:trPr>
          <w:trHeight w:val="299"/>
          <w:jc w:val="center"/>
        </w:trPr>
        <w:tc>
          <w:tcPr>
            <w:tcW w:w="2569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1,5</w:t>
            </w:r>
          </w:p>
        </w:tc>
        <w:tc>
          <w:tcPr>
            <w:tcW w:w="2194" w:type="dxa"/>
            <w:noWrap/>
            <w:hideMark/>
          </w:tcPr>
          <w:p w:rsidR="005A37A7" w:rsidRPr="00FE4F73" w:rsidRDefault="005A37A7" w:rsidP="005A779B">
            <w:pPr>
              <w:jc w:val="center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0,480</w:t>
            </w:r>
          </w:p>
        </w:tc>
      </w:tr>
    </w:tbl>
    <w:p w:rsidR="005A37A7" w:rsidRDefault="005A37A7" w:rsidP="00164B7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Cs w:val="24"/>
          <w:lang w:val="en-GB"/>
        </w:rPr>
      </w:pPr>
    </w:p>
    <w:p w:rsidR="00850DBB" w:rsidRDefault="00850DBB" w:rsidP="00164B7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Cs w:val="24"/>
          <w:lang w:val="en-GB"/>
        </w:rPr>
      </w:pPr>
    </w:p>
    <w:p w:rsidR="00850DBB" w:rsidRDefault="00E8208A" w:rsidP="00164B77">
      <w:pPr>
        <w:autoSpaceDE w:val="0"/>
        <w:autoSpaceDN w:val="0"/>
        <w:adjustRightInd w:val="0"/>
        <w:spacing w:after="0" w:line="240" w:lineRule="auto"/>
        <w:rPr>
          <w:rFonts w:cs="Times New Roman"/>
          <w:szCs w:val="24"/>
          <w:lang w:val="en-GB"/>
        </w:rPr>
      </w:pPr>
      <w:r w:rsidRPr="00E8208A">
        <w:rPr>
          <w:rFonts w:cs="Times New Roman"/>
          <w:szCs w:val="24"/>
          <w:lang w:val="en-GB"/>
        </w:rPr>
        <w:t>Table 1 summarizes the values of different concentrations of the calibration solution read using a</w:t>
      </w:r>
      <w:r>
        <w:rPr>
          <w:rFonts w:cs="Times New Roman"/>
          <w:szCs w:val="24"/>
          <w:lang w:val="en-GB"/>
        </w:rPr>
        <w:t>n</w:t>
      </w:r>
      <w:r w:rsidRPr="00E8208A">
        <w:rPr>
          <w:rFonts w:cs="Times New Roman"/>
          <w:szCs w:val="24"/>
          <w:lang w:val="en-GB"/>
        </w:rPr>
        <w:t xml:space="preserve"> UV visible spectrophotometer (</w:t>
      </w:r>
      <w:r w:rsidRPr="00E8208A">
        <w:rPr>
          <w:rFonts w:cs="Times New Roman"/>
          <w:szCs w:val="24"/>
        </w:rPr>
        <w:t>λ</w:t>
      </w:r>
      <w:r w:rsidRPr="00E8208A">
        <w:rPr>
          <w:rFonts w:cs="Times New Roman"/>
          <w:szCs w:val="24"/>
          <w:lang w:val="en-GB"/>
        </w:rPr>
        <w:t>=540nm).</w:t>
      </w:r>
    </w:p>
    <w:p w:rsidR="00E8208A" w:rsidRPr="00E8208A" w:rsidRDefault="00E8208A" w:rsidP="00164B7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Cs w:val="24"/>
          <w:lang w:val="en-GB"/>
        </w:rPr>
      </w:pPr>
    </w:p>
    <w:p w:rsidR="00850DBB" w:rsidRPr="00E8208A" w:rsidRDefault="00850DBB" w:rsidP="00164B77">
      <w:pPr>
        <w:autoSpaceDE w:val="0"/>
        <w:autoSpaceDN w:val="0"/>
        <w:adjustRightInd w:val="0"/>
        <w:spacing w:after="0" w:line="240" w:lineRule="auto"/>
        <w:rPr>
          <w:rFonts w:cs="Times New Roman"/>
          <w:b/>
          <w:szCs w:val="24"/>
          <w:lang w:val="en-GB"/>
        </w:rPr>
      </w:pPr>
    </w:p>
    <w:p w:rsidR="005A37A7" w:rsidRPr="008C3225" w:rsidRDefault="005A37A7" w:rsidP="005A37A7">
      <w:pPr>
        <w:spacing w:line="360" w:lineRule="auto"/>
        <w:ind w:left="426" w:hanging="426"/>
        <w:rPr>
          <w:rFonts w:cs="Times New Roman"/>
          <w:b/>
          <w:szCs w:val="24"/>
          <w:lang w:val="en-GB"/>
        </w:rPr>
      </w:pPr>
      <w:r w:rsidRPr="008C3225">
        <w:rPr>
          <w:rFonts w:cs="Times New Roman"/>
          <w:b/>
          <w:szCs w:val="24"/>
          <w:lang w:val="en-GB"/>
        </w:rPr>
        <w:lastRenderedPageBreak/>
        <w:t xml:space="preserve">Supplementary table </w:t>
      </w:r>
      <w:r>
        <w:rPr>
          <w:rFonts w:cs="Times New Roman"/>
          <w:b/>
          <w:szCs w:val="24"/>
          <w:lang w:val="en-GB"/>
        </w:rPr>
        <w:t>2</w:t>
      </w:r>
      <w:r w:rsidRPr="008C3225">
        <w:rPr>
          <w:rFonts w:cs="Times New Roman"/>
          <w:b/>
          <w:szCs w:val="24"/>
          <w:lang w:val="en-GB"/>
        </w:rPr>
        <w:t xml:space="preserve">. Treatments, Absorbance and quantity of sugar released </w:t>
      </w:r>
    </w:p>
    <w:tbl>
      <w:tblPr>
        <w:tblStyle w:val="Tableausimple1"/>
        <w:tblW w:w="8500" w:type="dxa"/>
        <w:jc w:val="center"/>
        <w:tblLook w:val="04A0" w:firstRow="1" w:lastRow="0" w:firstColumn="1" w:lastColumn="0" w:noHBand="0" w:noVBand="1"/>
      </w:tblPr>
      <w:tblGrid>
        <w:gridCol w:w="1701"/>
        <w:gridCol w:w="1560"/>
        <w:gridCol w:w="5239"/>
      </w:tblGrid>
      <w:tr w:rsidR="005A37A7" w:rsidRPr="00E8208A" w:rsidTr="005A77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proofErr w:type="spellStart"/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Treatments</w:t>
            </w:r>
            <w:proofErr w:type="spellEnd"/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Absorbance (λ=540nm)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val="en-GB"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val="en-GB" w:eastAsia="fr-FR"/>
              </w:rPr>
              <w:t>Quantity of sugar in equivalent gram of glucose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TAN0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0,168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51,505017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TAN1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0,241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75,919732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TAN2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0,214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66,889632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TAN3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0,211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65,886288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TAN4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0,193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59,866221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TAN5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0,259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81,939799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TAN6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0,215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67,224080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TBN0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0,153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46,488294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TBN1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0,223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69,899666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TBN2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0,207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64,548495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TBN3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0,181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55,852843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TBN4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0,184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56,856187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TBN5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0,259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81,939799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TBN6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0,208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64,882943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TAG0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0,172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52,842809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TAG1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0,215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67,224080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TAG2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0,191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59,197324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TAG3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0,192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59,531773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TAG4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0,207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64,548495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TAG5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0,231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72,575251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TAG6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0,204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63,545151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TBG0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0,169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51,839465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TBG1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0,218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68,227425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TBG2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0,198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61,538462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TBG3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0,210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65,551839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TBG4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0,222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69,565217</w:t>
            </w:r>
          </w:p>
        </w:tc>
      </w:tr>
      <w:tr w:rsidR="005A37A7" w:rsidRPr="00E85096" w:rsidTr="005A77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TBG5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0,213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66,555184</w:t>
            </w:r>
          </w:p>
        </w:tc>
      </w:tr>
      <w:tr w:rsidR="005A37A7" w:rsidRPr="00E85096" w:rsidTr="005A779B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:rsidR="005A37A7" w:rsidRPr="00FE4F73" w:rsidRDefault="005A37A7" w:rsidP="005A779B">
            <w:pPr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TBG6</w:t>
            </w:r>
          </w:p>
        </w:tc>
        <w:tc>
          <w:tcPr>
            <w:tcW w:w="1560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0,243</w:t>
            </w:r>
          </w:p>
        </w:tc>
        <w:tc>
          <w:tcPr>
            <w:tcW w:w="5239" w:type="dxa"/>
            <w:noWrap/>
            <w:hideMark/>
          </w:tcPr>
          <w:p w:rsidR="005A37A7" w:rsidRPr="00FE4F73" w:rsidRDefault="005A37A7" w:rsidP="005A77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color w:val="000000"/>
                <w:szCs w:val="24"/>
                <w:lang w:eastAsia="fr-FR"/>
              </w:rPr>
            </w:pPr>
            <w:r w:rsidRPr="00FE4F73">
              <w:rPr>
                <w:rFonts w:eastAsia="Times New Roman" w:cs="Times New Roman"/>
                <w:color w:val="000000"/>
                <w:szCs w:val="24"/>
                <w:lang w:eastAsia="fr-FR"/>
              </w:rPr>
              <w:t>76,588629</w:t>
            </w:r>
          </w:p>
        </w:tc>
      </w:tr>
    </w:tbl>
    <w:p w:rsidR="005A37A7" w:rsidRDefault="005A37A7" w:rsidP="005A37A7">
      <w:pPr>
        <w:spacing w:after="0" w:line="360" w:lineRule="auto"/>
        <w:rPr>
          <w:rFonts w:cs="Times New Roman"/>
          <w:szCs w:val="24"/>
          <w:lang w:val="en-GB"/>
        </w:rPr>
      </w:pPr>
    </w:p>
    <w:p w:rsidR="005A37A7" w:rsidRPr="005A37A7" w:rsidRDefault="005A37A7" w:rsidP="005A37A7">
      <w:pPr>
        <w:spacing w:after="0" w:line="360" w:lineRule="auto"/>
        <w:rPr>
          <w:rFonts w:cs="Times New Roman"/>
          <w:b/>
          <w:sz w:val="20"/>
          <w:szCs w:val="20"/>
          <w:lang w:val="en-GB"/>
        </w:rPr>
      </w:pPr>
      <w:r w:rsidRPr="005A37A7">
        <w:rPr>
          <w:rFonts w:cs="Times New Roman"/>
          <w:sz w:val="20"/>
          <w:szCs w:val="20"/>
          <w:lang w:val="en-GB"/>
        </w:rPr>
        <w:t xml:space="preserve">Where </w:t>
      </w:r>
      <w:r w:rsidRPr="005A37A7">
        <w:rPr>
          <w:rFonts w:cs="Times New Roman"/>
          <w:b/>
          <w:sz w:val="20"/>
          <w:szCs w:val="20"/>
          <w:lang w:val="en-GB"/>
        </w:rPr>
        <w:t>TBN:</w:t>
      </w:r>
      <w:r w:rsidRPr="005A37A7">
        <w:rPr>
          <w:rFonts w:cs="Times New Roman"/>
          <w:sz w:val="20"/>
          <w:szCs w:val="20"/>
          <w:lang w:val="en-GB"/>
        </w:rPr>
        <w:t xml:space="preserve"> Temperature of β-amylase, non-gelatinized flour; </w:t>
      </w:r>
      <w:r w:rsidRPr="005A37A7">
        <w:rPr>
          <w:rFonts w:cs="Times New Roman"/>
          <w:b/>
          <w:sz w:val="20"/>
          <w:szCs w:val="20"/>
          <w:lang w:val="en-GB"/>
        </w:rPr>
        <w:t>TAN</w:t>
      </w:r>
      <w:r w:rsidRPr="005A37A7">
        <w:rPr>
          <w:rFonts w:cs="Times New Roman"/>
          <w:sz w:val="20"/>
          <w:szCs w:val="20"/>
          <w:lang w:val="en-GB"/>
        </w:rPr>
        <w:t xml:space="preserve">: Temperature of α-amylase, non-gelatinized flour; </w:t>
      </w:r>
      <w:r w:rsidRPr="005A37A7">
        <w:rPr>
          <w:rFonts w:cs="Times New Roman"/>
          <w:b/>
          <w:sz w:val="20"/>
          <w:szCs w:val="20"/>
          <w:lang w:val="en-GB"/>
        </w:rPr>
        <w:t xml:space="preserve">TAG: </w:t>
      </w:r>
      <w:r w:rsidRPr="005A37A7">
        <w:rPr>
          <w:rFonts w:cs="Times New Roman"/>
          <w:sz w:val="20"/>
          <w:szCs w:val="20"/>
          <w:lang w:val="en-GB"/>
        </w:rPr>
        <w:t xml:space="preserve">Temperature of α-amylase, gelatinized flour; </w:t>
      </w:r>
      <w:r w:rsidRPr="005A37A7">
        <w:rPr>
          <w:rFonts w:cs="Times New Roman"/>
          <w:b/>
          <w:sz w:val="20"/>
          <w:szCs w:val="20"/>
          <w:lang w:val="en-GB"/>
        </w:rPr>
        <w:t xml:space="preserve">TBG: </w:t>
      </w:r>
      <w:r w:rsidRPr="005A37A7">
        <w:rPr>
          <w:rFonts w:cs="Times New Roman"/>
          <w:sz w:val="20"/>
          <w:szCs w:val="20"/>
          <w:lang w:val="en-GB"/>
        </w:rPr>
        <w:t>Temperature of β-amylase, gelatinized flour; and 0: 0g of cassava flour /</w:t>
      </w:r>
      <w:proofErr w:type="gramStart"/>
      <w:r w:rsidRPr="005A37A7">
        <w:rPr>
          <w:rFonts w:cs="Times New Roman"/>
          <w:sz w:val="20"/>
          <w:szCs w:val="20"/>
          <w:lang w:val="en-GB"/>
        </w:rPr>
        <w:t>L ;</w:t>
      </w:r>
      <w:proofErr w:type="gramEnd"/>
      <w:r w:rsidRPr="005A37A7">
        <w:rPr>
          <w:rFonts w:cs="Times New Roman"/>
          <w:sz w:val="20"/>
          <w:szCs w:val="20"/>
          <w:lang w:val="en-GB"/>
        </w:rPr>
        <w:t xml:space="preserve"> 1: 1g of cassava flour /L; 2: 2g of cassava flour/L; 3 : 3g of cassava flour /L, 4: 4g of cassava flour /L; 5: 5g of cassava flour /L and 6: 6g of cassava flour /L</w:t>
      </w:r>
    </w:p>
    <w:p w:rsidR="00164B77" w:rsidRPr="005A37A7" w:rsidRDefault="00164B77" w:rsidP="00D27A17">
      <w:pPr>
        <w:spacing w:line="360" w:lineRule="auto"/>
        <w:ind w:left="426" w:hanging="426"/>
        <w:jc w:val="center"/>
        <w:rPr>
          <w:lang w:val="en-GB"/>
        </w:rPr>
      </w:pPr>
    </w:p>
    <w:sectPr w:rsidR="00164B77" w:rsidRPr="005A37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0C2F63"/>
    <w:multiLevelType w:val="hybridMultilevel"/>
    <w:tmpl w:val="2724033A"/>
    <w:lvl w:ilvl="0" w:tplc="82DA8D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E044C"/>
    <w:multiLevelType w:val="hybridMultilevel"/>
    <w:tmpl w:val="AD145E38"/>
    <w:lvl w:ilvl="0" w:tplc="1216467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36361F4"/>
    <w:multiLevelType w:val="hybridMultilevel"/>
    <w:tmpl w:val="3CFAB340"/>
    <w:lvl w:ilvl="0" w:tplc="22767E3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5209B68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90518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BDC2C6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190F0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4C68BB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396783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D80C7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348441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3264B3"/>
    <w:multiLevelType w:val="hybridMultilevel"/>
    <w:tmpl w:val="94FCF298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953E08"/>
    <w:multiLevelType w:val="multilevel"/>
    <w:tmpl w:val="B37656E4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393"/>
    <w:rsid w:val="000D22ED"/>
    <w:rsid w:val="000D7229"/>
    <w:rsid w:val="00114037"/>
    <w:rsid w:val="00164B77"/>
    <w:rsid w:val="001B1D62"/>
    <w:rsid w:val="002024D2"/>
    <w:rsid w:val="002259D0"/>
    <w:rsid w:val="0026635C"/>
    <w:rsid w:val="0029410E"/>
    <w:rsid w:val="002D2284"/>
    <w:rsid w:val="00306F19"/>
    <w:rsid w:val="00367183"/>
    <w:rsid w:val="003A0C88"/>
    <w:rsid w:val="003B1EC2"/>
    <w:rsid w:val="003F36E1"/>
    <w:rsid w:val="00402904"/>
    <w:rsid w:val="0041261C"/>
    <w:rsid w:val="00421D5A"/>
    <w:rsid w:val="00460C1D"/>
    <w:rsid w:val="00565409"/>
    <w:rsid w:val="00570615"/>
    <w:rsid w:val="00582895"/>
    <w:rsid w:val="00583B93"/>
    <w:rsid w:val="00597D7E"/>
    <w:rsid w:val="005A0888"/>
    <w:rsid w:val="005A37A7"/>
    <w:rsid w:val="00690C3B"/>
    <w:rsid w:val="007055B4"/>
    <w:rsid w:val="00775393"/>
    <w:rsid w:val="00782044"/>
    <w:rsid w:val="007C648C"/>
    <w:rsid w:val="008465A7"/>
    <w:rsid w:val="00850DBB"/>
    <w:rsid w:val="00953B0C"/>
    <w:rsid w:val="009A4D88"/>
    <w:rsid w:val="00A940E3"/>
    <w:rsid w:val="00A97BFF"/>
    <w:rsid w:val="00AD232E"/>
    <w:rsid w:val="00B93161"/>
    <w:rsid w:val="00BE3D1B"/>
    <w:rsid w:val="00C0603D"/>
    <w:rsid w:val="00C25F22"/>
    <w:rsid w:val="00C94A22"/>
    <w:rsid w:val="00CD7963"/>
    <w:rsid w:val="00D114F2"/>
    <w:rsid w:val="00D27A17"/>
    <w:rsid w:val="00D55EF8"/>
    <w:rsid w:val="00D91E8C"/>
    <w:rsid w:val="00DF45DB"/>
    <w:rsid w:val="00E8208A"/>
    <w:rsid w:val="00EA79CF"/>
    <w:rsid w:val="00F9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F89F4"/>
  <w15:chartTrackingRefBased/>
  <w15:docId w15:val="{C235C746-B0D3-474C-99B3-CE7777B66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7A17"/>
    <w:pPr>
      <w:jc w:val="both"/>
    </w:pPr>
    <w:rPr>
      <w:rFonts w:ascii="Times New Roman" w:hAnsi="Times New Roman"/>
      <w:sz w:val="24"/>
      <w:lang w:val="fr-FR"/>
    </w:rPr>
  </w:style>
  <w:style w:type="paragraph" w:styleId="Titre1">
    <w:name w:val="heading 1"/>
    <w:basedOn w:val="Normal"/>
    <w:link w:val="Titre1Car"/>
    <w:uiPriority w:val="9"/>
    <w:qFormat/>
    <w:rsid w:val="003A0C88"/>
    <w:pPr>
      <w:spacing w:before="100" w:beforeAutospacing="1" w:after="100" w:afterAutospacing="1" w:line="240" w:lineRule="auto"/>
      <w:jc w:val="left"/>
      <w:outlineLvl w:val="0"/>
    </w:pPr>
    <w:rPr>
      <w:rFonts w:eastAsiaTheme="minorEastAsia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5">
    <w:name w:val="A5"/>
    <w:uiPriority w:val="99"/>
    <w:rsid w:val="00775393"/>
    <w:rPr>
      <w:color w:val="000000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3A0C88"/>
    <w:rPr>
      <w:rFonts w:ascii="Times New Roman" w:eastAsiaTheme="minorEastAsia" w:hAnsi="Times New Roman" w:cs="Times New Roman"/>
      <w:b/>
      <w:bCs/>
      <w:kern w:val="36"/>
      <w:sz w:val="48"/>
      <w:szCs w:val="48"/>
      <w:lang w:val="fr-FR" w:eastAsia="fr-FR"/>
    </w:rPr>
  </w:style>
  <w:style w:type="paragraph" w:styleId="Paragraphedeliste">
    <w:name w:val="List Paragraph"/>
    <w:basedOn w:val="Normal"/>
    <w:uiPriority w:val="34"/>
    <w:qFormat/>
    <w:rsid w:val="002D2284"/>
    <w:pPr>
      <w:ind w:left="720"/>
      <w:contextualSpacing/>
      <w:jc w:val="left"/>
    </w:pPr>
    <w:rPr>
      <w:rFonts w:asciiTheme="minorHAnsi" w:hAnsiTheme="minorHAnsi"/>
      <w:sz w:val="22"/>
    </w:rPr>
  </w:style>
  <w:style w:type="table" w:styleId="Grilledutableau">
    <w:name w:val="Table Grid"/>
    <w:basedOn w:val="TableauNormal"/>
    <w:uiPriority w:val="39"/>
    <w:rsid w:val="00597D7E"/>
    <w:pPr>
      <w:widowControl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ie">
    <w:name w:val="Bibliography"/>
    <w:basedOn w:val="Normal"/>
    <w:next w:val="Normal"/>
    <w:uiPriority w:val="37"/>
    <w:semiHidden/>
    <w:unhideWhenUsed/>
    <w:rsid w:val="00402904"/>
    <w:pPr>
      <w:jc w:val="left"/>
    </w:pPr>
    <w:rPr>
      <w:rFonts w:asciiTheme="minorHAnsi" w:hAnsiTheme="minorHAnsi"/>
      <w:sz w:val="22"/>
    </w:rPr>
  </w:style>
  <w:style w:type="character" w:styleId="Accentuation">
    <w:name w:val="Emphasis"/>
    <w:basedOn w:val="Policepardfaut"/>
    <w:uiPriority w:val="20"/>
    <w:qFormat/>
    <w:rsid w:val="00402904"/>
    <w:rPr>
      <w:i/>
      <w:iCs/>
    </w:rPr>
  </w:style>
  <w:style w:type="character" w:styleId="Lienhypertexte">
    <w:name w:val="Hyperlink"/>
    <w:basedOn w:val="Policepardfaut"/>
    <w:uiPriority w:val="99"/>
    <w:unhideWhenUsed/>
    <w:rsid w:val="00402904"/>
    <w:rPr>
      <w:color w:val="0000FF" w:themeColor="hyperlink"/>
      <w:u w:val="single"/>
    </w:rPr>
  </w:style>
  <w:style w:type="table" w:styleId="Grilledetableauclaire">
    <w:name w:val="Grid Table Light"/>
    <w:basedOn w:val="TableauNormal"/>
    <w:uiPriority w:val="40"/>
    <w:rsid w:val="00164B77"/>
    <w:pPr>
      <w:spacing w:after="0" w:line="240" w:lineRule="auto"/>
    </w:pPr>
    <w:rPr>
      <w:lang w:val="fr-FR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ausimple1">
    <w:name w:val="Plain Table 1"/>
    <w:basedOn w:val="TableauNormal"/>
    <w:uiPriority w:val="41"/>
    <w:rsid w:val="005A37A7"/>
    <w:pPr>
      <w:spacing w:after="0" w:line="240" w:lineRule="auto"/>
    </w:pPr>
    <w:rPr>
      <w:lang w:val="fr-FR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89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75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3433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7503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34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41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022978">
                  <w:marLeft w:val="0"/>
                  <w:marRight w:val="0"/>
                  <w:marTop w:val="18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233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54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4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958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51987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SUS\Desktop\URGENCE\R&#233;sultats%20absorbance_Eri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'10%'!$B$2</c:f>
              <c:strCache>
                <c:ptCount val="1"/>
                <c:pt idx="0">
                  <c:v>Absorbance</c:v>
                </c:pt>
              </c:strCache>
            </c:strRef>
          </c:tx>
          <c:spPr>
            <a:ln w="25400" cap="rnd">
              <a:noFill/>
              <a:round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</c:spPr>
          <c:marker>
            <c:symbol val="circle"/>
            <c:size val="5"/>
            <c:spPr>
              <a:gradFill rotWithShape="1">
                <a:gsLst>
                  <a:gs pos="0">
                    <a:schemeClr val="accent3">
                      <a:shade val="51000"/>
                      <a:satMod val="130000"/>
                    </a:schemeClr>
                  </a:gs>
                  <a:gs pos="80000">
                    <a:schemeClr val="accent3">
                      <a:shade val="93000"/>
                      <a:satMod val="130000"/>
                    </a:schemeClr>
                  </a:gs>
                  <a:gs pos="100000">
                    <a:schemeClr val="accent3">
                      <a:shade val="94000"/>
                      <a:satMod val="135000"/>
                    </a:schemeClr>
                  </a:gs>
                </a:gsLst>
                <a:lin ang="16200000" scaled="0"/>
              </a:gradFill>
              <a:ln w="9525">
                <a:solidFill>
                  <a:schemeClr val="accent3"/>
                </a:solidFill>
                <a:round/>
              </a:ln>
              <a:effectLst>
                <a:outerShdw blurRad="40000" dist="23000" dir="5400000" rotWithShape="0">
                  <a:srgbClr val="000000">
                    <a:alpha val="35000"/>
                  </a:srgbClr>
                </a:outerShdw>
              </a:effectLst>
            </c:spPr>
          </c:marker>
          <c:trendline>
            <c:spPr>
              <a:ln w="9525" cap="rnd">
                <a:solidFill>
                  <a:schemeClr val="accent3"/>
                </a:solidFill>
              </a:ln>
              <a:effectLst/>
            </c:spPr>
            <c:trendlineType val="linear"/>
            <c:dispRSqr val="1"/>
            <c:dispEq val="1"/>
            <c:trendlineLbl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900" b="0" i="0" u="none" strike="noStrike" kern="1200" baseline="0">
                      <a:solidFill>
                        <a:schemeClr val="tx2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n-US"/>
                </a:p>
              </c:txPr>
            </c:trendlineLbl>
          </c:trendline>
          <c:xVal>
            <c:numRef>
              <c:f>'10%'!$A$3:$A$6</c:f>
              <c:numCache>
                <c:formatCode>General</c:formatCode>
                <c:ptCount val="4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</c:numCache>
            </c:numRef>
          </c:xVal>
          <c:yVal>
            <c:numRef>
              <c:f>'10%'!$B$3:$B$6</c:f>
              <c:numCache>
                <c:formatCode>General</c:formatCode>
                <c:ptCount val="4"/>
                <c:pt idx="0">
                  <c:v>1.6E-2</c:v>
                </c:pt>
                <c:pt idx="1">
                  <c:v>0.17699999999999999</c:v>
                </c:pt>
                <c:pt idx="2" formatCode="0.000">
                  <c:v>0.28000000000000003</c:v>
                </c:pt>
                <c:pt idx="3" formatCode="0.000">
                  <c:v>0.48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52A2-486B-9E8C-2825D74BB8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289333208"/>
        <c:axId val="289332816"/>
      </c:scatterChart>
      <c:valAx>
        <c:axId val="289333208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/>
                  <a:t>Concentration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332816"/>
        <c:crosses val="autoZero"/>
        <c:crossBetween val="midCat"/>
      </c:valAx>
      <c:valAx>
        <c:axId val="289332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2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1" i="0" u="none" strike="noStrike" kern="1200" baseline="0">
                    <a:solidFill>
                      <a:schemeClr val="tx2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fr-FR"/>
                  <a:t>Absorbance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1" i="0" u="none" strike="noStrike" kern="1200" baseline="0">
                  <a:solidFill>
                    <a:schemeClr val="tx2"/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solidFill>
              <a:schemeClr val="tx2">
                <a:lumMod val="40000"/>
                <a:lumOff val="60000"/>
              </a:schemeClr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2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89333208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2"/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2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style1.xml><?xml version="1.0" encoding="utf-8"?>
<cs:chartStyle xmlns:cs="http://schemas.microsoft.com/office/drawing/2012/chartStyle" xmlns:a="http://schemas.openxmlformats.org/drawingml/2006/main" id="242">
  <cs:axisTitle>
    <cs:lnRef idx="0"/>
    <cs:fillRef idx="0"/>
    <cs:effectRef idx="0"/>
    <cs:fontRef idx="minor">
      <a:schemeClr val="tx2"/>
    </cs:fontRef>
    <cs:defRPr sz="900" b="1" kern="1200"/>
  </cs:axisTitle>
  <cs:category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2"/>
    </cs:fontRef>
    <cs:defRPr sz="900" kern="1200"/>
  </cs:dataLabel>
  <cs:dataLabelCallout>
    <cs:lnRef idx="0"/>
    <cs:fillRef idx="0"/>
    <cs:effectRef idx="0"/>
    <cs:fontRef idx="minor">
      <a:schemeClr val="dk2">
        <a:lumMod val="7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2"/>
    <cs:fontRef idx="minor">
      <a:schemeClr val="tx2"/>
    </cs:fontRef>
  </cs:dataPoint>
  <cs:dataPoint3D>
    <cs:lnRef idx="0"/>
    <cs:fillRef idx="3">
      <cs:styleClr val="auto"/>
    </cs:fillRef>
    <cs:effectRef idx="2"/>
    <cs:fontRef idx="minor">
      <a:schemeClr val="tx2"/>
    </cs:fontRef>
  </cs:dataPoint3D>
  <cs:dataPointLin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2"/>
    <cs:fontRef idx="minor">
      <a:schemeClr val="tx2"/>
    </cs:fontRef>
    <cs:spPr>
      <a:ln w="9525">
        <a:solidFill>
          <a:schemeClr val="phClr"/>
        </a:solidFill>
        <a:round/>
      </a:ln>
    </cs:spPr>
  </cs:dataPointMarker>
  <cs:dataPointMarkerLayout symbol="circle" size="5"/>
  <cs:dataPointWireframe>
    <cs:lnRef idx="0">
      <cs:styleClr val="auto"/>
    </cs:lnRef>
    <cs:fillRef idx="3"/>
    <cs:effectRef idx="2"/>
    <cs:fontRef idx="minor">
      <a:schemeClr val="tx2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2"/>
    </cs:fontRef>
    <cs:spPr>
      <a:ln w="9525">
        <a:solidFill>
          <a:schemeClr val="tx2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tx2"/>
    </cs:fontRef>
    <cs:spPr>
      <a:ln w="9525">
        <a:solidFill>
          <a:schemeClr val="tx2">
            <a:lumMod val="75000"/>
          </a:schemeClr>
        </a:solidFill>
        <a:round/>
      </a:ln>
    </cs:spPr>
  </cs:errorBar>
  <cs:floor>
    <cs:lnRef idx="0"/>
    <cs:fillRef idx="0"/>
    <cs:effectRef idx="0"/>
    <cs:fontRef idx="minor">
      <a:schemeClr val="tx2"/>
    </cs:fontRef>
  </cs:floor>
  <cs:gridlineMajor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2"/>
    </cs:fontRef>
    <cs:spPr>
      <a:ln>
        <a:solidFill>
          <a:schemeClr val="tx2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2"/>
    </cs:fontRef>
    <cs:defRPr sz="900" kern="1200"/>
  </cs:legend>
  <cs:plotArea>
    <cs:lnRef idx="0"/>
    <cs:fillRef idx="0"/>
    <cs:effectRef idx="0"/>
    <cs:fontRef idx="minor">
      <a:schemeClr val="tx2"/>
    </cs:fontRef>
  </cs:plotArea>
  <cs:plotArea3D>
    <cs:lnRef idx="0"/>
    <cs:fillRef idx="0"/>
    <cs:effectRef idx="0"/>
    <cs:fontRef idx="minor">
      <a:schemeClr val="tx2"/>
    </cs:fontRef>
  </cs:plotArea3D>
  <cs:seriesAxis>
    <cs:lnRef idx="0"/>
    <cs:fillRef idx="0"/>
    <cs:effectRef idx="0"/>
    <cs:fontRef idx="minor">
      <a:schemeClr val="tx2"/>
    </cs:fontRef>
    <cs:spPr>
      <a:ln w="9525" cap="flat" cmpd="sng" algn="ctr">
        <a:solidFill>
          <a:schemeClr val="tx2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2"/>
    </cs:fontRef>
    <cs:spPr>
      <a:ln w="9525">
        <a:solidFill>
          <a:schemeClr val="tx2">
            <a:lumMod val="60000"/>
            <a:lumOff val="40000"/>
          </a:schemeClr>
        </a:solidFill>
        <a:prstDash val="dash"/>
      </a:ln>
    </cs:spPr>
  </cs:seriesLine>
  <cs:title>
    <cs:lnRef idx="0"/>
    <cs:fillRef idx="0"/>
    <cs:effectRef idx="0"/>
    <cs:fontRef idx="minor">
      <a:schemeClr val="tx2"/>
    </cs:fontRef>
    <cs:defRPr sz="1600" b="1" kern="1200"/>
  </cs:title>
  <cs:trendline>
    <cs:lnRef idx="0">
      <cs:styleClr val="auto"/>
    </cs:lnRef>
    <cs:fillRef idx="0"/>
    <cs:effectRef idx="0"/>
    <cs:fontRef idx="minor">
      <a:schemeClr val="tx2"/>
    </cs:fontRef>
    <cs:spPr>
      <a:ln w="952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2"/>
    </cs:fontRef>
    <cs:defRPr sz="900" kern="1200"/>
  </cs:trendlineLabel>
  <cs:upBar>
    <cs:lnRef idx="0"/>
    <cs:fillRef idx="0"/>
    <cs:effectRef idx="0"/>
    <cs:fontRef idx="minor">
      <a:schemeClr val="tx2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2"/>
    </cs:fontRef>
    <cs:spPr>
      <a:ln>
        <a:solidFill>
          <a:schemeClr val="tx2">
            <a:lumMod val="40000"/>
            <a:lumOff val="60000"/>
          </a:schemeClr>
        </a:solidFill>
      </a:ln>
    </cs:spPr>
    <cs:defRPr sz="900" kern="1200"/>
  </cs:valueAxis>
  <cs:wall>
    <cs:lnRef idx="0"/>
    <cs:fillRef idx="0"/>
    <cs:effectRef idx="0"/>
    <cs:fontRef idx="minor">
      <a:schemeClr val="tx2"/>
    </cs:fontRef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4684</TotalTime>
  <Pages>2</Pages>
  <Words>315</Words>
  <Characters>1799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La4524</dc:creator>
  <cp:keywords/>
  <dc:description/>
  <cp:lastModifiedBy>La4524</cp:lastModifiedBy>
  <cp:revision>9</cp:revision>
  <dcterms:created xsi:type="dcterms:W3CDTF">2023-04-29T15:06:00Z</dcterms:created>
  <dcterms:modified xsi:type="dcterms:W3CDTF">2024-03-09T11:51:00Z</dcterms:modified>
</cp:coreProperties>
</file>