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7" w:type="pct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4"/>
        <w:gridCol w:w="2208"/>
        <w:gridCol w:w="1369"/>
        <w:gridCol w:w="2499"/>
        <w:gridCol w:w="2435"/>
        <w:gridCol w:w="2331"/>
        <w:gridCol w:w="2625"/>
        <w:gridCol w:w="2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Header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4812" w:type="pct"/>
            <w:gridSpan w:val="6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Table 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S3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. Multivariate analysis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for MRD positive subgroup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Header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single" w:color="auto" w:sz="18" w:space="0"/>
              <w:bottom w:val="single" w:color="auto" w:sz="8" w:space="0"/>
            </w:tcBorders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color="auto" w:sz="18" w:space="0"/>
              <w:bottom w:val="single" w:color="auto" w:sz="8" w:space="0"/>
            </w:tcBorders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893" w:type="pct"/>
            <w:tcBorders>
              <w:top w:val="single" w:color="auto" w:sz="18" w:space="0"/>
              <w:bottom w:val="single" w:color="auto" w:sz="8" w:space="0"/>
            </w:tcBorders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EFS</w:t>
            </w:r>
          </w:p>
        </w:tc>
        <w:tc>
          <w:tcPr>
            <w:tcW w:w="870" w:type="pct"/>
            <w:tcBorders>
              <w:top w:val="single" w:color="auto" w:sz="18" w:space="0"/>
              <w:bottom w:val="single" w:color="auto" w:sz="8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OS</w:t>
            </w:r>
          </w:p>
        </w:tc>
        <w:tc>
          <w:tcPr>
            <w:tcW w:w="833" w:type="pct"/>
            <w:tcBorders>
              <w:top w:val="single" w:color="auto" w:sz="18" w:space="0"/>
              <w:bottom w:val="single" w:color="auto" w:sz="8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CIR</w:t>
            </w:r>
          </w:p>
        </w:tc>
        <w:tc>
          <w:tcPr>
            <w:tcW w:w="937" w:type="pct"/>
            <w:tcBorders>
              <w:top w:val="single" w:color="auto" w:sz="18" w:space="0"/>
              <w:bottom w:val="single" w:color="auto" w:sz="8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NRM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≥35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 (47.8%)</w:t>
            </w:r>
          </w:p>
        </w:tc>
        <w:tc>
          <w:tcPr>
            <w:tcW w:w="3533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＜35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48 (52.2%)</w:t>
            </w: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1.31 (0.69-2.49, p=.411)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0.82 (0.42-1.61, p=.568)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1.24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48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66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2)</w:t>
            </w: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1.27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.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5.01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733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Immuno-type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T-ALL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(21.7%)</w:t>
            </w:r>
          </w:p>
        </w:tc>
        <w:tc>
          <w:tcPr>
            <w:tcW w:w="3533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B-ALL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72 (78.3%)</w:t>
            </w: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1.52 (0.59-3.93, p=.385)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1.44 (0.50-4.13, p=.495)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2.15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7.82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242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38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CNSL at presentation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 (92.4%)</w:t>
            </w:r>
          </w:p>
        </w:tc>
        <w:tc>
          <w:tcPr>
            <w:tcW w:w="3533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Yes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7 (7.6%)</w:t>
            </w: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0.58 (0.17-1.97, p=.385)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0.68 (0.19-2.44, p=.552)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1.14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4.65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2)</w:t>
            </w: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High WBC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 (58.7%)</w:t>
            </w:r>
          </w:p>
        </w:tc>
        <w:tc>
          <w:tcPr>
            <w:tcW w:w="3533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Yes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38 (41.3%)</w:t>
            </w: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2.81 (1.53-5.16, p=.001)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2.16 (1.12-4.15, p=.021)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3.79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1.63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8.79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002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1.16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38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3.53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790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Cytogenetic features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rmal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(48.9%)</w:t>
            </w:r>
          </w:p>
        </w:tc>
        <w:tc>
          <w:tcPr>
            <w:tcW w:w="3533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Ph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33 (35.9%)</w:t>
            </w:r>
          </w:p>
        </w:tc>
        <w:tc>
          <w:tcPr>
            <w:tcW w:w="89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0.93 (0.41-2.13, p=.863)</w:t>
            </w:r>
          </w:p>
        </w:tc>
        <w:tc>
          <w:tcPr>
            <w:tcW w:w="2435" w:type="dxa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1.08 (0.45-2.59, p=.864)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.40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740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0.84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5.40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861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MLL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3 (3.3%)</w:t>
            </w:r>
          </w:p>
        </w:tc>
        <w:tc>
          <w:tcPr>
            <w:tcW w:w="89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1.89 (0.47-7.63, p=.368)</w:t>
            </w:r>
          </w:p>
        </w:tc>
        <w:tc>
          <w:tcPr>
            <w:tcW w:w="2435" w:type="dxa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3.49 (0.85-14.42, p=.084)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2.54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(0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.53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241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E2A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4 (4.3%)</w:t>
            </w:r>
          </w:p>
        </w:tc>
        <w:tc>
          <w:tcPr>
            <w:tcW w:w="89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1.14 (0.27-4.69, p=.861)</w:t>
            </w:r>
          </w:p>
        </w:tc>
        <w:tc>
          <w:tcPr>
            <w:tcW w:w="2435" w:type="dxa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1.34 (0.26-6.83, p=.721)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6.59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5.40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111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IGHdel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7 (7.6%)</w:t>
            </w:r>
          </w:p>
        </w:tc>
        <w:tc>
          <w:tcPr>
            <w:tcW w:w="89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0.86 (0.26-2.92, p=.813)</w:t>
            </w:r>
          </w:p>
        </w:tc>
        <w:tc>
          <w:tcPr>
            <w:tcW w:w="2435" w:type="dxa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0.86 (0.25-2.95, p=.814)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0.95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0.24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3.72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957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0.98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7.90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992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CK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 (88.0%)</w:t>
            </w:r>
          </w:p>
        </w:tc>
        <w:tc>
          <w:tcPr>
            <w:tcW w:w="3533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Yes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11 (12.0%)</w:t>
            </w: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2.46 (1.01-6.00, p=.048)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2.01 (0.76-5.32, p=.161)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5.55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1.64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18.7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006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Allo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-HSCT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</w:p>
        </w:tc>
        <w:tc>
          <w:tcPr>
            <w:tcW w:w="1369" w:type="dxa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 (37.0%)</w:t>
            </w:r>
          </w:p>
        </w:tc>
        <w:tc>
          <w:tcPr>
            <w:tcW w:w="3533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Yes</w:t>
            </w:r>
          </w:p>
        </w:tc>
        <w:tc>
          <w:tcPr>
            <w:tcW w:w="1369" w:type="dxa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58 (63.0%)</w:t>
            </w:r>
          </w:p>
        </w:tc>
        <w:tc>
          <w:tcPr>
            <w:tcW w:w="89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0.22 (0.10-0.45, p&lt;.001)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0.21 (0.10-0.43, p&lt;.001)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(0.0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181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p&lt;.001)</w:t>
            </w: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4.20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32.2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95373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Ph-like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</w:p>
        </w:tc>
        <w:tc>
          <w:tcPr>
            <w:tcW w:w="1369" w:type="dxa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(84.8%)</w:t>
            </w:r>
          </w:p>
        </w:tc>
        <w:tc>
          <w:tcPr>
            <w:tcW w:w="3533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Yes</w:t>
            </w:r>
          </w:p>
        </w:tc>
        <w:tc>
          <w:tcPr>
            <w:tcW w:w="1369" w:type="dxa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14 (15.2%)</w:t>
            </w: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1.93 (0.78-4.81, p=.155)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2.78 (1.03-7.49, p=.044)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1.61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5.83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5.33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24.9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033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IKZF1mut/del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7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1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</w:p>
        </w:tc>
        <w:tc>
          <w:tcPr>
            <w:tcW w:w="1369" w:type="dxa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 (81.5%)</w:t>
            </w:r>
          </w:p>
        </w:tc>
        <w:tc>
          <w:tcPr>
            <w:tcW w:w="3533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91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Yes</w:t>
            </w:r>
          </w:p>
        </w:tc>
        <w:tc>
          <w:tcPr>
            <w:tcW w:w="1369" w:type="dxa"/>
            <w:tcBorders>
              <w:bottom w:val="single" w:color="auto" w:sz="18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17 (18.5%)</w:t>
            </w:r>
          </w:p>
        </w:tc>
        <w:tc>
          <w:tcPr>
            <w:tcW w:w="893" w:type="pct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1.03 (0.45-2.34, p=.946)</w:t>
            </w:r>
          </w:p>
        </w:tc>
        <w:tc>
          <w:tcPr>
            <w:tcW w:w="870" w:type="pct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1.22 (0.52-2.88, p=.648)</w:t>
            </w:r>
          </w:p>
        </w:tc>
        <w:tc>
          <w:tcPr>
            <w:tcW w:w="833" w:type="pct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1.45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3.68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432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7" w:type="pct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4.19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2)</w:t>
            </w:r>
          </w:p>
        </w:tc>
        <w:tc>
          <w:tcPr>
            <w:tcW w:w="96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91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2" w:type="pct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Arial" w:hAnsi="Arial" w:eastAsia="宋体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8"/>
                <w:lang w:val="en-US" w:eastAsia="zh-CN"/>
              </w:rPr>
              <w:t xml:space="preserve">Abbreviations: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8"/>
                <w:lang w:val="en-US" w:eastAsia="zh-CN"/>
              </w:rPr>
              <w:t xml:space="preserve">CNSL, central nervous system leukemia; 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</w:rPr>
              <w:t>WBC, white blood cell; Ph+, Philadelphia chromosome positive; MLLr, MLL rearrangement; E2Ar, E2A rearrangement;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</w:rPr>
              <w:t>CK, complex karyotype;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8"/>
                <w:lang w:val="en-US" w:eastAsia="zh-CN"/>
              </w:rPr>
              <w:t xml:space="preserve"> OS, Overall survival; EFS, Event-free survival; CIR, Cumulative incidence of relapse; NRM, Non-relapse mortality a, 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</w:rPr>
              <w:t>For B-ALL, WBC＞30×10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</w:rPr>
              <w:t>/L; for T-ALL, WBC＞ 100×10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</w:rPr>
              <w:t>/L.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6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MjA5ZjU0YzlhNjk4YjJmNGQ2MWIxNWM1ZjNhMGUifQ=="/>
  </w:docVars>
  <w:rsids>
    <w:rsidRoot w:val="643D09B7"/>
    <w:rsid w:val="5C466CF1"/>
    <w:rsid w:val="643D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2024-03-03T12:52:00Z</dcterms:created>
  <dc:creator>十元小耳朵</dc:creator>
  <cp:lastModifiedBy>十元小耳朵</cp:lastModifiedBy>
  <dcterms:modified xsi:type="dcterms:W3CDTF">2024-03-03T12:52:48Z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B75661E831C640AD9858126FF7EF89D1_11</vt:lpwstr>
  </property>
</Properties>
</file>