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1BDD4" w14:textId="77777777" w:rsidR="006300DA" w:rsidRPr="002D06B3" w:rsidRDefault="006300DA" w:rsidP="006300DA">
      <w:pPr>
        <w:spacing w:line="480" w:lineRule="auto"/>
        <w:rPr>
          <w:rFonts w:asciiTheme="minorHAnsi" w:hAnsiTheme="minorHAnsi"/>
          <w:b/>
          <w:sz w:val="22"/>
          <w:szCs w:val="22"/>
        </w:rPr>
      </w:pPr>
      <w:r w:rsidRPr="002D06B3">
        <w:rPr>
          <w:rFonts w:asciiTheme="minorHAnsi" w:hAnsiTheme="minorHAnsi"/>
          <w:b/>
          <w:sz w:val="22"/>
          <w:szCs w:val="22"/>
        </w:rPr>
        <w:t>Appendix</w:t>
      </w:r>
      <w:r>
        <w:rPr>
          <w:rFonts w:asciiTheme="minorHAnsi" w:hAnsiTheme="minorHAnsi"/>
          <w:b/>
          <w:sz w:val="22"/>
          <w:szCs w:val="22"/>
        </w:rPr>
        <w:t xml:space="preserve"> 1</w:t>
      </w:r>
    </w:p>
    <w:p w14:paraId="4D9C4D40" w14:textId="77777777" w:rsidR="006300DA" w:rsidRDefault="006300DA" w:rsidP="006300DA">
      <w:pPr>
        <w:spacing w:line="480" w:lineRule="auto"/>
        <w:rPr>
          <w:rFonts w:asciiTheme="minorHAnsi" w:hAnsiTheme="minorHAnsi"/>
          <w:b/>
          <w:sz w:val="22"/>
          <w:szCs w:val="22"/>
        </w:rPr>
      </w:pPr>
      <w:r w:rsidRPr="002D06B3">
        <w:rPr>
          <w:rFonts w:asciiTheme="minorHAnsi" w:hAnsiTheme="minorHAnsi"/>
          <w:b/>
          <w:sz w:val="22"/>
          <w:szCs w:val="22"/>
        </w:rPr>
        <w:t xml:space="preserve">Search strategy </w:t>
      </w:r>
    </w:p>
    <w:p w14:paraId="004C64EC" w14:textId="77777777" w:rsidR="006300DA" w:rsidRPr="003A2400" w:rsidRDefault="006300DA" w:rsidP="006300DA">
      <w:pPr>
        <w:pStyle w:val="Caption"/>
        <w:spacing w:line="480" w:lineRule="auto"/>
        <w:rPr>
          <w:rFonts w:asciiTheme="minorHAnsi" w:hAnsiTheme="minorHAnsi"/>
          <w:b/>
          <w:color w:val="000000" w:themeColor="text1"/>
          <w:sz w:val="22"/>
          <w:szCs w:val="22"/>
        </w:rPr>
      </w:pPr>
      <w:bookmarkStart w:id="0" w:name="_Ref160533405"/>
      <w:r w:rsidRPr="002D06B3">
        <w:rPr>
          <w:rFonts w:asciiTheme="minorHAnsi" w:hAnsiTheme="minorHAnsi"/>
          <w:color w:val="000000" w:themeColor="text1"/>
          <w:sz w:val="22"/>
          <w:szCs w:val="22"/>
        </w:rPr>
        <w:t xml:space="preserve">Table </w:t>
      </w:r>
      <w:r w:rsidRPr="002D06B3">
        <w:rPr>
          <w:rFonts w:asciiTheme="minorHAnsi" w:hAnsiTheme="minorHAnsi"/>
          <w:color w:val="000000" w:themeColor="text1"/>
          <w:sz w:val="22"/>
          <w:szCs w:val="22"/>
        </w:rPr>
        <w:fldChar w:fldCharType="begin"/>
      </w:r>
      <w:r w:rsidRPr="002D06B3">
        <w:rPr>
          <w:rFonts w:asciiTheme="minorHAnsi" w:hAnsiTheme="minorHAnsi"/>
          <w:color w:val="000000" w:themeColor="text1"/>
          <w:sz w:val="22"/>
          <w:szCs w:val="22"/>
        </w:rPr>
        <w:instrText xml:space="preserve"> SEQ Table \* ARABIC </w:instrText>
      </w:r>
      <w:r w:rsidRPr="002D06B3">
        <w:rPr>
          <w:rFonts w:asciiTheme="minorHAnsi" w:hAnsiTheme="minorHAnsi"/>
          <w:color w:val="000000" w:themeColor="text1"/>
          <w:sz w:val="22"/>
          <w:szCs w:val="22"/>
        </w:rPr>
        <w:fldChar w:fldCharType="separate"/>
      </w:r>
      <w:r w:rsidRPr="002D06B3">
        <w:rPr>
          <w:rFonts w:asciiTheme="minorHAnsi" w:hAnsiTheme="minorHAnsi"/>
          <w:noProof/>
          <w:color w:val="000000" w:themeColor="text1"/>
          <w:sz w:val="22"/>
          <w:szCs w:val="22"/>
        </w:rPr>
        <w:t>2</w:t>
      </w:r>
      <w:r w:rsidRPr="002D06B3">
        <w:rPr>
          <w:rFonts w:asciiTheme="minorHAnsi" w:hAnsiTheme="minorHAnsi"/>
          <w:noProof/>
          <w:color w:val="000000" w:themeColor="text1"/>
          <w:sz w:val="22"/>
          <w:szCs w:val="22"/>
        </w:rPr>
        <w:fldChar w:fldCharType="end"/>
      </w:r>
      <w:bookmarkEnd w:id="0"/>
      <w:r w:rsidRPr="002D06B3">
        <w:rPr>
          <w:rFonts w:asciiTheme="minorHAnsi" w:hAnsiTheme="minorHAnsi"/>
          <w:color w:val="000000" w:themeColor="text1"/>
          <w:sz w:val="22"/>
          <w:szCs w:val="22"/>
        </w:rPr>
        <w:t xml:space="preserve">: Search strategy used for review </w:t>
      </w:r>
    </w:p>
    <w:tbl>
      <w:tblPr>
        <w:tblW w:w="4962" w:type="dxa"/>
        <w:tblLook w:val="04A0" w:firstRow="1" w:lastRow="0" w:firstColumn="1" w:lastColumn="0" w:noHBand="0" w:noVBand="1"/>
      </w:tblPr>
      <w:tblGrid>
        <w:gridCol w:w="568"/>
        <w:gridCol w:w="3000"/>
        <w:gridCol w:w="1394"/>
      </w:tblGrid>
      <w:tr w:rsidR="006300DA" w:rsidRPr="002D06B3" w14:paraId="4C934F3C" w14:textId="77777777" w:rsidTr="00C15D4A">
        <w:trPr>
          <w:trHeight w:val="69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6EF4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  <w:t>No.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5497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  <w:t>Search Term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B66D" w14:textId="77777777" w:rsidR="006300DA" w:rsidRPr="002D06B3" w:rsidRDefault="006300DA" w:rsidP="00C15D4A">
            <w:pPr>
              <w:spacing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  <w:t>Field</w:t>
            </w:r>
          </w:p>
        </w:tc>
      </w:tr>
      <w:tr w:rsidR="006300DA" w:rsidRPr="002D06B3" w14:paraId="6DD2C7FE" w14:textId="77777777" w:rsidTr="00C15D4A">
        <w:trPr>
          <w:trHeight w:val="69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3904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1F73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04C3A7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</w:tr>
      <w:tr w:rsidR="006300DA" w:rsidRPr="002D06B3" w14:paraId="07751B27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F4273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1443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Predict*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72A0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434E7840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F6642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C992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 xml:space="preserve">Model* 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A67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5FF93B05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189A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48E42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Prognos*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24A4D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2D76B83F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20DB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5CE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Risk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FB8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262C2C42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1DEE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1384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Analy$ing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A9E9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11D23197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A6F0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F930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Analy$e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8287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285AB201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1857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9B1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Survival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0D6BC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312CECFA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A3AF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49D0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OR 1-7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9737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6300DA" w:rsidRPr="002D06B3" w14:paraId="49F76B5C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FE0D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FA49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Repeat*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99E2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34E4A66A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96B8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8D2B4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Recur*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36A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3E28F0DA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07F3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CE24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 xml:space="preserve">Multiple Failure 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2540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62D1E02A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A48D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8864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 xml:space="preserve">Multiple Relapse 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55F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27003323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1A4DE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AAEB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"Multiple time-to-event"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E426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7C0A0E5E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69B6F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C35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OR 9-13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4E96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6300DA" w:rsidRPr="002D06B3" w14:paraId="639871CD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2E13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678B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8 AND 14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14C4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6300DA" w:rsidRPr="002D06B3" w14:paraId="16C3A056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B411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CDE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Exten* adj3 Cox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4667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365B38FE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AF39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10F72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Frailty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A7E47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01153D90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641E3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lastRenderedPageBreak/>
              <w:t>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8498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Multi State Model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A0F9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3E04C22A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76D45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7AD23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OR 16-18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D81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6300DA" w:rsidRPr="002D06B3" w14:paraId="2007EDC9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99D7C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867F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15 AND 19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397E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6300DA" w:rsidRPr="002D06B3" w14:paraId="33CD4B46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A0292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90F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Andersen Gill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9D1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7B8541F3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9BD0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5D2C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Anderson Gill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615F5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757B3243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00156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1609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Prentice Williams Peterson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A3049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489BEFBD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43B10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9F11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PWP-TT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293D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6A08F6A1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F2C3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F929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PWP-GT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56F6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035CCDFB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A6177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1068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PWP-CP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617D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25E3C0EB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DA4C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4D5C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Wei Lin Weissfeld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17B4A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4EFA749A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CB4BD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876F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WLW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7FD2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7E2E11CB" w14:textId="77777777" w:rsidTr="00C15D4A">
        <w:trPr>
          <w:trHeight w:val="29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2590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FB8D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"Proportional Intensity model"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01BFB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All Fields</w:t>
            </w:r>
          </w:p>
        </w:tc>
      </w:tr>
      <w:tr w:rsidR="006300DA" w:rsidRPr="002D06B3" w14:paraId="7863ED4B" w14:textId="77777777" w:rsidTr="00C15D4A">
        <w:trPr>
          <w:trHeight w:val="3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9FFE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30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A7D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OR 21-29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CC42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6300DA" w:rsidRPr="002D06B3" w14:paraId="7E09AF5B" w14:textId="77777777" w:rsidTr="00C15D4A">
        <w:trPr>
          <w:trHeight w:val="3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570D" w14:textId="77777777" w:rsidR="006300DA" w:rsidRPr="002D06B3" w:rsidRDefault="006300DA" w:rsidP="00C15D4A">
            <w:pPr>
              <w:spacing w:line="480" w:lineRule="auto"/>
              <w:jc w:val="right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31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4A7E" w14:textId="77777777" w:rsidR="006300DA" w:rsidRPr="002D06B3" w:rsidRDefault="006300DA" w:rsidP="00C15D4A">
            <w:pPr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20 OR 30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832A" w14:textId="77777777" w:rsidR="006300DA" w:rsidRPr="002D06B3" w:rsidRDefault="006300DA" w:rsidP="00C15D4A">
            <w:pPr>
              <w:keepNext/>
              <w:spacing w:line="480" w:lineRule="auto"/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</w:pPr>
            <w:r w:rsidRPr="002D06B3">
              <w:rPr>
                <w:rFonts w:asciiTheme="minorHAnsi" w:hAnsiTheme="minorHAnsi"/>
                <w:bCs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</w:tbl>
    <w:p w14:paraId="549932BD" w14:textId="77777777" w:rsidR="006300DA" w:rsidRPr="00525273" w:rsidRDefault="006300DA" w:rsidP="006300DA">
      <w:pPr>
        <w:keepNext/>
        <w:spacing w:line="480" w:lineRule="auto"/>
        <w:rPr>
          <w:rFonts w:asciiTheme="minorHAnsi" w:hAnsiTheme="minorHAnsi"/>
          <w:b/>
          <w:color w:val="000000" w:themeColor="text1"/>
          <w:sz w:val="22"/>
          <w:szCs w:val="22"/>
        </w:rPr>
      </w:pPr>
      <w:r w:rsidRPr="00525273">
        <w:rPr>
          <w:rFonts w:asciiTheme="minorHAnsi" w:hAnsiTheme="minorHAnsi"/>
          <w:b/>
          <w:color w:val="000000" w:themeColor="text1"/>
          <w:sz w:val="22"/>
          <w:szCs w:val="22"/>
        </w:rPr>
        <w:t>Appendix 2</w:t>
      </w:r>
    </w:p>
    <w:p w14:paraId="143C6018" w14:textId="77777777" w:rsidR="006300DA" w:rsidRDefault="006300DA" w:rsidP="006300DA">
      <w:pPr>
        <w:keepNext/>
        <w:spacing w:line="480" w:lineRule="auto"/>
        <w:rPr>
          <w:rFonts w:asciiTheme="minorHAnsi" w:hAnsiTheme="minorHAnsi"/>
          <w:b/>
          <w:color w:val="000000" w:themeColor="text1"/>
          <w:sz w:val="22"/>
          <w:szCs w:val="22"/>
        </w:rPr>
      </w:pPr>
      <w:r w:rsidRPr="00525273">
        <w:rPr>
          <w:rFonts w:asciiTheme="minorHAnsi" w:hAnsiTheme="minorHAnsi"/>
          <w:b/>
          <w:color w:val="000000" w:themeColor="text1"/>
          <w:sz w:val="22"/>
          <w:szCs w:val="22"/>
        </w:rPr>
        <w:t>Clinical area recurrent event methods applied in</w:t>
      </w:r>
    </w:p>
    <w:p w14:paraId="6B3F2D9E" w14:textId="77777777" w:rsidR="006300DA" w:rsidRPr="003A2400" w:rsidRDefault="006300DA" w:rsidP="006300DA">
      <w:pPr>
        <w:pStyle w:val="Caption"/>
        <w:spacing w:line="480" w:lineRule="auto"/>
        <w:rPr>
          <w:rFonts w:asciiTheme="minorHAnsi" w:hAnsiTheme="minorHAnsi"/>
          <w:color w:val="000000" w:themeColor="text1"/>
          <w:sz w:val="22"/>
          <w:szCs w:val="22"/>
        </w:rPr>
      </w:pPr>
      <w:bookmarkStart w:id="1" w:name="_Ref160533419"/>
      <w:r w:rsidRPr="002D06B3">
        <w:rPr>
          <w:rFonts w:asciiTheme="minorHAnsi" w:hAnsiTheme="minorHAnsi"/>
          <w:color w:val="000000" w:themeColor="text1"/>
          <w:sz w:val="22"/>
          <w:szCs w:val="22"/>
        </w:rPr>
        <w:t xml:space="preserve">Table </w:t>
      </w:r>
      <w:r w:rsidRPr="002D06B3">
        <w:rPr>
          <w:rFonts w:asciiTheme="minorHAnsi" w:hAnsiTheme="minorHAnsi"/>
          <w:color w:val="000000" w:themeColor="text1"/>
          <w:sz w:val="22"/>
          <w:szCs w:val="22"/>
        </w:rPr>
        <w:fldChar w:fldCharType="begin"/>
      </w:r>
      <w:r w:rsidRPr="002D06B3">
        <w:rPr>
          <w:rFonts w:asciiTheme="minorHAnsi" w:hAnsiTheme="minorHAnsi"/>
          <w:color w:val="000000" w:themeColor="text1"/>
          <w:sz w:val="22"/>
          <w:szCs w:val="22"/>
        </w:rPr>
        <w:instrText xml:space="preserve"> SEQ Table \* ARABIC </w:instrText>
      </w:r>
      <w:r w:rsidRPr="002D06B3">
        <w:rPr>
          <w:rFonts w:asciiTheme="minorHAnsi" w:hAnsiTheme="minorHAnsi"/>
          <w:color w:val="000000" w:themeColor="text1"/>
          <w:sz w:val="22"/>
          <w:szCs w:val="22"/>
        </w:rPr>
        <w:fldChar w:fldCharType="separate"/>
      </w:r>
      <w:r w:rsidRPr="002D06B3">
        <w:rPr>
          <w:rFonts w:asciiTheme="minorHAnsi" w:hAnsiTheme="minorHAnsi"/>
          <w:noProof/>
          <w:color w:val="000000" w:themeColor="text1"/>
          <w:sz w:val="22"/>
          <w:szCs w:val="22"/>
        </w:rPr>
        <w:t>3</w:t>
      </w:r>
      <w:r w:rsidRPr="002D06B3">
        <w:rPr>
          <w:rFonts w:asciiTheme="minorHAnsi" w:hAnsiTheme="minorHAnsi"/>
          <w:noProof/>
          <w:color w:val="000000" w:themeColor="text1"/>
          <w:sz w:val="22"/>
          <w:szCs w:val="22"/>
        </w:rPr>
        <w:fldChar w:fldCharType="end"/>
      </w:r>
      <w:bookmarkEnd w:id="1"/>
      <w:r w:rsidRPr="002D06B3">
        <w:rPr>
          <w:rFonts w:asciiTheme="minorHAnsi" w:hAnsiTheme="minorHAnsi"/>
          <w:color w:val="000000" w:themeColor="text1"/>
          <w:sz w:val="22"/>
          <w:szCs w:val="22"/>
        </w:rPr>
        <w:t>: Frequency of clinical area recurrent event methods applied in</w:t>
      </w:r>
    </w:p>
    <w:tbl>
      <w:tblPr>
        <w:tblW w:w="93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89"/>
        <w:gridCol w:w="1559"/>
      </w:tblGrid>
      <w:tr w:rsidR="006300DA" w:rsidRPr="002D06B3" w14:paraId="4CD2FC60" w14:textId="77777777" w:rsidTr="00C15D4A">
        <w:trPr>
          <w:cantSplit/>
          <w:tblHeader/>
        </w:trPr>
        <w:tc>
          <w:tcPr>
            <w:tcW w:w="778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14:paraId="71C5E960" w14:textId="77777777" w:rsidR="006300DA" w:rsidRPr="002D06B3" w:rsidRDefault="006300DA" w:rsidP="00C15D4A">
            <w:pPr>
              <w:keepNext/>
              <w:adjustRightInd w:val="0"/>
              <w:spacing w:before="60" w:after="6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Clinical Area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14:paraId="50970621" w14:textId="77777777" w:rsidR="006300DA" w:rsidRPr="002D06B3" w:rsidRDefault="006300DA" w:rsidP="00C15D4A">
            <w:pPr>
              <w:keepNext/>
              <w:adjustRightInd w:val="0"/>
              <w:spacing w:before="60" w:after="6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Frequency N(%)</w:t>
            </w:r>
          </w:p>
        </w:tc>
      </w:tr>
      <w:tr w:rsidR="006300DA" w:rsidRPr="002D06B3" w14:paraId="735863A2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8C74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Cardiology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2489D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62 (20.6%)</w:t>
            </w:r>
          </w:p>
        </w:tc>
      </w:tr>
      <w:tr w:rsidR="006300DA" w:rsidRPr="002D06B3" w14:paraId="2B521313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32B53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Oncology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D1D12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45 (14.95%)</w:t>
            </w:r>
          </w:p>
        </w:tc>
      </w:tr>
      <w:tr w:rsidR="006300DA" w:rsidRPr="002D06B3" w14:paraId="0E6630BA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27914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Human Immunodeficiency Virus</w:t>
            </w: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(</w:t>
            </w: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HIV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)</w:t>
            </w: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/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Acquired </w:t>
            </w:r>
            <w:r>
              <w:rPr>
                <w:rFonts w:asciiTheme="minorHAnsi" w:hAnsiTheme="minorHAnsi"/>
                <w:sz w:val="22"/>
                <w:szCs w:val="22"/>
              </w:rPr>
              <w:t>Immunodeficiency Syndrome (</w:t>
            </w: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AIDS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B9816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30 (9.97%)</w:t>
            </w:r>
          </w:p>
        </w:tc>
      </w:tr>
      <w:tr w:rsidR="006300DA" w:rsidRPr="002D06B3" w14:paraId="2895DEB3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813E9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lastRenderedPageBreak/>
              <w:t>Mental Health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D077F0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24 (7.97%)</w:t>
            </w:r>
          </w:p>
        </w:tc>
      </w:tr>
      <w:tr w:rsidR="006300DA" w:rsidRPr="002D06B3" w14:paraId="6C24E347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D33F6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Neurology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F25A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21 (6.98%)</w:t>
            </w:r>
          </w:p>
        </w:tc>
      </w:tr>
      <w:tr w:rsidR="006300DA" w:rsidRPr="002D06B3" w14:paraId="0E966455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00E68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Kidney Disease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A5901B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13 (4.32%)</w:t>
            </w:r>
          </w:p>
        </w:tc>
      </w:tr>
      <w:tr w:rsidR="006300DA" w:rsidRPr="002D06B3" w14:paraId="5C1BF9F2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3C28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Respiratory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BABD5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11 (3.65%)</w:t>
            </w:r>
          </w:p>
        </w:tc>
      </w:tr>
      <w:tr w:rsidR="006300DA" w:rsidRPr="002D06B3" w14:paraId="639F4B7F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0A483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Drugs &amp; Alcohol Abuse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40923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9 (2.99%)</w:t>
            </w:r>
          </w:p>
        </w:tc>
      </w:tr>
      <w:tr w:rsidR="006300DA" w:rsidRPr="002D06B3" w14:paraId="72937E81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20216C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Elderly People &amp; Accidents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F27B7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9 (2.99%)</w:t>
            </w:r>
          </w:p>
        </w:tc>
      </w:tr>
      <w:tr w:rsidR="006300DA" w:rsidRPr="002D06B3" w14:paraId="34ECEFA7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6911C7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Infectious Diseases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BBCF6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9 (2.99%)</w:t>
            </w:r>
          </w:p>
        </w:tc>
      </w:tr>
      <w:tr w:rsidR="006300DA" w:rsidRPr="002D06B3" w14:paraId="4D30EEB7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29BA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Other Illness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0B3D06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9 (2.99%)</w:t>
            </w:r>
          </w:p>
        </w:tc>
      </w:tr>
      <w:tr w:rsidR="006300DA" w:rsidRPr="002D06B3" w14:paraId="3C09C961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2B81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S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exually Transmitted Infection (STI)</w:t>
            </w: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/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Sexually Transmitted Disease (</w:t>
            </w: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STD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9E6EB4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9 (2.99%)</w:t>
            </w:r>
          </w:p>
        </w:tc>
      </w:tr>
      <w:tr w:rsidR="006300DA" w:rsidRPr="002D06B3" w14:paraId="4DCDE228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F6DD8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Paediatrics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A5EEF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8 (2.66%)</w:t>
            </w:r>
          </w:p>
        </w:tc>
      </w:tr>
      <w:tr w:rsidR="006300DA" w:rsidRPr="002D06B3" w14:paraId="02181F52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6A039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Haematology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91A70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5 (1.66%)</w:t>
            </w:r>
          </w:p>
        </w:tc>
      </w:tr>
      <w:tr w:rsidR="006300DA" w:rsidRPr="002D06B3" w14:paraId="3927B868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63E2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Hospital Admissions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BC600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5 (1.66%)</w:t>
            </w:r>
          </w:p>
        </w:tc>
      </w:tr>
      <w:tr w:rsidR="006300DA" w:rsidRPr="002D06B3" w14:paraId="2AE09108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A2F6B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Arthritis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9FA35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4 (1.33%)</w:t>
            </w:r>
          </w:p>
        </w:tc>
      </w:tr>
      <w:tr w:rsidR="006300DA" w:rsidRPr="002D06B3" w14:paraId="2F149C6D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28A837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Diabetes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CA0453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4 (1.33%)</w:t>
            </w:r>
          </w:p>
        </w:tc>
      </w:tr>
      <w:tr w:rsidR="006300DA" w:rsidRPr="002D06B3" w14:paraId="30D106B9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1C4E2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Maternal Health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AF049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4 (1.33%)</w:t>
            </w:r>
          </w:p>
        </w:tc>
      </w:tr>
      <w:tr w:rsidR="006300DA" w:rsidRPr="002D06B3" w14:paraId="57DDB0DA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FBB7C1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Chronic Injuries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54B12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3 (1%)</w:t>
            </w:r>
          </w:p>
        </w:tc>
      </w:tr>
      <w:tr w:rsidR="006300DA" w:rsidRPr="002D06B3" w14:paraId="71D214CA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687B0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Surgeries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206BBD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3 (1%)</w:t>
            </w:r>
          </w:p>
        </w:tc>
      </w:tr>
      <w:tr w:rsidR="006300DA" w:rsidRPr="002D06B3" w14:paraId="3BC00DFC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746F23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lastRenderedPageBreak/>
              <w:t>Bacterial Infections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85EF7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2 (0.66%)</w:t>
            </w:r>
          </w:p>
        </w:tc>
      </w:tr>
      <w:tr w:rsidR="006300DA" w:rsidRPr="002D06B3" w14:paraId="177CE9A4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557BC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Gastroenterology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63A34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2 (0.66%)</w:t>
            </w:r>
          </w:p>
        </w:tc>
      </w:tr>
      <w:tr w:rsidR="006300DA" w:rsidRPr="002D06B3" w14:paraId="0B9856FA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1BE72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Optometry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0CF29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2 (0.66%)</w:t>
            </w:r>
          </w:p>
        </w:tc>
      </w:tr>
      <w:tr w:rsidR="006300DA" w:rsidRPr="002D06B3" w14:paraId="2C1CC933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D6AB1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Osteoarthropathy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2F925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2 (0.66%)</w:t>
            </w:r>
          </w:p>
        </w:tc>
      </w:tr>
      <w:tr w:rsidR="006300DA" w:rsidRPr="002D06B3" w14:paraId="16A650C7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F6B50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Autoimmune Disease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4C855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 (0.33%)</w:t>
            </w:r>
          </w:p>
        </w:tc>
      </w:tr>
      <w:tr w:rsidR="006300DA" w:rsidRPr="002D06B3" w14:paraId="14EBB610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5AB5A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Gynecology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B52F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 (0.33%)</w:t>
            </w:r>
          </w:p>
        </w:tc>
      </w:tr>
      <w:tr w:rsidR="006300DA" w:rsidRPr="002D06B3" w14:paraId="09258D71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44AD9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Inflammatory Bowel Disease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A821CC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 (0.33%)</w:t>
            </w:r>
          </w:p>
        </w:tc>
      </w:tr>
      <w:tr w:rsidR="006300DA" w:rsidRPr="002D06B3" w14:paraId="44E886E0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FE51F" w14:textId="77777777" w:rsidR="006300DA" w:rsidRPr="002D06B3" w:rsidRDefault="006300DA" w:rsidP="00C15D4A">
            <w:pPr>
              <w:keepNext/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Ophthalmology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58B28" w14:textId="77777777" w:rsidR="006300DA" w:rsidRPr="002D06B3" w:rsidRDefault="006300DA" w:rsidP="00C15D4A">
            <w:pPr>
              <w:keepNext/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 (0.33%)</w:t>
            </w:r>
          </w:p>
        </w:tc>
      </w:tr>
      <w:tr w:rsidR="006300DA" w:rsidRPr="002D06B3" w14:paraId="19E6E611" w14:textId="77777777" w:rsidTr="00C15D4A">
        <w:trPr>
          <w:cantSplit/>
        </w:trPr>
        <w:tc>
          <w:tcPr>
            <w:tcW w:w="778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B22CF" w14:textId="77777777" w:rsidR="006300DA" w:rsidRPr="002D06B3" w:rsidRDefault="006300DA" w:rsidP="00C15D4A">
            <w:pPr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Podiatry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C3141A" w14:textId="77777777" w:rsidR="006300DA" w:rsidRPr="002D06B3" w:rsidRDefault="006300DA" w:rsidP="00C15D4A">
            <w:pPr>
              <w:keepNext/>
              <w:adjustRightInd w:val="0"/>
              <w:spacing w:before="60" w:after="60" w:line="480" w:lineRule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2D06B3">
              <w:rPr>
                <w:rFonts w:asciiTheme="minorHAnsi" w:hAnsiTheme="minorHAnsi"/>
                <w:color w:val="000000"/>
                <w:sz w:val="22"/>
                <w:szCs w:val="22"/>
              </w:rPr>
              <w:t>1 (0.33%)</w:t>
            </w:r>
          </w:p>
        </w:tc>
      </w:tr>
    </w:tbl>
    <w:p w14:paraId="4A14CBA1" w14:textId="77777777" w:rsidR="006300DA" w:rsidRDefault="006300DA" w:rsidP="006300DA">
      <w:pPr>
        <w:spacing w:line="480" w:lineRule="auto"/>
        <w:rPr>
          <w:rFonts w:asciiTheme="minorHAnsi" w:hAnsiTheme="minorHAnsi"/>
          <w:b/>
          <w:sz w:val="26"/>
          <w:szCs w:val="26"/>
        </w:rPr>
      </w:pPr>
    </w:p>
    <w:p w14:paraId="64B6CBB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0DA"/>
    <w:rsid w:val="003C2EF4"/>
    <w:rsid w:val="006300D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05EEA"/>
  <w15:chartTrackingRefBased/>
  <w15:docId w15:val="{6DFFFA38-93B9-4B51-8C6E-438954E69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0D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300D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290</Words>
  <Characters>1653</Characters>
  <Application>Microsoft Office Word</Application>
  <DocSecurity>0</DocSecurity>
  <Lines>13</Lines>
  <Paragraphs>3</Paragraphs>
  <ScaleCrop>false</ScaleCrop>
  <Company>Springer Nature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2024-03-14T07:18:00Z</dcterms:created>
  <dcterms:modified xsi:type="dcterms:W3CDTF">2024-03-14T07:18:00Z</dcterms:modified>
</cp:coreProperties>
</file>