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i/>
          <w:iCs/>
          <w:lang w:val="en-US" w:eastAsia="zh-CN"/>
        </w:rPr>
      </w:pPr>
      <w:r>
        <w:rPr>
          <w:rFonts w:hint="default" w:ascii="Times New Roman" w:hAnsi="Times New Roman" w:cs="Times New Roman"/>
          <w:b/>
          <w:bCs/>
          <w:i/>
          <w:iCs/>
          <w:lang w:val="en-US" w:eastAsia="zh-CN"/>
        </w:rPr>
        <w:t>Measurement of Allostatic Load Index</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The current biological model of allostatic load focuses on the dysfunction of a network of mediators as autonomous nervous, endocrine, metabolic, and inflammatory parameters, such as partial glucocorticoid imbalances</w:t>
      </w:r>
      <w:r>
        <w:rPr>
          <w:rFonts w:hint="eastAsia" w:ascii="Times New Roman" w:hAnsi="Times New Roman" w:cs="Times New Roman"/>
          <w:lang w:val="en-US" w:eastAsia="zh-CN"/>
        </w:rPr>
        <w:t>[1]</w:t>
      </w:r>
      <w:r>
        <w:rPr>
          <w:rFonts w:hint="default" w:ascii="Times New Roman" w:hAnsi="Times New Roman" w:cs="Times New Roman"/>
          <w:lang w:val="en-US" w:eastAsia="zh-CN"/>
        </w:rPr>
        <w:t>. It is expressed through a composite index of a series of biomarkers, including resting systolic and diastolic blood pressure, body mass index, waist-to-hip ratio, high-density and low-density lipoprotein cholesterol, triglycerides, glycated hemoglobin, fasting blood glucose, plasma C-reactive protein, fibrinogen, serum markers interleukin-6, soluble adhesion molecule E-selectin, intracellular adhesion molecule-1, urinary norepinephrine, epinephrine, cortisol levels, and serum dehydroepiandrosterone sulfate (DHEA-S) levels[</w:t>
      </w:r>
      <w:r>
        <w:rPr>
          <w:rFonts w:hint="eastAsia" w:ascii="Times New Roman" w:hAnsi="Times New Roman" w:cs="Times New Roman"/>
          <w:lang w:val="en-US" w:eastAsia="zh-CN"/>
        </w:rPr>
        <w:t>2</w:t>
      </w:r>
      <w:r>
        <w:rPr>
          <w:rFonts w:hint="default" w:ascii="Times New Roman" w:hAnsi="Times New Roman" w:cs="Times New Roman"/>
          <w:lang w:val="en-US" w:eastAsia="zh-CN"/>
        </w:rPr>
        <w:t>]. However, due to the lack of authoritative standards for measuring the biological markers of allostatic load, different studies choose different biomarkers. For instance, Hwang et al. identified allostatic load by measuring 20 biological markers related to cardiovascular metabolic diseases, neuroendocrine biomarkers, and biomarkers related to inflammation and disease progression[</w:t>
      </w:r>
      <w:r>
        <w:rPr>
          <w:rFonts w:hint="eastAsia" w:ascii="Times New Roman" w:hAnsi="Times New Roman" w:cs="Times New Roman"/>
          <w:lang w:val="en-US" w:eastAsia="zh-CN"/>
        </w:rPr>
        <w:t>3</w:t>
      </w:r>
      <w:r>
        <w:rPr>
          <w:rFonts w:hint="default" w:ascii="Times New Roman" w:hAnsi="Times New Roman" w:cs="Times New Roman"/>
          <w:lang w:val="en-US" w:eastAsia="zh-CN"/>
        </w:rPr>
        <w:t>]; Robertson et al. used 8 biomarker variables to reflect allostatic load, including markers of the cardiovascular system (pulse rate, systolic and diastolic pressure), metabolic system (total serum cholesterol, high-density lipoprotein cholesterol, waist-to-hip ratio, glycated hemoglobin), and inflammation system (C-reactive protein) [</w:t>
      </w:r>
      <w:r>
        <w:rPr>
          <w:rFonts w:hint="eastAsia" w:ascii="Times New Roman" w:hAnsi="Times New Roman" w:cs="Times New Roman"/>
          <w:lang w:val="en-US" w:eastAsia="zh-CN"/>
        </w:rPr>
        <w:t>4</w:t>
      </w:r>
      <w:r>
        <w:rPr>
          <w:rFonts w:hint="default" w:ascii="Times New Roman" w:hAnsi="Times New Roman" w:cs="Times New Roman"/>
          <w:lang w:val="en-US" w:eastAsia="zh-CN"/>
        </w:rPr>
        <w:t>]; Hough's team used 7 biomarker variables including systolic and diastolic pressure, waist-to-hip ratio, total cholesterol, high-density lipoprotein cholesterol, HgbA1c, and serum cortisol to reflect allostatic load, mainly reflecting the condition of the cardiovascular system [</w:t>
      </w:r>
      <w:r>
        <w:rPr>
          <w:rFonts w:hint="eastAsia" w:ascii="Times New Roman" w:hAnsi="Times New Roman" w:cs="Times New Roman"/>
          <w:lang w:val="en-US" w:eastAsia="zh-CN"/>
        </w:rPr>
        <w:t>5</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This study, synthesizing previous research findings, selected 9 biomarkers to reflect allostatic load, including markers of the cardiovascular system (pulse rate, systolic and diastolic pressure, serum cortisol), the metabolic system (total serum cholesterol, high-density lipoprotein cholesterol, waist-to-hip ratio, glycated hemoglobin), and the inflammation system (C-reactive protein).</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i/>
          <w:iCs/>
          <w:lang w:val="en-US" w:eastAsia="zh-CN"/>
        </w:rPr>
      </w:pPr>
      <w:r>
        <w:rPr>
          <w:rFonts w:hint="default" w:ascii="Times New Roman" w:hAnsi="Times New Roman" w:cs="Times New Roman"/>
          <w:b/>
          <w:bCs/>
          <w:i/>
          <w:iCs/>
          <w:lang w:val="en-US" w:eastAsia="zh-CN"/>
        </w:rPr>
        <w:t>Calculation of Allostatic Load Index</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In calculating the allostatic load index, in addition to differences in the selection of biomarkers, different studies also use different calculation methods. A common method is to define biomarkers with values above the third quartile as "high-risk" (each biomarker having equal weight) and summing their number to calculate the overall index of AL, while some studies use the fourth quartile as the threshold[</w:t>
      </w:r>
      <w:r>
        <w:rPr>
          <w:rFonts w:hint="eastAsia" w:ascii="Times New Roman" w:hAnsi="Times New Roman" w:cs="Times New Roman"/>
          <w:lang w:val="en-US" w:eastAsia="zh-CN"/>
        </w:rPr>
        <w:t>6</w:t>
      </w:r>
      <w:r>
        <w:rPr>
          <w:rFonts w:hint="default" w:ascii="Times New Roman" w:hAnsi="Times New Roman" w:cs="Times New Roman"/>
          <w:lang w:val="en-US" w:eastAsia="zh-CN"/>
        </w:rPr>
        <w:t>]. Additionally, some studies do not summarize individual biomarkers but instead sum up the proportion of high-risk markers in the biological systems, such as if an individual has one out of four cardiovascular biomarkers above the high-risk threshold, their score in that system would be 0.25[</w:t>
      </w:r>
      <w:r>
        <w:rPr>
          <w:rFonts w:hint="eastAsia" w:ascii="Times New Roman" w:hAnsi="Times New Roman" w:cs="Times New Roman"/>
          <w:lang w:val="en-US" w:eastAsia="zh-CN"/>
        </w:rPr>
        <w:t>7</w:t>
      </w:r>
      <w:r>
        <w:rPr>
          <w:rFonts w:hint="default" w:ascii="Times New Roman" w:hAnsi="Times New Roman" w:cs="Times New Roman"/>
          <w:lang w:val="en-US" w:eastAsia="zh-CN"/>
        </w:rPr>
        <w:t>]. Recently, some researchers have proposed an allostatic load calculation method based on the Item Response Theory model IRT, which treats individual biomarkers as indicators of the latent allostatic load structure to determine which of these biomarkers contributes most and least to the allostatic load index, thereby addressing the weight issue of each biomarker to the total allostatic load score[</w:t>
      </w:r>
      <w:r>
        <w:rPr>
          <w:rFonts w:hint="eastAsia" w:ascii="Times New Roman" w:hAnsi="Times New Roman" w:cs="Times New Roman"/>
          <w:lang w:val="en-US" w:eastAsia="zh-CN"/>
        </w:rPr>
        <w:t>8</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In this study, the evaluation of the allostatic load index is determined by the measurement values of 9 biomarkers from 60 rigorously screened healthy subjects. The nine AL components of the healthy subjects are measured and the third quartile is calculated. Each AL factor that falls in the highest third quartile or above in the distribution of healthy subjects for all MDD subjects is scored one point. These factors are summed up to yield the total AL score for each MDD subject, ranging from 0 to 9, where a higher score indicates a more severe level of allostatic load. The specific criteria are as follows:</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Table S1  Allostatic Load Standards</w:t>
      </w:r>
    </w:p>
    <w:tbl>
      <w:tblPr>
        <w:tblStyle w:val="6"/>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Name</w:t>
            </w:r>
          </w:p>
        </w:tc>
        <w:tc>
          <w:tcPr>
            <w:tcW w:w="4261"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Definition Criteria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Pulse Rate</w:t>
            </w:r>
          </w:p>
        </w:tc>
        <w:tc>
          <w:tcPr>
            <w:tcW w:w="4261"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≥80 bpm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val="en-US" w:eastAsia="zh-CN"/>
              </w:rPr>
              <w:t>Systolic Blood Pressure</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val="en-US" w:eastAsia="zh-CN"/>
              </w:rPr>
              <w:t>≥120 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Diastolic Blood Pressure</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≥83 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Waist-to-Hip Ratio</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≥0.93（male）</w:t>
            </w:r>
          </w:p>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≥0.83（female）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Total Serum Cholesterol</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≥5.17 mmol/L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High-Density Lipoprotein Cholesterol</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≤1.47 mmol/L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Glycated Hemoglobin</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≥5.4 mg/dL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Cortisol</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≥11.87 μg/dL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C-Reactive Protein</w:t>
            </w:r>
          </w:p>
        </w:tc>
        <w:tc>
          <w:tcPr>
            <w:tcW w:w="426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≥2.86 mg/L</w:t>
            </w: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keepNext w:val="0"/>
        <w:keepLines w:val="0"/>
        <w:pageBreakBefore w:val="0"/>
        <w:widowControl/>
        <w:suppressLineNumbers w:val="0"/>
        <w:kinsoku/>
        <w:wordWrap/>
        <w:overflowPunct/>
        <w:topLinePunct w:val="0"/>
        <w:autoSpaceDE w:val="0"/>
        <w:autoSpaceDN w:val="0"/>
        <w:bidi w:val="0"/>
        <w:adjustRightInd/>
        <w:snapToGrid/>
        <w:spacing w:line="360" w:lineRule="exact"/>
        <w:jc w:val="left"/>
        <w:textAlignment w:val="auto"/>
        <w:rPr>
          <w:rFonts w:hint="default" w:ascii="Times New Roman" w:hAnsi="Times New Roman" w:cs="Times New Roman"/>
          <w:b/>
          <w:bCs/>
          <w:i/>
          <w:iCs/>
          <w:lang w:val="en-US" w:eastAsia="zh-CN"/>
        </w:rPr>
      </w:pPr>
      <w:r>
        <w:rPr>
          <w:rFonts w:hint="default" w:ascii="Times New Roman" w:hAnsi="Times New Roman" w:cs="Times New Roman"/>
          <w:b/>
          <w:bCs/>
          <w:i/>
          <w:iCs/>
          <w:lang w:val="en-US" w:eastAsia="zh-CN"/>
        </w:rPr>
        <w:t>Robustness Test</w:t>
      </w:r>
    </w:p>
    <w:p>
      <w:pPr>
        <w:keepNext w:val="0"/>
        <w:keepLines w:val="0"/>
        <w:pageBreakBefore w:val="0"/>
        <w:widowControl/>
        <w:suppressLineNumbers w:val="0"/>
        <w:kinsoku/>
        <w:wordWrap/>
        <w:overflowPunct/>
        <w:topLinePunct w:val="0"/>
        <w:autoSpaceDE w:val="0"/>
        <w:autoSpaceDN w:val="0"/>
        <w:bidi w:val="0"/>
        <w:adjustRightInd/>
        <w:snapToGrid/>
        <w:spacing w:line="360" w:lineRule="exact"/>
        <w:ind w:firstLine="422" w:firstLineChars="200"/>
        <w:jc w:val="left"/>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 xml:space="preserve">1.Different matching method test. </w:t>
      </w:r>
      <w:r>
        <w:rPr>
          <w:rFonts w:hint="default" w:ascii="Times New Roman" w:hAnsi="Times New Roman" w:cs="Times New Roman"/>
          <w:lang w:val="en-US" w:eastAsia="zh-CN"/>
        </w:rPr>
        <w:t>To eliminate potential biases in the results due to different Propensity Score Matching (PSM) methods, this paper adopts various matching methods. Each result undergoes Bootstrap resampling 500 times, with the matching results shown in Table S2. The ATT values and t-values obtained from other matching methods are not significantly different from those obtained using the radius matching method described earlier. This indicates that the baseline regression results are not affected by the PSM matching method, demonstrating good reliability.</w:t>
      </w:r>
    </w:p>
    <w:p>
      <w:pPr>
        <w:keepNext w:val="0"/>
        <w:keepLines w:val="0"/>
        <w:widowControl/>
        <w:suppressLineNumbers w:val="0"/>
        <w:autoSpaceDE w:val="0"/>
        <w:autoSpaceDN w:val="0"/>
        <w:jc w:val="center"/>
        <w:rPr>
          <w:rFonts w:hint="default" w:ascii="Times New Roman" w:hAnsi="Times New Roman" w:eastAsia="宋体" w:cs="Times New Roman"/>
          <w:color w:val="231F20"/>
          <w:kern w:val="0"/>
          <w:sz w:val="18"/>
          <w:szCs w:val="18"/>
          <w:lang w:val="en-US" w:eastAsia="zh-CN" w:bidi="ar"/>
        </w:rPr>
      </w:pPr>
      <w:r>
        <w:rPr>
          <w:rFonts w:hint="default" w:ascii="Times New Roman" w:hAnsi="Times New Roman" w:eastAsia="ZIEIHM-270" w:cs="Times New Roman"/>
          <w:color w:val="231F20"/>
          <w:kern w:val="0"/>
          <w:sz w:val="18"/>
          <w:szCs w:val="18"/>
          <w:lang w:val="en-US" w:eastAsia="en-US" w:bidi="ar"/>
        </w:rPr>
        <w:t>Table S</w:t>
      </w:r>
      <w:r>
        <w:rPr>
          <w:rFonts w:hint="default" w:ascii="Times New Roman" w:hAnsi="Times New Roman" w:eastAsia="宋体" w:cs="Times New Roman"/>
          <w:color w:val="231F20"/>
          <w:kern w:val="0"/>
          <w:sz w:val="18"/>
          <w:szCs w:val="18"/>
          <w:lang w:val="en-US" w:eastAsia="zh-CN" w:bidi="ar"/>
        </w:rPr>
        <w:t>2 Results from Different Matching Methods</w:t>
      </w:r>
    </w:p>
    <w:tbl>
      <w:tblPr>
        <w:tblStyle w:val="6"/>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78"/>
        <w:gridCol w:w="2197"/>
        <w:gridCol w:w="1049"/>
        <w:gridCol w:w="1266"/>
        <w:gridCol w:w="1228"/>
        <w:gridCol w:w="120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Matching Method</w:t>
            </w:r>
          </w:p>
        </w:tc>
        <w:tc>
          <w:tcPr>
            <w:tcW w:w="104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Treatment Group</w:t>
            </w:r>
          </w:p>
        </w:tc>
        <w:tc>
          <w:tcPr>
            <w:tcW w:w="1266"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Control Group</w:t>
            </w:r>
          </w:p>
        </w:tc>
        <w:tc>
          <w:tcPr>
            <w:tcW w:w="1228"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ATT</w:t>
            </w:r>
          </w:p>
        </w:tc>
        <w:tc>
          <w:tcPr>
            <w:tcW w:w="1204"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restart"/>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Self-rated health</w:t>
            </w:r>
          </w:p>
        </w:tc>
        <w:tc>
          <w:tcPr>
            <w:tcW w:w="2197"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Radius Matching（r=0.01）</w:t>
            </w:r>
          </w:p>
        </w:tc>
        <w:tc>
          <w:tcPr>
            <w:tcW w:w="1049"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0.221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0.199</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0.021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op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3.01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Nearest Neighbor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0.220</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0.198</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0.011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2.62</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Kernel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0.221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0.198</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0.022</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3.03</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Allostatic Load</w:t>
            </w: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r>
              <w:rPr>
                <w:rFonts w:hint="default" w:ascii="Times New Roman" w:hAnsi="Times New Roman" w:cs="Times New Roman"/>
                <w:sz w:val="18"/>
                <w:szCs w:val="18"/>
                <w:vertAlign w:val="baseline"/>
                <w:lang w:val="en-US" w:eastAsia="zh-CN"/>
              </w:rPr>
              <w:t>Radius Matching（r=0.01）</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0.187</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0.203</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-0.020</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-0.64</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r>
              <w:rPr>
                <w:rFonts w:hint="default" w:ascii="Times New Roman" w:hAnsi="Times New Roman" w:cs="Times New Roman"/>
                <w:sz w:val="18"/>
                <w:szCs w:val="18"/>
                <w:vertAlign w:val="baseline"/>
                <w:lang w:val="en-US" w:eastAsia="zh-CN"/>
              </w:rPr>
              <w:t>Nearest Neighbor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0.188</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0.210</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-0.020</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-0.71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r>
              <w:rPr>
                <w:rFonts w:hint="default" w:ascii="Times New Roman" w:hAnsi="Times New Roman" w:cs="Times New Roman"/>
                <w:sz w:val="18"/>
                <w:szCs w:val="18"/>
                <w:vertAlign w:val="baseline"/>
                <w:lang w:val="en-US" w:eastAsia="zh-CN"/>
              </w:rPr>
              <w:t>Kernel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0.187</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0.197</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-0.021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-0.92</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Depression</w:t>
            </w: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Radius Matching（r=0.01）</w:t>
            </w: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7.949</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8.518</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-0.560</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-3.45</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r>
              <w:rPr>
                <w:rFonts w:hint="default" w:ascii="Times New Roman" w:hAnsi="Times New Roman" w:cs="Times New Roman"/>
                <w:sz w:val="18"/>
                <w:szCs w:val="18"/>
                <w:vertAlign w:val="baseline"/>
                <w:lang w:val="en-US" w:eastAsia="zh-CN"/>
              </w:rPr>
              <w:t>Nearest Neighbor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7.942</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8.324</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-0.391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-3.21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219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2"/>
                <w:sz w:val="18"/>
                <w:szCs w:val="18"/>
                <w:vertAlign w:val="baseline"/>
                <w:lang w:val="en-US" w:eastAsia="zh-CN" w:bidi="ar-SA"/>
              </w:rPr>
            </w:pPr>
            <w:r>
              <w:rPr>
                <w:rFonts w:hint="default" w:ascii="Times New Roman" w:hAnsi="Times New Roman" w:cs="Times New Roman"/>
                <w:sz w:val="18"/>
                <w:szCs w:val="18"/>
                <w:vertAlign w:val="baseline"/>
                <w:lang w:val="en-US" w:eastAsia="zh-CN"/>
              </w:rPr>
              <w:t>Kernel Matching</w:t>
            </w:r>
          </w:p>
        </w:tc>
        <w:tc>
          <w:tcPr>
            <w:tcW w:w="10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7.951</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6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8.542</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2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-0.624</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c>
          <w:tcPr>
            <w:tcW w:w="12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-3.48</w:t>
            </w:r>
          </w:p>
          <w:p>
            <w:pPr>
              <w:keepNext w:val="0"/>
              <w:keepLines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eastAsia="zh-CN"/>
              </w:rPr>
            </w:pPr>
          </w:p>
        </w:tc>
      </w:tr>
    </w:tbl>
    <w:p>
      <w:pPr>
        <w:rPr>
          <w:rFonts w:hint="default" w:ascii="Times New Roman" w:hAnsi="Times New Roman" w:cs="Times New Roman"/>
          <w:sz w:val="18"/>
          <w:szCs w:val="18"/>
          <w:lang w:val="en-US" w:eastAsia="zh-CN"/>
        </w:rPr>
      </w:pPr>
    </w:p>
    <w:p>
      <w:pPr>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lang w:val="en-US" w:eastAsia="zh-CN"/>
        </w:rPr>
      </w:pPr>
      <w:r>
        <w:rPr>
          <w:rFonts w:hint="default" w:ascii="Times New Roman" w:hAnsi="Times New Roman" w:cs="Times New Roman"/>
          <w:b/>
          <w:bCs/>
          <w:i w:val="0"/>
          <w:iCs w:val="0"/>
          <w:lang w:val="en-US" w:eastAsia="zh-CN"/>
        </w:rPr>
        <w:t>2. Placebo test.</w:t>
      </w:r>
      <w:r>
        <w:rPr>
          <w:rFonts w:hint="default" w:ascii="Times New Roman" w:hAnsi="Times New Roman" w:cs="Times New Roman"/>
          <w:b/>
          <w:bCs/>
          <w:i/>
          <w:iCs/>
          <w:lang w:val="en-US" w:eastAsia="zh-CN"/>
        </w:rPr>
        <w:t xml:space="preserve"> </w:t>
      </w:r>
      <w:r>
        <w:rPr>
          <w:rFonts w:hint="default" w:ascii="Times New Roman" w:hAnsi="Times New Roman" w:cs="Times New Roman"/>
          <w:lang w:val="en-US" w:eastAsia="zh-CN"/>
        </w:rPr>
        <w:t>Considering that the above results might be influenced by the lockdown lifting event merely acting as a proxy variable for health differences among the sample, to exclude the interference of other events and random factors, this study conducts a placebo test by permuting a false event time. Assuming September 2021 (the midpoint of data collection) as the false event time point, a new panel dataset is formed and subjected to the same tests as the main regression. The results shown in Table S3 indicate that the false treatment event does not affect the physiological and mental health of the elderly, confirming that the lockdown lifting is not a proxy for other factors.</w:t>
      </w:r>
    </w:p>
    <w:p>
      <w:pPr>
        <w:rPr>
          <w:rFonts w:hint="default" w:ascii="Times New Roman" w:hAnsi="Times New Roman" w:cs="Times New Roman"/>
          <w:lang w:val="en-US" w:eastAsia="zh-CN"/>
        </w:rPr>
      </w:pPr>
    </w:p>
    <w:p>
      <w:pPr>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Table S3 Results of the Placebo Test</w:t>
      </w:r>
    </w:p>
    <w:tbl>
      <w:tblPr>
        <w:tblStyle w:val="5"/>
        <w:tblpPr w:leftFromText="180" w:rightFromText="180" w:vertAnchor="text" w:horzAnchor="page" w:tblpX="1142" w:tblpY="273"/>
        <w:tblOverlap w:val="never"/>
        <w:tblW w:w="10128" w:type="dxa"/>
        <w:tblInd w:w="0"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40"/>
        <w:gridCol w:w="2738"/>
        <w:gridCol w:w="2302"/>
        <w:gridCol w:w="2148"/>
      </w:tblGrid>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40" w:type="dxa"/>
            <w:tcBorders>
              <w:bottom w:val="single" w:color="000000" w:sz="4" w:space="0"/>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Variable</w:t>
            </w:r>
          </w:p>
        </w:tc>
        <w:tc>
          <w:tcPr>
            <w:tcW w:w="2738" w:type="dxa"/>
            <w:tcBorders>
              <w:bottom w:val="single" w:color="000000" w:sz="4" w:space="0"/>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Self-rated health</w:t>
            </w:r>
          </w:p>
        </w:tc>
        <w:tc>
          <w:tcPr>
            <w:tcW w:w="2302" w:type="dxa"/>
            <w:tcBorders>
              <w:bottom w:val="single" w:color="000000" w:sz="4" w:space="0"/>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193" w:right="0"/>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Allostatic Load</w:t>
            </w:r>
          </w:p>
        </w:tc>
        <w:tc>
          <w:tcPr>
            <w:tcW w:w="2148" w:type="dxa"/>
            <w:tcBorders>
              <w:bottom w:val="single" w:color="000000" w:sz="4" w:space="0"/>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193" w:right="0"/>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Mental health</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40" w:type="dxa"/>
            <w:tcBorders>
              <w:top w:val="single" w:color="000000" w:sz="4" w:space="0"/>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i/>
                <w:color w:val="231F20"/>
                <w:position w:val="1"/>
                <w:sz w:val="18"/>
                <w:szCs w:val="18"/>
                <w:lang w:val="en-US" w:eastAsia="zh-CN" w:bidi="ar-SA"/>
              </w:rPr>
              <w:t>tim</w:t>
            </w:r>
            <w:r>
              <w:rPr>
                <w:rFonts w:hint="default" w:ascii="Times New Roman" w:hAnsi="Times New Roman" w:eastAsia="宋体" w:cs="Times New Roman"/>
                <w:i/>
                <w:color w:val="231F20"/>
                <w:spacing w:val="-1"/>
                <w:position w:val="1"/>
                <w:sz w:val="18"/>
                <w:szCs w:val="18"/>
                <w:lang w:val="en-US" w:eastAsia="zh-CN" w:bidi="ar-SA"/>
              </w:rPr>
              <w:t>e</w:t>
            </w:r>
            <w:r>
              <w:rPr>
                <w:rFonts w:hint="default" w:ascii="Times New Roman" w:hAnsi="Times New Roman" w:eastAsia="宋体" w:cs="Times New Roman"/>
                <w:i/>
                <w:color w:val="231F20"/>
                <w:w w:val="87"/>
                <w:position w:val="1"/>
                <w:sz w:val="18"/>
                <w:szCs w:val="18"/>
                <w:vertAlign w:val="subscript"/>
                <w:lang w:val="en-US" w:eastAsia="zh-CN" w:bidi="ar-SA"/>
              </w:rPr>
              <w:t>i</w:t>
            </w:r>
            <w:r>
              <w:rPr>
                <w:rFonts w:hint="default" w:ascii="Times New Roman" w:hAnsi="Times New Roman" w:eastAsia="宋体" w:cs="Times New Roman"/>
                <w:i/>
                <w:color w:val="231F20"/>
                <w:spacing w:val="-1"/>
                <w:w w:val="87"/>
                <w:position w:val="1"/>
                <w:sz w:val="18"/>
                <w:szCs w:val="18"/>
                <w:vertAlign w:val="subscript"/>
                <w:lang w:val="en-US" w:eastAsia="zh-CN" w:bidi="ar-SA"/>
              </w:rPr>
              <w:t>t</w:t>
            </w:r>
            <w:r>
              <w:rPr>
                <w:rFonts w:hint="default" w:ascii="Times New Roman" w:hAnsi="Times New Roman" w:eastAsia="宋体" w:cs="Times New Roman"/>
                <w:i/>
                <w:color w:val="231F20"/>
                <w:spacing w:val="-1"/>
                <w:position w:val="1"/>
                <w:sz w:val="18"/>
                <w:szCs w:val="18"/>
                <w:lang w:val="en-US" w:eastAsia="zh-CN" w:bidi="ar-SA"/>
              </w:rPr>
              <w:t>*t</w:t>
            </w:r>
            <w:r>
              <w:rPr>
                <w:rFonts w:hint="default" w:ascii="Times New Roman" w:hAnsi="Times New Roman" w:eastAsia="宋体" w:cs="Times New Roman"/>
                <w:i/>
                <w:color w:val="231F20"/>
                <w:spacing w:val="-9"/>
                <w:position w:val="1"/>
                <w:sz w:val="18"/>
                <w:szCs w:val="18"/>
                <w:lang w:val="en-US" w:eastAsia="zh-CN" w:bidi="ar-SA"/>
              </w:rPr>
              <w:t>r</w:t>
            </w:r>
            <w:r>
              <w:rPr>
                <w:rFonts w:hint="default" w:ascii="Times New Roman" w:hAnsi="Times New Roman" w:eastAsia="宋体" w:cs="Times New Roman"/>
                <w:i/>
                <w:color w:val="231F20"/>
                <w:position w:val="1"/>
                <w:sz w:val="18"/>
                <w:szCs w:val="18"/>
                <w:lang w:val="en-US" w:eastAsia="zh-CN" w:bidi="ar-SA"/>
              </w:rPr>
              <w:t>eat</w:t>
            </w:r>
            <w:r>
              <w:rPr>
                <w:rFonts w:hint="default" w:ascii="Times New Roman" w:hAnsi="Times New Roman" w:eastAsia="宋体" w:cs="Times New Roman"/>
                <w:i/>
                <w:color w:val="231F20"/>
                <w:w w:val="87"/>
                <w:position w:val="1"/>
                <w:sz w:val="18"/>
                <w:szCs w:val="18"/>
                <w:vertAlign w:val="subscript"/>
                <w:lang w:val="en-US" w:eastAsia="zh-CN" w:bidi="ar-SA"/>
              </w:rPr>
              <w:t>it</w:t>
            </w:r>
          </w:p>
        </w:tc>
        <w:tc>
          <w:tcPr>
            <w:tcW w:w="2738" w:type="dxa"/>
            <w:tcBorders>
              <w:top w:val="single" w:color="000000" w:sz="4" w:space="0"/>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0.013</w:t>
            </w:r>
          </w:p>
        </w:tc>
        <w:tc>
          <w:tcPr>
            <w:tcW w:w="2302" w:type="dxa"/>
            <w:tcBorders>
              <w:top w:val="single" w:color="000000" w:sz="4" w:space="0"/>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0.008</w:t>
            </w:r>
          </w:p>
        </w:tc>
        <w:tc>
          <w:tcPr>
            <w:tcW w:w="2148" w:type="dxa"/>
            <w:tcBorders>
              <w:top w:val="single" w:color="000000" w:sz="4" w:space="0"/>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-0.490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40"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Constant Term</w:t>
            </w:r>
          </w:p>
        </w:tc>
        <w:tc>
          <w:tcPr>
            <w:tcW w:w="2738"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0.288*</w:t>
            </w:r>
          </w:p>
        </w:tc>
        <w:tc>
          <w:tcPr>
            <w:tcW w:w="2302"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0.100</w:t>
            </w:r>
          </w:p>
        </w:tc>
        <w:tc>
          <w:tcPr>
            <w:tcW w:w="2148"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12.411***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40"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Lines="0" w:beforeAutospacing="0" w:after="0" w:afterLines="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i/>
                <w:iCs/>
                <w:color w:val="231F20"/>
                <w:sz w:val="18"/>
                <w:szCs w:val="18"/>
                <w:lang w:val="en-US" w:eastAsia="zh-CN" w:bidi="ar-SA"/>
              </w:rPr>
              <w:t>R</w:t>
            </w:r>
            <w:r>
              <w:rPr>
                <w:rFonts w:hint="default" w:ascii="Times New Roman" w:hAnsi="Times New Roman" w:eastAsia="宋体" w:cs="Times New Roman"/>
                <w:i/>
                <w:iCs/>
                <w:color w:val="231F20"/>
                <w:sz w:val="18"/>
                <w:szCs w:val="18"/>
                <w:vertAlign w:val="superscript"/>
                <w:lang w:val="en-US" w:eastAsia="zh-CN" w:bidi="ar-SA"/>
              </w:rPr>
              <w:t>2</w:t>
            </w:r>
          </w:p>
        </w:tc>
        <w:tc>
          <w:tcPr>
            <w:tcW w:w="2738"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0.030</w:t>
            </w:r>
          </w:p>
        </w:tc>
        <w:tc>
          <w:tcPr>
            <w:tcW w:w="2302"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0.021</w:t>
            </w:r>
          </w:p>
        </w:tc>
        <w:tc>
          <w:tcPr>
            <w:tcW w:w="2148" w:type="dxa"/>
            <w:tcBorders>
              <w:tl2br w:val="nil"/>
              <w:tr2bl w:val="nil"/>
            </w:tcBorders>
            <w:shd w:val="clear" w:color="auto" w:fill="auto"/>
            <w:noWrap/>
            <w:vAlign w:val="center"/>
          </w:tcPr>
          <w:p>
            <w:pPr>
              <w:keepNext w:val="0"/>
              <w:keepLines w:val="0"/>
              <w:widowControl w:val="0"/>
              <w:suppressLineNumbers w:val="0"/>
              <w:autoSpaceDE w:val="0"/>
              <w:autoSpaceDN w:val="0"/>
              <w:spacing w:before="0" w:beforeAutospacing="0" w:after="0" w:afterAutospacing="0" w:line="360" w:lineRule="exact"/>
              <w:ind w:left="0" w:right="0" w:firstLine="482"/>
              <w:jc w:val="center"/>
              <w:rPr>
                <w:rFonts w:hint="default" w:ascii="Times New Roman" w:hAnsi="Times New Roman" w:eastAsia="宋体" w:cs="Times New Roman"/>
                <w:color w:val="231F20"/>
                <w:sz w:val="18"/>
                <w:szCs w:val="18"/>
                <w:lang w:val="en-US" w:eastAsia="zh-CN" w:bidi="ar-SA"/>
              </w:rPr>
            </w:pPr>
            <w:r>
              <w:rPr>
                <w:rFonts w:hint="default" w:ascii="Times New Roman" w:hAnsi="Times New Roman" w:eastAsia="宋体" w:cs="Times New Roman"/>
                <w:color w:val="231F20"/>
                <w:sz w:val="18"/>
                <w:szCs w:val="18"/>
                <w:lang w:val="en-US" w:eastAsia="zh-CN" w:bidi="ar-SA"/>
              </w:rPr>
              <w:t>0.119</w:t>
            </w:r>
          </w:p>
        </w:tc>
      </w:tr>
    </w:tbl>
    <w:p>
      <w:pPr>
        <w:rPr>
          <w:rFonts w:hint="default" w:ascii="Times New Roman" w:hAnsi="Times New Roman" w:cs="Times New Roman"/>
          <w:sz w:val="18"/>
          <w:szCs w:val="18"/>
          <w:lang w:val="en-US" w:eastAsia="zh-CN"/>
        </w:rPr>
      </w:pPr>
    </w:p>
    <w:p>
      <w:pPr>
        <w:autoSpaceDE/>
        <w:autoSpaceDN/>
        <w:ind w:firstLine="360" w:firstLineChars="200"/>
        <w:jc w:val="both"/>
        <w:rPr>
          <w:rFonts w:hint="default" w:ascii="Times New Roman" w:hAnsi="Times New Roman" w:eastAsia="PMingLiU" w:cs="Times New Roman"/>
          <w:b w:val="0"/>
          <w:bCs/>
          <w:kern w:val="0"/>
          <w:sz w:val="18"/>
          <w:szCs w:val="18"/>
          <w:lang w:eastAsia="en-US"/>
        </w:rPr>
      </w:pPr>
      <w:r>
        <w:rPr>
          <w:rFonts w:hint="default" w:ascii="Times New Roman" w:hAnsi="Times New Roman" w:eastAsia="宋体" w:cs="Times New Roman"/>
          <w:b w:val="0"/>
          <w:bCs/>
          <w:i/>
          <w:iCs/>
          <w:color w:val="000000"/>
          <w:kern w:val="2"/>
          <w:sz w:val="18"/>
          <w:szCs w:val="18"/>
          <w:lang w:val="en-US" w:eastAsia="zh-CN"/>
          <w14:textFill>
            <w14:solidFill>
              <w14:srgbClr w14:val="000000">
                <w14:lumMod w14:val="95000"/>
                <w14:lumOff w14:val="5000"/>
              </w14:srgbClr>
            </w14:solidFill>
          </w14:textFill>
        </w:rPr>
        <w:t>Note: ***p &lt; 0.001, **p &lt; 0.01,*p &lt; 0.05.</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widowControl w:val="0"/>
        <w:autoSpaceDE w:val="0"/>
        <w:autoSpaceDN w:val="0"/>
        <w:spacing w:before="120" w:after="120"/>
        <w:ind w:left="0"/>
        <w:jc w:val="both"/>
        <w:outlineLvl w:val="0"/>
        <w:rPr>
          <w:rFonts w:hint="default" w:ascii="Times New Roman" w:hAnsi="Times New Roman" w:eastAsia="宋体" w:cs="Times New Roman"/>
          <w:b/>
          <w:bCs w:val="0"/>
          <w:color w:val="000000"/>
          <w:sz w:val="24"/>
          <w:szCs w:val="24"/>
          <w:lang w:val="en-US" w:eastAsia="zh-CN" w:bidi="ar-SA"/>
        </w:rPr>
      </w:pPr>
      <w:r>
        <w:rPr>
          <w:rFonts w:hint="default" w:ascii="Times New Roman" w:hAnsi="Times New Roman" w:eastAsia="宋体" w:cs="Times New Roman"/>
          <w:b/>
          <w:bCs w:val="0"/>
          <w:color w:val="000000"/>
          <w:sz w:val="24"/>
          <w:szCs w:val="24"/>
          <w:lang w:val="en-US" w:eastAsia="zh-CN" w:bidi="ar-SA"/>
        </w:rPr>
        <w:t>References</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kern w:val="2"/>
          <w:sz w:val="20"/>
          <w:szCs w:val="20"/>
          <w:lang w:val="en-US" w:eastAsia="zh-CN" w:bidi="ar"/>
        </w:rPr>
      </w:pPr>
      <w:r>
        <w:rPr>
          <w:rFonts w:hint="default" w:ascii="Times New Roman" w:hAnsi="Times New Roman" w:eastAsia="Palatino Linotype" w:cs="Times New Roman"/>
          <w:kern w:val="2"/>
          <w:sz w:val="20"/>
          <w:szCs w:val="20"/>
          <w:lang w:val="en-US" w:eastAsia="zh-CN" w:bidi="ar"/>
        </w:rPr>
        <w:t>1.Seeman, T.E., Mcewen, B.S., Rowe, J.W., et al., 2001. Allostatic load as a marker of cumulative biological risk: MacArthur studies of successful aging. Proc Natl Acad Sci U S A. 98 (8), 4770-4775.</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2.</w:t>
      </w:r>
      <w:r>
        <w:rPr>
          <w:rFonts w:hint="default" w:ascii="Times New Roman" w:hAnsi="Times New Roman" w:eastAsia="Palatino Linotype" w:cs="Times New Roman"/>
          <w:kern w:val="2"/>
          <w:sz w:val="20"/>
          <w:szCs w:val="20"/>
          <w:lang w:val="en-US" w:eastAsia="zh-CN" w:bidi="ar"/>
        </w:rPr>
        <w:t>Fava, G.A., Mcewen, B.S., Guidi, J., et al., 2019. Clinical characterization of allostatic overload. Psychoneuroendocrinology. 108, 94-101.Barry, L.E., O’Neill, C., Heaney, L., 2020. Association between asthma, corticosteroids and allostatic load biomarkers: a cross-sectional study. Thorax. 75 (10), 835-841.</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3.</w:t>
      </w:r>
      <w:r>
        <w:rPr>
          <w:rFonts w:hint="default" w:ascii="Times New Roman" w:hAnsi="Times New Roman" w:eastAsia="Palatino Linotype" w:cs="Times New Roman"/>
          <w:kern w:val="2"/>
          <w:sz w:val="20"/>
          <w:szCs w:val="20"/>
          <w:lang w:val="en-US" w:eastAsia="zh-CN" w:bidi="ar"/>
        </w:rPr>
        <w:t>Hwang, A.C., Peng, L.N., Wen, Y.W., et al., 2014. Predicting All-Cause and Cause-Specific Mortality by Static and Dynamic Measurements of Allostatic Load: A 10-Year Population-Based Cohort Study in Taiwan. J Am Med Dir Assoc. 15 (7), 490-496.</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4.</w:t>
      </w:r>
      <w:r>
        <w:rPr>
          <w:rFonts w:hint="default" w:ascii="Times New Roman" w:hAnsi="Times New Roman" w:eastAsia="Palatino Linotype" w:cs="Times New Roman"/>
          <w:kern w:val="2"/>
          <w:sz w:val="20"/>
          <w:szCs w:val="20"/>
          <w:lang w:val="en-US" w:eastAsia="zh-CN" w:bidi="ar"/>
        </w:rPr>
        <w:t>Robertson, T., Beveridge, G., Bromley, C., 2017. Allostatic load as a predictor of all-cause and cause-specific mortality in the general population: Evidence from the Scottish Health Survey. PLoS ONE. 12 (8), e0183297.</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5.</w:t>
      </w:r>
      <w:r>
        <w:rPr>
          <w:rFonts w:hint="default" w:ascii="Times New Roman" w:hAnsi="Times New Roman" w:eastAsia="Palatino Linotype" w:cs="Times New Roman"/>
          <w:kern w:val="2"/>
          <w:sz w:val="20"/>
          <w:szCs w:val="20"/>
          <w:lang w:val="en-US" w:eastAsia="zh-CN" w:bidi="ar"/>
        </w:rPr>
        <w:t>Hough, C.M., Bersani, F.S., Mellon, S.H., et al., 2020. Pre-treatment allostatic load and metabolic dysregulation predict SSRI response in major depressive disorder: A preliminary report. Psychol Med. 5 (22), 1-9. https://doi.org/10.1017/S0033291720000896</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6.</w:t>
      </w:r>
      <w:r>
        <w:rPr>
          <w:rFonts w:hint="default" w:ascii="Times New Roman" w:hAnsi="Times New Roman" w:eastAsia="Palatino Linotype" w:cs="Times New Roman"/>
          <w:kern w:val="2"/>
          <w:sz w:val="20"/>
          <w:szCs w:val="20"/>
          <w:lang w:val="en-US" w:eastAsia="zh-CN" w:bidi="ar"/>
        </w:rPr>
        <w:t>Johnson, S.C., Cavallaro, F.L., Leon, D.A., 2017. A systematic review of allostatic load in relation to socioeconomic position: Poor fidelity and major inconsistencies in biomarkers employed. Soc Sci Med. 192, 66-73.</w:t>
      </w:r>
    </w:p>
    <w:p>
      <w:pPr>
        <w:keepNext w:val="0"/>
        <w:keepLines w:val="0"/>
        <w:widowControl w:val="0"/>
        <w:suppressLineNumbers w:val="0"/>
        <w:spacing w:before="0" w:beforeAutospacing="0" w:after="0" w:afterAutospacing="0"/>
        <w:ind w:left="400" w:right="0" w:hanging="400" w:hangingChars="200"/>
        <w:jc w:val="both"/>
        <w:rPr>
          <w:rFonts w:hint="default" w:ascii="Times New Roman" w:hAnsi="Times New Roman" w:eastAsia="Palatino Linotype" w:cs="Times New Roman"/>
          <w:sz w:val="20"/>
          <w:szCs w:val="20"/>
          <w:lang w:val="en-US"/>
        </w:rPr>
      </w:pPr>
      <w:r>
        <w:rPr>
          <w:rFonts w:hint="eastAsia" w:ascii="Times New Roman" w:hAnsi="Times New Roman" w:eastAsia="Palatino Linotype" w:cs="Times New Roman"/>
          <w:kern w:val="2"/>
          <w:sz w:val="20"/>
          <w:szCs w:val="20"/>
          <w:lang w:val="en-US" w:eastAsia="zh-CN" w:bidi="ar"/>
        </w:rPr>
        <w:t>7.</w:t>
      </w:r>
      <w:r>
        <w:rPr>
          <w:rFonts w:hint="default" w:ascii="Times New Roman" w:hAnsi="Times New Roman" w:eastAsia="Palatino Linotype" w:cs="Times New Roman"/>
          <w:kern w:val="2"/>
          <w:sz w:val="20"/>
          <w:szCs w:val="20"/>
          <w:lang w:val="en-US" w:eastAsia="zh-CN" w:bidi="ar"/>
        </w:rPr>
        <w:t>O'Shields, J., Gibbs, J.J., 2021. Depressive symptoms, childhood maltreatment, and allostatic load: The importance of sex differences. Psychoneuroendocrinology. 126, 105130.</w:t>
      </w:r>
    </w:p>
    <w:p>
      <w:pPr>
        <w:ind w:left="400" w:hanging="400" w:hangingChars="200"/>
        <w:rPr>
          <w:rFonts w:hint="eastAsia" w:ascii="Times New Roman" w:hAnsi="Times New Roman" w:cs="Times New Roman"/>
          <w:sz w:val="20"/>
          <w:szCs w:val="22"/>
          <w:lang w:val="en-US" w:eastAsia="zh-CN"/>
        </w:rPr>
      </w:pPr>
      <w:r>
        <w:rPr>
          <w:rFonts w:hint="eastAsia" w:ascii="Times New Roman" w:hAnsi="Times New Roman" w:cs="Times New Roman"/>
          <w:sz w:val="20"/>
          <w:szCs w:val="22"/>
          <w:lang w:val="en-US" w:eastAsia="zh-CN"/>
        </w:rPr>
        <w:t xml:space="preserve">8.Barry, L. E., O’Neill, C., Heaney, L.2020. Association between asthma, corticosteroids, and allostatic </w:t>
      </w:r>
      <w:bookmarkStart w:id="0" w:name="_GoBack"/>
      <w:bookmarkEnd w:id="0"/>
      <w:r>
        <w:rPr>
          <w:rFonts w:hint="eastAsia" w:ascii="Times New Roman" w:hAnsi="Times New Roman" w:cs="Times New Roman"/>
          <w:sz w:val="20"/>
          <w:szCs w:val="22"/>
          <w:lang w:val="en-US" w:eastAsia="zh-CN"/>
        </w:rPr>
        <w:t>load biomarkers: a cross-sectional study. Thorax, 7510, 835-841.</w:t>
      </w:r>
    </w:p>
    <w:p>
      <w:pPr>
        <w:rPr>
          <w:rFonts w:hint="default" w:ascii="Times New Roman" w:hAnsi="Times New Roman" w:cs="Times New Roman"/>
          <w:sz w:val="20"/>
          <w:szCs w:val="22"/>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ZIEIHM-270">
    <w:altName w:val="Segoe Print"/>
    <w:panose1 w:val="00000000000000000000"/>
    <w:charset w:val="00"/>
    <w:family w:val="auto"/>
    <w:pitch w:val="default"/>
    <w:sig w:usb0="00000000" w:usb1="00000000" w:usb2="00000000" w:usb3="00000000" w:csb0="00000000" w:csb1="00000000"/>
  </w:font>
  <w:font w:name="PMingLiU">
    <w:altName w:val="PMingLiU-ExtB"/>
    <w:panose1 w:val="02020500000000000000"/>
    <w:charset w:val="88"/>
    <w:family w:val="roman"/>
    <w:pitch w:val="default"/>
    <w:sig w:usb0="00000000" w:usb1="00000000" w:usb2="00000016" w:usb3="00000000" w:csb0="00100001" w:csb1="00000000"/>
  </w:font>
  <w:font w:name="Palatino Linotype">
    <w:panose1 w:val="02040502050505030304"/>
    <w:charset w:val="00"/>
    <w:family w:val="auto"/>
    <w:pitch w:val="default"/>
    <w:sig w:usb0="E0000287" w:usb1="40000013"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iMWI5ZjVhOTBkNDRmNDZlZWJmODk2NTZlNTRkYzQifQ=="/>
  </w:docVars>
  <w:rsids>
    <w:rsidRoot w:val="41BA77CB"/>
    <w:rsid w:val="004F304A"/>
    <w:rsid w:val="006D3E6A"/>
    <w:rsid w:val="0A0F1C0F"/>
    <w:rsid w:val="135518A3"/>
    <w:rsid w:val="165878EE"/>
    <w:rsid w:val="168B66AA"/>
    <w:rsid w:val="1A3D43A0"/>
    <w:rsid w:val="1BB93055"/>
    <w:rsid w:val="216D2485"/>
    <w:rsid w:val="22361730"/>
    <w:rsid w:val="2AF01CBC"/>
    <w:rsid w:val="348002E4"/>
    <w:rsid w:val="373918B5"/>
    <w:rsid w:val="40580367"/>
    <w:rsid w:val="41BA77CB"/>
    <w:rsid w:val="42AC04F6"/>
    <w:rsid w:val="4B5E0F27"/>
    <w:rsid w:val="4B96177F"/>
    <w:rsid w:val="4FEA0478"/>
    <w:rsid w:val="50D06F00"/>
    <w:rsid w:val="52E07232"/>
    <w:rsid w:val="52E761D1"/>
    <w:rsid w:val="5D5F6E9A"/>
    <w:rsid w:val="63B862F6"/>
    <w:rsid w:val="68573EF7"/>
    <w:rsid w:val="69273B4D"/>
    <w:rsid w:val="693B064A"/>
    <w:rsid w:val="6E1468D1"/>
    <w:rsid w:val="700F3498"/>
    <w:rsid w:val="70B87444"/>
    <w:rsid w:val="710C2E29"/>
    <w:rsid w:val="723D3C31"/>
    <w:rsid w:val="79387C62"/>
    <w:rsid w:val="7ADC6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autoRedefine/>
    <w:qFormat/>
    <w:uiPriority w:val="1"/>
    <w:pPr>
      <w:spacing w:before="19"/>
      <w:ind w:left="640" w:hanging="506"/>
      <w:outlineLvl w:val="1"/>
    </w:pPr>
    <w:rPr>
      <w:rFonts w:ascii="宋体" w:hAnsi="宋体" w:eastAsia="宋体" w:cs="宋体"/>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3">
    <w:name w:val="Body Text"/>
    <w:basedOn w:val="1"/>
    <w:autoRedefine/>
    <w:qFormat/>
    <w:uiPriority w:val="1"/>
    <w:pPr>
      <w:ind w:left="133"/>
    </w:pPr>
    <w:rPr>
      <w:sz w:val="20"/>
      <w:szCs w:val="20"/>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2023-12-31T11:20:00Z</dcterms:created>
  <dc:creator>澜可刂榔皆</dc:creator>
  <cp:lastModifiedBy>澜可刂榔皆</cp:lastModifiedBy>
  <dcterms:modified xsi:type="dcterms:W3CDTF">2024-03-02T12:50:34Z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6F799809BB194CBB916F82A6B243F0AB_11</vt:lpwstr>
  </property>
</Properties>
</file>