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C60C06" w14:textId="77777777" w:rsidR="00181ADF" w:rsidRDefault="00181ADF" w:rsidP="00181ADF">
      <w:pPr>
        <w:spacing w:line="360" w:lineRule="auto"/>
        <w:jc w:val="center"/>
        <w:rPr>
          <w:rFonts w:ascii="Times New Roman" w:eastAsia="SimSun" w:hAnsi="Times New Roman" w:cs="Times New Roman"/>
          <w:b/>
          <w:bCs/>
          <w:sz w:val="24"/>
        </w:rPr>
      </w:pPr>
      <w:r>
        <w:rPr>
          <w:rFonts w:ascii="Times New Roman" w:eastAsia="SimSun" w:hAnsi="Times New Roman" w:cs="Times New Roman"/>
          <w:color w:val="000000"/>
          <w:sz w:val="32"/>
          <w:szCs w:val="32"/>
        </w:rPr>
        <w:t>Supplementary Information</w:t>
      </w:r>
    </w:p>
    <w:p w14:paraId="0EC83DE4" w14:textId="77777777" w:rsidR="00181ADF" w:rsidRDefault="00181ADF" w:rsidP="00181ADF">
      <w:pPr>
        <w:spacing w:line="480" w:lineRule="auto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A Mn</w:t>
      </w:r>
      <w:r>
        <w:rPr>
          <w:rFonts w:ascii="Times New Roman" w:hAnsi="Times New Roman"/>
          <w:b/>
          <w:bCs/>
          <w:sz w:val="32"/>
          <w:szCs w:val="32"/>
          <w:vertAlign w:val="subscript"/>
        </w:rPr>
        <w:t>3</w:t>
      </w:r>
      <w:r>
        <w:rPr>
          <w:rFonts w:ascii="Times New Roman" w:hAnsi="Times New Roman"/>
          <w:b/>
          <w:bCs/>
          <w:sz w:val="32"/>
          <w:szCs w:val="32"/>
        </w:rPr>
        <w:t>O</w:t>
      </w:r>
      <w:r>
        <w:rPr>
          <w:rFonts w:ascii="Times New Roman" w:hAnsi="Times New Roman"/>
          <w:b/>
          <w:bCs/>
          <w:sz w:val="32"/>
          <w:szCs w:val="32"/>
          <w:vertAlign w:val="subscript"/>
        </w:rPr>
        <w:t>4</w:t>
      </w:r>
      <w:r>
        <w:rPr>
          <w:rFonts w:ascii="Times New Roman" w:hAnsi="Times New Roman"/>
          <w:b/>
          <w:bCs/>
          <w:sz w:val="32"/>
          <w:szCs w:val="32"/>
        </w:rPr>
        <w:t xml:space="preserve">-based antioxidant nanoplatform loaded with Tacrolimus to ameliorate chronic kidney disease in mice by reducing inflammation and oxidative </w:t>
      </w:r>
      <w:proofErr w:type="gramStart"/>
      <w:r>
        <w:rPr>
          <w:rFonts w:ascii="Times New Roman" w:hAnsi="Times New Roman"/>
          <w:b/>
          <w:bCs/>
          <w:sz w:val="32"/>
          <w:szCs w:val="32"/>
        </w:rPr>
        <w:t>stress</w:t>
      </w:r>
      <w:proofErr w:type="gramEnd"/>
    </w:p>
    <w:p w14:paraId="32FB031C" w14:textId="77777777" w:rsidR="00181ADF" w:rsidRDefault="00181ADF" w:rsidP="00181ADF">
      <w:pPr>
        <w:spacing w:line="360" w:lineRule="auto"/>
        <w:jc w:val="center"/>
        <w:rPr>
          <w:rFonts w:ascii="Times New Roman" w:eastAsia="SimSun" w:hAnsi="Times New Roman" w:cs="Times New Roman"/>
          <w:b/>
          <w:bCs/>
          <w:sz w:val="24"/>
        </w:rPr>
      </w:pPr>
    </w:p>
    <w:p w14:paraId="62B31440" w14:textId="3D3FDDC3" w:rsidR="00181ADF" w:rsidRDefault="00181ADF" w:rsidP="00181ADF">
      <w:pPr>
        <w:spacing w:line="360" w:lineRule="auto"/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127D7164" wp14:editId="630B22B8">
            <wp:extent cx="4316730" cy="3232150"/>
            <wp:effectExtent l="0" t="0" r="7620" b="6350"/>
            <wp:docPr id="32525610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6730" cy="323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1CB53E" w14:textId="77777777" w:rsidR="00181ADF" w:rsidRDefault="00181ADF" w:rsidP="00181ADF">
      <w:pPr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 xml:space="preserve">Fig. S1 </w:t>
      </w:r>
      <w:r>
        <w:rPr>
          <w:rFonts w:ascii="Times New Roman" w:hAnsi="Times New Roman" w:cs="Times New Roman"/>
          <w:szCs w:val="21"/>
        </w:rPr>
        <w:t>Fluorescence CLSM images of HEK-293T cells stained with DAPI and CY5 stained to assess the cellular uptake of C-Mn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O</w:t>
      </w:r>
      <w:r>
        <w:rPr>
          <w:rFonts w:ascii="Times New Roman" w:hAnsi="Times New Roman" w:cs="Times New Roman"/>
          <w:szCs w:val="21"/>
          <w:vertAlign w:val="subscript"/>
        </w:rPr>
        <w:t>4</w:t>
      </w:r>
      <w:r>
        <w:rPr>
          <w:rFonts w:ascii="Times New Roman" w:hAnsi="Times New Roman" w:cs="Times New Roman"/>
          <w:szCs w:val="21"/>
        </w:rPr>
        <w:t>.</w:t>
      </w:r>
    </w:p>
    <w:p w14:paraId="6761C4C4" w14:textId="77777777" w:rsidR="00181ADF" w:rsidRDefault="00181ADF" w:rsidP="00181ADF">
      <w:pPr>
        <w:spacing w:line="360" w:lineRule="auto"/>
        <w:rPr>
          <w:rFonts w:ascii="Times New Roman" w:hAnsi="Times New Roman" w:cs="Times New Roman"/>
          <w:b/>
          <w:bCs/>
          <w:szCs w:val="21"/>
        </w:rPr>
      </w:pPr>
    </w:p>
    <w:p w14:paraId="2CC68AB7" w14:textId="129CDBA3" w:rsidR="00181ADF" w:rsidRDefault="00181ADF" w:rsidP="00181ADF">
      <w:pPr>
        <w:spacing w:line="360" w:lineRule="auto"/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noProof/>
          <w:szCs w:val="21"/>
        </w:rPr>
        <w:lastRenderedPageBreak/>
        <w:drawing>
          <wp:inline distT="0" distB="0" distL="0" distR="0" wp14:anchorId="7173B3CF" wp14:editId="6FCC7B23">
            <wp:extent cx="2881630" cy="2424430"/>
            <wp:effectExtent l="0" t="0" r="0" b="0"/>
            <wp:docPr id="16833274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1630" cy="242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C45D74" w14:textId="77777777" w:rsidR="00181ADF" w:rsidRDefault="00181ADF" w:rsidP="00181ADF">
      <w:pPr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 xml:space="preserve">Fig.  S2 </w:t>
      </w:r>
      <w:r>
        <w:rPr>
          <w:rFonts w:ascii="Times New Roman" w:hAnsi="Times New Roman" w:cs="Times New Roman"/>
          <w:szCs w:val="21"/>
        </w:rPr>
        <w:t>Fluorescence quantitative analysis of C-Mn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O</w:t>
      </w:r>
      <w:r>
        <w:rPr>
          <w:rFonts w:ascii="Times New Roman" w:hAnsi="Times New Roman" w:cs="Times New Roman"/>
          <w:szCs w:val="21"/>
          <w:vertAlign w:val="subscript"/>
        </w:rPr>
        <w:t>4</w:t>
      </w:r>
      <w:r>
        <w:rPr>
          <w:rFonts w:ascii="Times New Roman" w:hAnsi="Times New Roman" w:cs="Times New Roman"/>
          <w:szCs w:val="21"/>
        </w:rPr>
        <w:t xml:space="preserve"> cell uptake.</w:t>
      </w:r>
    </w:p>
    <w:p w14:paraId="06A3B248" w14:textId="77777777" w:rsidR="00AD1398" w:rsidRDefault="00AD1398"/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ADF"/>
    <w:rsid w:val="00181ADF"/>
    <w:rsid w:val="005374DE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67ADC9"/>
  <w15:chartTrackingRefBased/>
  <w15:docId w15:val="{C7D8CFCE-F355-4CE6-BAB1-7D2241F9A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1ADF"/>
    <w:pPr>
      <w:widowControl w:val="0"/>
      <w:spacing w:after="0" w:line="240" w:lineRule="auto"/>
      <w:jc w:val="both"/>
    </w:pPr>
    <w:rPr>
      <w:rFonts w:eastAsiaTheme="minorEastAsia"/>
      <w:sz w:val="21"/>
      <w:szCs w:val="24"/>
      <w:lang w:eastAsia="zh-C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8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</Words>
  <Characters>325</Characters>
  <Application>Microsoft Office Word</Application>
  <DocSecurity>0</DocSecurity>
  <Lines>2</Lines>
  <Paragraphs>1</Paragraphs>
  <ScaleCrop>false</ScaleCrop>
  <Company>Springer Nature</Company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2024-03-07T10:58:00Z</dcterms:created>
  <dcterms:modified xsi:type="dcterms:W3CDTF">2024-03-07T10:58:00Z</dcterms:modified>
</cp:coreProperties>
</file>