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erschrift2"/>
        <w:numPr>
          <w:ilvl w:val="0"/>
          <w:numId w:val="0"/>
        </w:numPr>
        <w:spacing w:before="0" w:line="240" w:lineRule="auto"/>
        <w:ind w:left="576" w:hanging="576"/>
        <w:rPr>
          <w:lang w:val="de-DE"/>
        </w:rPr>
      </w:pPr>
      <w:bookmarkStart w:id="0" w:name="_Toc14"/>
      <w:bookmarkStart w:id="1" w:name="_Toc48837339"/>
      <w:r>
        <w:rPr>
          <w:lang w:val="de-DE"/>
        </w:rPr>
        <w:t xml:space="preserve">Additional file 2: </w:t>
      </w:r>
    </w:p>
    <w:p>
      <w:pPr>
        <w:pStyle w:val="Beschriftung"/>
        <w:keepNext/>
        <w:spacing w:after="120"/>
        <w:jc w:val="both"/>
        <w:rPr>
          <w:color w:val="auto"/>
          <w:sz w:val="20"/>
        </w:rPr>
      </w:pPr>
      <w:bookmarkStart w:id="2" w:name="_Hlk68214924"/>
      <w:proofErr w:type="spellStart"/>
      <w:r>
        <w:rPr>
          <w:color w:val="auto"/>
          <w:sz w:val="20"/>
        </w:rPr>
        <w:t>Supplementary</w:t>
      </w:r>
      <w:proofErr w:type="spellEnd"/>
      <w:r>
        <w:rPr>
          <w:color w:val="auto"/>
          <w:sz w:val="20"/>
        </w:rPr>
        <w:t xml:space="preserve"> </w:t>
      </w:r>
      <w:proofErr w:type="spellStart"/>
      <w:r>
        <w:rPr>
          <w:color w:val="auto"/>
          <w:sz w:val="20"/>
        </w:rPr>
        <w:t>table</w:t>
      </w:r>
      <w:proofErr w:type="spellEnd"/>
      <w:r>
        <w:rPr>
          <w:color w:val="auto"/>
          <w:sz w:val="20"/>
        </w:rPr>
        <w:t xml:space="preserve"> 2:</w:t>
      </w:r>
      <w:bookmarkStart w:id="3" w:name="_GoBack"/>
      <w:bookmarkEnd w:id="3"/>
      <w:r>
        <w:rPr>
          <w:color w:val="auto"/>
          <w:sz w:val="20"/>
        </w:rPr>
        <w:t xml:space="preserve"> </w:t>
      </w:r>
      <w:proofErr w:type="spellStart"/>
      <w:r>
        <w:rPr>
          <w:color w:val="auto"/>
          <w:sz w:val="20"/>
        </w:rPr>
        <w:t>Competency-based</w:t>
      </w:r>
      <w:proofErr w:type="spellEnd"/>
      <w:r>
        <w:rPr>
          <w:color w:val="auto"/>
          <w:sz w:val="20"/>
        </w:rPr>
        <w:t xml:space="preserve"> Catalogue on Complementary and Integrative Medicine for GP trainees (German Version </w:t>
      </w:r>
      <w:r>
        <w:rPr>
          <w:i/>
          <w:color w:val="auto"/>
          <w:sz w:val="20"/>
        </w:rPr>
        <w:t>- Kompetenzbasiertes Katalog zur Komplementären und Integrativen Medizin für Ärztinnen und Ärzte in Weiterbildung zum Facharzt für Allgemeinmedizin</w:t>
      </w:r>
      <w:r>
        <w:rPr>
          <w:color w:val="auto"/>
          <w:sz w:val="20"/>
        </w:rPr>
        <w:t>)</w:t>
      </w:r>
    </w:p>
    <w:tbl>
      <w:tblPr>
        <w:tblStyle w:val="HelleListe"/>
        <w:tblW w:w="10065" w:type="dxa"/>
        <w:tblInd w:w="-10" w:type="dxa"/>
        <w:tblLook w:val="04A0" w:firstRow="1" w:lastRow="0" w:firstColumn="1" w:lastColumn="0" w:noHBand="0" w:noVBand="1"/>
      </w:tblPr>
      <w:tblGrid>
        <w:gridCol w:w="10065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shd w:val="clear" w:color="auto" w:fill="auto"/>
            <w:vAlign w:val="center"/>
          </w:tcPr>
          <w:bookmarkEnd w:id="2"/>
          <w:p>
            <w:pPr>
              <w:spacing w:line="276" w:lineRule="auto"/>
              <w:jc w:val="both"/>
              <w:rPr>
                <w:color w:val="auto"/>
                <w:sz w:val="20"/>
              </w:rPr>
            </w:pPr>
            <w:r>
              <w:rPr>
                <w:rFonts w:cs="Arial"/>
                <w:b w:val="0"/>
                <w:i/>
                <w:color w:val="auto"/>
                <w:sz w:val="20"/>
              </w:rPr>
              <w:t>Ärztinnen und Ärzte in Weiterbildung Allgemeinmedizin sollen…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spacing w:line="276" w:lineRule="auto"/>
              <w:jc w:val="both"/>
              <w:rPr>
                <w:rFonts w:cs="Arial"/>
                <w:bCs w:val="0"/>
                <w:color w:val="000000" w:themeColor="text1"/>
                <w:sz w:val="20"/>
              </w:rPr>
            </w:pPr>
            <w:r>
              <w:rPr>
                <w:rFonts w:cs="Arial"/>
                <w:bCs w:val="0"/>
                <w:color w:val="000000" w:themeColor="text1"/>
                <w:sz w:val="20"/>
              </w:rPr>
              <w:t>Allgemeines Wissen zu KIM</w:t>
            </w: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cs="Arial"/>
                <w:b w:val="0"/>
                <w:bCs w:val="0"/>
                <w:i/>
                <w:color w:val="000000" w:themeColor="text1"/>
                <w:sz w:val="20"/>
              </w:rPr>
            </w:pPr>
            <w:r>
              <w:rPr>
                <w:rFonts w:cs="Arial"/>
                <w:b w:val="0"/>
                <w:bCs w:val="0"/>
                <w:i/>
                <w:color w:val="000000" w:themeColor="text1"/>
                <w:sz w:val="20"/>
              </w:rPr>
              <w:t>…</w:t>
            </w:r>
            <w:r>
              <w:rPr>
                <w:b w:val="0"/>
                <w:i/>
                <w:color w:val="000000"/>
                <w:sz w:val="20"/>
              </w:rPr>
              <w:t>die gängigsten Begrifflichkeiten in Bezug auf KIM (z.B. Komplementäre Medizin, Integrative Medizin, klassische Naturheilverfahren) erklären können.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cs="Arial"/>
                <w:b w:val="0"/>
                <w:i/>
                <w:color w:val="000000" w:themeColor="text1"/>
                <w:sz w:val="20"/>
              </w:rPr>
            </w:pPr>
            <w:r>
              <w:rPr>
                <w:rFonts w:cs="Arial"/>
                <w:b w:val="0"/>
                <w:bCs w:val="0"/>
                <w:i/>
                <w:color w:val="000000" w:themeColor="text1"/>
                <w:sz w:val="20"/>
              </w:rPr>
              <w:t>…</w:t>
            </w:r>
            <w:r>
              <w:rPr>
                <w:b w:val="0"/>
                <w:i/>
                <w:color w:val="000000"/>
                <w:sz w:val="20"/>
              </w:rPr>
              <w:t>die gängigsten komplementärmedizinischen Verfahren, einschließlich ihrer Theorie, postulierten Wirkmechanismen und Grenzen erklären können.</w:t>
            </w: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cs="Arial"/>
                <w:b w:val="0"/>
                <w:i/>
                <w:color w:val="000000" w:themeColor="text1"/>
                <w:sz w:val="20"/>
              </w:rPr>
            </w:pPr>
            <w:r>
              <w:rPr>
                <w:rFonts w:cs="Arial"/>
                <w:b w:val="0"/>
                <w:bCs w:val="0"/>
                <w:i/>
                <w:color w:val="000000" w:themeColor="text1"/>
                <w:sz w:val="20"/>
              </w:rPr>
              <w:t>…b</w:t>
            </w:r>
            <w:r>
              <w:rPr>
                <w:b w:val="0"/>
                <w:i/>
                <w:color w:val="000000"/>
                <w:sz w:val="20"/>
              </w:rPr>
              <w:t>ei den häufigsten Beratungsanlässen in der Allgemeinmedizin zu gängigen komplementär-medizinischen Therapien beraten können.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spacing w:line="276" w:lineRule="auto"/>
              <w:jc w:val="both"/>
              <w:rPr>
                <w:rFonts w:eastAsia="Times New Roman" w:cs="Arial"/>
                <w:bCs w:val="0"/>
                <w:color w:val="000000" w:themeColor="text1"/>
                <w:kern w:val="24"/>
                <w:sz w:val="20"/>
              </w:rPr>
            </w:pPr>
            <w:r>
              <w:rPr>
                <w:rFonts w:eastAsia="Times New Roman" w:cs="Arial"/>
                <w:bCs w:val="0"/>
                <w:color w:val="000000" w:themeColor="text1"/>
                <w:kern w:val="24"/>
                <w:sz w:val="20"/>
              </w:rPr>
              <w:t>Patientenversorgung und Kommunikation</w:t>
            </w: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eastAsia="Times New Roman" w:cs="Arial"/>
                <w:b w:val="0"/>
                <w:i/>
                <w:color w:val="000000" w:themeColor="text1"/>
                <w:sz w:val="20"/>
              </w:rPr>
            </w:pPr>
            <w:r>
              <w:rPr>
                <w:rFonts w:eastAsia="Times New Roman" w:cs="Arial"/>
                <w:b w:val="0"/>
                <w:bCs w:val="0"/>
                <w:i/>
                <w:color w:val="000000" w:themeColor="text1"/>
                <w:kern w:val="24"/>
                <w:sz w:val="20"/>
              </w:rPr>
              <w:t>…</w:t>
            </w:r>
            <w:r>
              <w:rPr>
                <w:b w:val="0"/>
                <w:i/>
                <w:color w:val="000000"/>
                <w:sz w:val="20"/>
              </w:rPr>
              <w:t>eine biopsychosoziale Anamnese durchführen, die auch Angaben zum Lebensstil sowie der Inanspruchnahme von komplementärer Medizin umfasst.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eastAsia="Times New Roman" w:cs="Arial"/>
                <w:b w:val="0"/>
                <w:i/>
                <w:color w:val="000000" w:themeColor="text1"/>
                <w:sz w:val="20"/>
              </w:rPr>
            </w:pPr>
            <w:r>
              <w:rPr>
                <w:rFonts w:eastAsia="Times New Roman" w:cs="Arial"/>
                <w:b w:val="0"/>
                <w:bCs w:val="0"/>
                <w:i/>
                <w:color w:val="000000" w:themeColor="text1"/>
                <w:kern w:val="24"/>
                <w:sz w:val="20"/>
              </w:rPr>
              <w:t>…</w:t>
            </w:r>
            <w:r>
              <w:rPr>
                <w:b w:val="0"/>
                <w:i/>
                <w:color w:val="000000"/>
                <w:sz w:val="20"/>
              </w:rPr>
              <w:t>Patientinnen und Patienten über Angebote von KIM, die zu möglichen gesundheitlichen und finanziellen Schäden führen können, kritisch aufklären können.</w:t>
            </w: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eastAsia="Times New Roman" w:cs="Arial"/>
                <w:b w:val="0"/>
                <w:i/>
                <w:color w:val="000000" w:themeColor="text1"/>
                <w:sz w:val="20"/>
              </w:rPr>
            </w:pPr>
            <w:r>
              <w:rPr>
                <w:rFonts w:eastAsia="Times New Roman" w:cs="Arial"/>
                <w:b w:val="0"/>
                <w:bCs w:val="0"/>
                <w:i/>
                <w:color w:val="000000" w:themeColor="text1"/>
                <w:kern w:val="24"/>
                <w:sz w:val="20"/>
              </w:rPr>
              <w:t>…</w:t>
            </w:r>
            <w:r>
              <w:rPr>
                <w:b w:val="0"/>
                <w:i/>
                <w:color w:val="000000"/>
                <w:sz w:val="20"/>
              </w:rPr>
              <w:t>nicht-medikamentöse Behandlungen (z.B. Hausmittel) bei häufigen Beratungsanlässen (z.B. Schmerzen, Fieber, unkomplizierte Infekte etc.) anwenden bzw. Patientinnen und Patienten anleiten können.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eastAsia="Times New Roman" w:cs="Arial"/>
                <w:b w:val="0"/>
                <w:i/>
                <w:color w:val="000000" w:themeColor="text1"/>
                <w:sz w:val="20"/>
              </w:rPr>
            </w:pPr>
            <w:r>
              <w:rPr>
                <w:rFonts w:eastAsia="Times New Roman" w:cs="Arial"/>
                <w:b w:val="0"/>
                <w:bCs w:val="0"/>
                <w:i/>
                <w:color w:val="000000" w:themeColor="text1"/>
                <w:kern w:val="24"/>
                <w:sz w:val="20"/>
              </w:rPr>
              <w:t>…</w:t>
            </w:r>
            <w:r>
              <w:rPr>
                <w:b w:val="0"/>
                <w:i/>
                <w:color w:val="000000"/>
                <w:sz w:val="20"/>
              </w:rPr>
              <w:t>gebräuchliche Phytotherapeutika und Nahrungsergänzungsmittel bei häufigen Beratungsanlässen (z.B. Schmerzen, Fieber, unkomplizierte Infekte etc.) anwenden können.</w:t>
            </w: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eastAsia="Times New Roman" w:cs="Arial"/>
                <w:b w:val="0"/>
                <w:i/>
                <w:color w:val="000000" w:themeColor="text1"/>
                <w:sz w:val="20"/>
              </w:rPr>
            </w:pPr>
            <w:r>
              <w:rPr>
                <w:rFonts w:eastAsia="Times New Roman" w:cs="Arial"/>
                <w:b w:val="0"/>
                <w:bCs w:val="0"/>
                <w:i/>
                <w:color w:val="000000" w:themeColor="text1"/>
                <w:kern w:val="24"/>
                <w:sz w:val="20"/>
              </w:rPr>
              <w:t>…</w:t>
            </w:r>
            <w:r>
              <w:rPr>
                <w:b w:val="0"/>
                <w:i/>
                <w:color w:val="000000"/>
                <w:sz w:val="20"/>
              </w:rPr>
              <w:t>verschiedene Entspannungstechniken (z.B. Meditation, Mind-Body-Techniken, Achtsamkeit, Tai Ji, Yoga etc.) beraten können.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eastAsia="Times New Roman" w:cs="Arial"/>
                <w:b w:val="0"/>
                <w:i/>
                <w:color w:val="000000" w:themeColor="text1"/>
                <w:sz w:val="20"/>
              </w:rPr>
            </w:pPr>
            <w:r>
              <w:rPr>
                <w:rFonts w:cs="Arial"/>
                <w:b w:val="0"/>
                <w:bCs w:val="0"/>
                <w:i/>
                <w:color w:val="000000" w:themeColor="text1"/>
                <w:kern w:val="24"/>
                <w:sz w:val="20"/>
              </w:rPr>
              <w:t>…</w:t>
            </w:r>
            <w:r>
              <w:rPr>
                <w:b w:val="0"/>
                <w:i/>
                <w:color w:val="000000"/>
                <w:sz w:val="20"/>
              </w:rPr>
              <w:t>Effekte von Placebo und Selbstwirksamkeit bei Bedarf für den Therapieverlauf gezielt einsetzen können.</w:t>
            </w:r>
          </w:p>
        </w:tc>
      </w:tr>
      <w:tr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spacing w:line="276" w:lineRule="auto"/>
              <w:jc w:val="both"/>
              <w:rPr>
                <w:rFonts w:cs="Arial"/>
                <w:bCs w:val="0"/>
                <w:color w:val="000000" w:themeColor="text1"/>
                <w:kern w:val="24"/>
                <w:sz w:val="20"/>
              </w:rPr>
            </w:pPr>
            <w:r>
              <w:rPr>
                <w:rFonts w:cs="Arial"/>
                <w:bCs w:val="0"/>
                <w:color w:val="000000" w:themeColor="text1"/>
                <w:kern w:val="24"/>
                <w:sz w:val="20"/>
              </w:rPr>
              <w:t>Praxisbasiertes Lernen und Weiterbildung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cs="Arial"/>
                <w:b w:val="0"/>
                <w:i/>
                <w:color w:val="000000"/>
                <w:sz w:val="20"/>
              </w:rPr>
            </w:pPr>
            <w:r>
              <w:rPr>
                <w:rFonts w:cs="Arial"/>
                <w:b w:val="0"/>
                <w:bCs w:val="0"/>
                <w:i/>
                <w:color w:val="000000"/>
                <w:sz w:val="20"/>
              </w:rPr>
              <w:t>…</w:t>
            </w:r>
            <w:r>
              <w:rPr>
                <w:b w:val="0"/>
                <w:i/>
                <w:color w:val="000000"/>
                <w:sz w:val="20"/>
              </w:rPr>
              <w:t>Evidenzbasierte Informationsquellen für den Bereich KIM nutzen können.</w:t>
            </w: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cs="Arial"/>
                <w:b w:val="0"/>
                <w:i/>
                <w:color w:val="000000"/>
                <w:sz w:val="20"/>
              </w:rPr>
            </w:pPr>
            <w:r>
              <w:rPr>
                <w:rFonts w:cs="Arial"/>
                <w:b w:val="0"/>
                <w:bCs w:val="0"/>
                <w:i/>
                <w:color w:val="000000"/>
                <w:sz w:val="20"/>
              </w:rPr>
              <w:t>…d</w:t>
            </w:r>
            <w:r>
              <w:rPr>
                <w:b w:val="0"/>
                <w:i/>
                <w:color w:val="000000"/>
                <w:sz w:val="20"/>
              </w:rPr>
              <w:t>en persönlichen Lernbedarf im Zusammenhang mit komplementärmedizinischen Verfahren identifizieren und ausgleichen können.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spacing w:line="276" w:lineRule="auto"/>
              <w:jc w:val="both"/>
              <w:rPr>
                <w:rFonts w:eastAsia="Times New Roman" w:cs="Arial"/>
                <w:bCs w:val="0"/>
                <w:color w:val="000000" w:themeColor="dark1"/>
                <w:kern w:val="24"/>
                <w:sz w:val="20"/>
              </w:rPr>
            </w:pPr>
            <w:r>
              <w:rPr>
                <w:rFonts w:eastAsia="Times New Roman" w:cs="Arial"/>
                <w:bCs w:val="0"/>
                <w:color w:val="000000" w:themeColor="dark1"/>
                <w:kern w:val="24"/>
                <w:sz w:val="20"/>
              </w:rPr>
              <w:t>Professionalität</w:t>
            </w: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eastAsia="Times New Roman" w:cs="Arial"/>
                <w:b w:val="0"/>
                <w:i/>
                <w:sz w:val="20"/>
              </w:rPr>
            </w:pPr>
            <w:r>
              <w:rPr>
                <w:rFonts w:eastAsia="Times New Roman" w:cs="Arial"/>
                <w:b w:val="0"/>
                <w:bCs w:val="0"/>
                <w:i/>
                <w:color w:val="000000" w:themeColor="dark1"/>
                <w:kern w:val="24"/>
                <w:sz w:val="20"/>
              </w:rPr>
              <w:t>…</w:t>
            </w:r>
            <w:r>
              <w:rPr>
                <w:b w:val="0"/>
                <w:i/>
                <w:color w:val="000000"/>
                <w:sz w:val="20"/>
              </w:rPr>
              <w:t>Respekt und Verständnis für die Interpretationen von Gesundheit, Krankheit und Leiden der Patientinnen und Patienten zeigen, die auf individuellen Überzeugungen und Therapiewünschen bezüglich KIM beruhen.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eastAsia="Times New Roman" w:cs="Arial"/>
                <w:b w:val="0"/>
                <w:i/>
                <w:sz w:val="20"/>
              </w:rPr>
            </w:pPr>
            <w:r>
              <w:rPr>
                <w:rFonts w:eastAsia="Times New Roman" w:cs="Arial"/>
                <w:b w:val="0"/>
                <w:bCs w:val="0"/>
                <w:i/>
                <w:color w:val="000000" w:themeColor="dark1"/>
                <w:kern w:val="24"/>
                <w:sz w:val="20"/>
              </w:rPr>
              <w:t xml:space="preserve">… </w:t>
            </w:r>
            <w:r>
              <w:rPr>
                <w:b w:val="0"/>
                <w:i/>
                <w:color w:val="000000"/>
                <w:sz w:val="20"/>
              </w:rPr>
              <w:t>Offenheit und Dialogbereitschaft gegenüber ärztlichen und nicht-ärztlichen Mitbehandelnden zeigen, die ein anderes Verständnis von Gesundheit und Krankheit haben als man selbst.</w:t>
            </w: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eastAsia="Times New Roman" w:cs="Arial"/>
                <w:b w:val="0"/>
                <w:i/>
                <w:sz w:val="20"/>
              </w:rPr>
            </w:pPr>
            <w:r>
              <w:rPr>
                <w:rFonts w:eastAsia="Times New Roman" w:cs="Arial"/>
                <w:b w:val="0"/>
                <w:bCs w:val="0"/>
                <w:i/>
                <w:color w:val="000000" w:themeColor="dark1"/>
                <w:kern w:val="24"/>
                <w:sz w:val="20"/>
              </w:rPr>
              <w:t>…</w:t>
            </w:r>
            <w:r>
              <w:rPr>
                <w:b w:val="0"/>
                <w:i/>
                <w:color w:val="000000"/>
                <w:sz w:val="20"/>
              </w:rPr>
              <w:t xml:space="preserve"> Geeignete Maßnahmen zur Selbstfürsorge bei Bedarf anwenden können.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spacing w:line="276" w:lineRule="auto"/>
              <w:jc w:val="both"/>
              <w:rPr>
                <w:rFonts w:eastAsia="Times New Roman" w:cs="Arial"/>
                <w:bCs w:val="0"/>
                <w:color w:val="000000" w:themeColor="dark1"/>
                <w:kern w:val="24"/>
                <w:sz w:val="20"/>
              </w:rPr>
            </w:pPr>
            <w:r>
              <w:rPr>
                <w:rFonts w:eastAsia="Times New Roman" w:cs="Arial"/>
                <w:bCs w:val="0"/>
                <w:color w:val="000000" w:themeColor="dark1"/>
                <w:kern w:val="24"/>
                <w:sz w:val="20"/>
              </w:rPr>
              <w:t xml:space="preserve">Kompetenzen bezüglich des deutschen Gesundheitssystems </w:t>
            </w:r>
          </w:p>
        </w:tc>
      </w:tr>
      <w:tr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b w:val="0"/>
                <w:i/>
                <w:sz w:val="20"/>
              </w:rPr>
            </w:pPr>
            <w:r>
              <w:rPr>
                <w:rFonts w:eastAsia="Times New Roman" w:cs="Arial"/>
                <w:b w:val="0"/>
                <w:bCs w:val="0"/>
                <w:i/>
                <w:color w:val="000000" w:themeColor="dark1"/>
                <w:kern w:val="24"/>
                <w:sz w:val="20"/>
              </w:rPr>
              <w:t>…</w:t>
            </w:r>
            <w:r>
              <w:rPr>
                <w:b w:val="0"/>
                <w:i/>
                <w:color w:val="000000"/>
                <w:sz w:val="20"/>
              </w:rPr>
              <w:t>Regelungen und Rahmenbedingungen von verschiedenen Berufsgruppen kennen, die Methoden aus dem KIM-Spektrum anbieten (z.B. Heilpraktikerinnen und Heilpraktiker).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vAlign w:val="center"/>
          </w:tcPr>
          <w:p>
            <w:pPr>
              <w:numPr>
                <w:ilvl w:val="0"/>
                <w:numId w:val="2"/>
              </w:numPr>
              <w:spacing w:after="120" w:line="276" w:lineRule="auto"/>
              <w:ind w:left="357" w:hanging="357"/>
              <w:jc w:val="both"/>
              <w:rPr>
                <w:rFonts w:eastAsia="Times New Roman" w:cs="Arial"/>
                <w:b w:val="0"/>
                <w:i/>
                <w:sz w:val="20"/>
              </w:rPr>
            </w:pPr>
            <w:r>
              <w:rPr>
                <w:rFonts w:eastAsia="Times New Roman" w:cs="Arial"/>
                <w:b w:val="0"/>
                <w:bCs w:val="0"/>
                <w:i/>
                <w:color w:val="000000" w:themeColor="dark1"/>
                <w:kern w:val="24"/>
                <w:sz w:val="20"/>
              </w:rPr>
              <w:t>…</w:t>
            </w:r>
            <w:r>
              <w:rPr>
                <w:b w:val="0"/>
                <w:i/>
                <w:color w:val="000000"/>
                <w:sz w:val="20"/>
              </w:rPr>
              <w:t>Rahmenbedingungen für die ärztliche Vorgehensweise im Hinblick auf die gängigsten KIM Verfahren (z.B. Verfügbarkeit, Verschreibung, gesetzliche Bestimmungen) reflektieren.</w:t>
            </w:r>
          </w:p>
        </w:tc>
      </w:tr>
      <w:bookmarkEnd w:id="0"/>
      <w:bookmarkEnd w:id="1"/>
    </w:tbl>
    <w:p>
      <w:pPr>
        <w:pStyle w:val="berschrift2"/>
        <w:numPr>
          <w:ilvl w:val="0"/>
          <w:numId w:val="0"/>
        </w:numPr>
        <w:rPr>
          <w:lang w:eastAsia="en-US"/>
        </w:rPr>
      </w:pPr>
    </w:p>
    <w:sectPr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43E3F" w16cex:dateUtc="2021-03-23T09:15:00Z"/>
  <w16cex:commentExtensible w16cex:durableId="24043E5A" w16cex:dateUtc="2021-03-23T09:15:00Z"/>
  <w16cex:commentExtensible w16cex:durableId="24043EAA" w16cex:dateUtc="2021-03-23T09:17:00Z"/>
  <w16cex:commentExtensible w16cex:durableId="24043F6E" w16cex:dateUtc="2021-03-23T09:20:00Z"/>
  <w16cex:commentExtensible w16cex:durableId="24044035" w16cex:dateUtc="2021-03-23T09:23:00Z"/>
  <w16cex:commentExtensible w16cex:durableId="24044055" w16cex:dateUtc="2021-03-23T09:24:00Z"/>
  <w16cex:commentExtensible w16cex:durableId="24043FD2" w16cex:dateUtc="2021-03-23T09:22:00Z"/>
  <w16cex:commentExtensible w16cex:durableId="24044170" w16cex:dateUtc="2021-03-23T09:2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6248383"/>
      <w:docPartObj>
        <w:docPartGallery w:val="Page Numbers (Bottom of Page)"/>
        <w:docPartUnique/>
      </w:docPartObj>
    </w:sdtPr>
    <w:sdtContent>
      <w:p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C2BB2"/>
    <w:multiLevelType w:val="multilevel"/>
    <w:tmpl w:val="1E3068FC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1C0B40"/>
    <w:multiLevelType w:val="hybridMultilevel"/>
    <w:tmpl w:val="718C86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D66F0"/>
    <w:multiLevelType w:val="hybridMultilevel"/>
    <w:tmpl w:val="718C86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971C1"/>
    <w:multiLevelType w:val="hybridMultilevel"/>
    <w:tmpl w:val="3C422D8C"/>
    <w:lvl w:ilvl="0" w:tplc="207468CE">
      <w:start w:val="7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35653"/>
    <w:multiLevelType w:val="hybridMultilevel"/>
    <w:tmpl w:val="7E807250"/>
    <w:lvl w:ilvl="0" w:tplc="726C1E80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EEACB723-6245-4860-BEF3-CE117598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line="360" w:lineRule="auto"/>
    </w:pPr>
    <w:rPr>
      <w:lang w:eastAsia="de-DE"/>
    </w:rPr>
  </w:style>
  <w:style w:type="paragraph" w:styleId="berschrift1">
    <w:name w:val="heading 1"/>
    <w:basedOn w:val="Standard"/>
    <w:next w:val="Textkrper"/>
    <w:link w:val="berschrift1Zchn"/>
    <w:qFormat/>
    <w:pPr>
      <w:keepNext/>
      <w:numPr>
        <w:numId w:val="1"/>
      </w:numPr>
      <w:spacing w:before="240" w:after="60"/>
      <w:jc w:val="both"/>
      <w:outlineLvl w:val="0"/>
    </w:pPr>
    <w:rPr>
      <w:rFonts w:eastAsia="Times New Roman" w:cs="Arial"/>
      <w:b/>
      <w:bCs/>
      <w:kern w:val="32"/>
      <w:sz w:val="32"/>
      <w:szCs w:val="32"/>
      <w:lang w:val="de-AT"/>
    </w:rPr>
  </w:style>
  <w:style w:type="paragraph" w:styleId="berschrift2">
    <w:name w:val="heading 2"/>
    <w:basedOn w:val="Standard"/>
    <w:next w:val="Textkrper"/>
    <w:link w:val="berschrift2Zchn"/>
    <w:qFormat/>
    <w:pPr>
      <w:keepNext/>
      <w:numPr>
        <w:ilvl w:val="1"/>
        <w:numId w:val="1"/>
      </w:numPr>
      <w:spacing w:before="240" w:after="60"/>
      <w:jc w:val="both"/>
      <w:outlineLvl w:val="1"/>
    </w:pPr>
    <w:rPr>
      <w:rFonts w:eastAsia="Times New Roman" w:cs="Arial"/>
      <w:b/>
      <w:bCs/>
      <w:i/>
      <w:iCs/>
      <w:sz w:val="28"/>
      <w:szCs w:val="28"/>
      <w:lang w:val="de-AT"/>
    </w:rPr>
  </w:style>
  <w:style w:type="paragraph" w:styleId="berschrift3">
    <w:name w:val="heading 3"/>
    <w:basedOn w:val="Standard"/>
    <w:next w:val="Textkrper"/>
    <w:link w:val="berschrift3Zchn"/>
    <w:qFormat/>
    <w:pPr>
      <w:keepNext/>
      <w:numPr>
        <w:ilvl w:val="2"/>
        <w:numId w:val="1"/>
      </w:numPr>
      <w:spacing w:before="240" w:after="60"/>
      <w:jc w:val="both"/>
      <w:outlineLvl w:val="2"/>
    </w:pPr>
    <w:rPr>
      <w:rFonts w:eastAsia="Times New Roman" w:cs="Arial"/>
      <w:b/>
      <w:bCs/>
      <w:sz w:val="26"/>
      <w:szCs w:val="26"/>
      <w:lang w:val="de-AT"/>
    </w:rPr>
  </w:style>
  <w:style w:type="paragraph" w:styleId="berschrift4">
    <w:name w:val="heading 4"/>
    <w:basedOn w:val="Standard"/>
    <w:next w:val="Textkrper"/>
    <w:link w:val="berschrift4Zchn"/>
    <w:qFormat/>
    <w:pPr>
      <w:keepNext/>
      <w:numPr>
        <w:ilvl w:val="3"/>
        <w:numId w:val="1"/>
      </w:numPr>
      <w:spacing w:before="240" w:after="60"/>
      <w:jc w:val="both"/>
      <w:outlineLvl w:val="3"/>
    </w:pPr>
    <w:rPr>
      <w:rFonts w:eastAsia="Times New Roman"/>
      <w:b/>
      <w:bCs/>
      <w:sz w:val="26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pPr>
      <w:numPr>
        <w:ilvl w:val="4"/>
        <w:numId w:val="1"/>
      </w:numPr>
      <w:spacing w:before="240" w:after="60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de-AT"/>
    </w:rPr>
  </w:style>
  <w:style w:type="paragraph" w:styleId="berschrift6">
    <w:name w:val="heading 6"/>
    <w:basedOn w:val="Standard"/>
    <w:next w:val="Standard"/>
    <w:link w:val="berschrift6Zchn"/>
    <w:qFormat/>
    <w:pPr>
      <w:numPr>
        <w:ilvl w:val="5"/>
        <w:numId w:val="1"/>
      </w:numPr>
      <w:spacing w:before="240" w:after="60"/>
      <w:jc w:val="both"/>
      <w:outlineLvl w:val="5"/>
    </w:pPr>
    <w:rPr>
      <w:rFonts w:ascii="Times New Roman" w:eastAsia="Times New Roman" w:hAnsi="Times New Roman"/>
      <w:b/>
      <w:bCs/>
      <w:lang w:val="de-AT"/>
    </w:rPr>
  </w:style>
  <w:style w:type="paragraph" w:styleId="berschrift7">
    <w:name w:val="heading 7"/>
    <w:basedOn w:val="Standard"/>
    <w:next w:val="Standard"/>
    <w:link w:val="berschrift7Zchn"/>
    <w:qFormat/>
    <w:pPr>
      <w:numPr>
        <w:ilvl w:val="6"/>
        <w:numId w:val="1"/>
      </w:numPr>
      <w:spacing w:before="240" w:after="60"/>
      <w:jc w:val="both"/>
      <w:outlineLvl w:val="6"/>
    </w:pPr>
    <w:rPr>
      <w:rFonts w:ascii="Times New Roman" w:eastAsia="Times New Roman" w:hAnsi="Times New Roman"/>
      <w:sz w:val="24"/>
      <w:szCs w:val="24"/>
      <w:lang w:val="de-AT"/>
    </w:rPr>
  </w:style>
  <w:style w:type="paragraph" w:styleId="berschrift8">
    <w:name w:val="heading 8"/>
    <w:basedOn w:val="Standard"/>
    <w:next w:val="Standard"/>
    <w:link w:val="berschrift8Zchn"/>
    <w:qFormat/>
    <w:pPr>
      <w:numPr>
        <w:ilvl w:val="7"/>
        <w:numId w:val="1"/>
      </w:numPr>
      <w:spacing w:before="240" w:after="60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val="de-AT"/>
    </w:rPr>
  </w:style>
  <w:style w:type="paragraph" w:styleId="berschrift9">
    <w:name w:val="heading 9"/>
    <w:basedOn w:val="Standard"/>
    <w:next w:val="Standard"/>
    <w:link w:val="berschrift9Zchn"/>
    <w:qFormat/>
    <w:pPr>
      <w:numPr>
        <w:ilvl w:val="8"/>
        <w:numId w:val="1"/>
      </w:numPr>
      <w:spacing w:before="240" w:after="60"/>
      <w:jc w:val="both"/>
      <w:outlineLvl w:val="8"/>
    </w:pPr>
    <w:rPr>
      <w:rFonts w:eastAsia="Times New Roman" w:cs="Arial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de-DE"/>
    </w:rPr>
  </w:style>
  <w:style w:type="character" w:customStyle="1" w:styleId="berschrift1Zchn">
    <w:name w:val="Überschrift 1 Zchn"/>
    <w:basedOn w:val="Absatz-Standardschriftart"/>
    <w:link w:val="berschrift1"/>
    <w:rPr>
      <w:rFonts w:eastAsia="Times New Roman" w:cs="Arial"/>
      <w:b/>
      <w:bCs/>
      <w:kern w:val="32"/>
      <w:sz w:val="32"/>
      <w:szCs w:val="32"/>
      <w:lang w:val="de-AT" w:eastAsia="de-DE"/>
    </w:rPr>
  </w:style>
  <w:style w:type="character" w:customStyle="1" w:styleId="berschrift2Zchn">
    <w:name w:val="Überschrift 2 Zchn"/>
    <w:basedOn w:val="Absatz-Standardschriftart"/>
    <w:link w:val="berschrift2"/>
    <w:rPr>
      <w:rFonts w:eastAsia="Times New Roman" w:cs="Arial"/>
      <w:b/>
      <w:bCs/>
      <w:i/>
      <w:iCs/>
      <w:sz w:val="28"/>
      <w:szCs w:val="28"/>
      <w:lang w:val="de-AT" w:eastAsia="de-DE"/>
    </w:rPr>
  </w:style>
  <w:style w:type="character" w:customStyle="1" w:styleId="berschrift3Zchn">
    <w:name w:val="Überschrift 3 Zchn"/>
    <w:basedOn w:val="Absatz-Standardschriftart"/>
    <w:link w:val="berschrift3"/>
    <w:rPr>
      <w:rFonts w:eastAsia="Times New Roman" w:cs="Arial"/>
      <w:b/>
      <w:bCs/>
      <w:sz w:val="26"/>
      <w:szCs w:val="26"/>
      <w:lang w:val="de-AT" w:eastAsia="de-DE"/>
    </w:rPr>
  </w:style>
  <w:style w:type="character" w:customStyle="1" w:styleId="berschrift4Zchn">
    <w:name w:val="Überschrift 4 Zchn"/>
    <w:basedOn w:val="Absatz-Standardschriftart"/>
    <w:link w:val="berschrift4"/>
    <w:rPr>
      <w:rFonts w:eastAsia="Times New Roman"/>
      <w:b/>
      <w:bCs/>
      <w:sz w:val="26"/>
      <w:szCs w:val="28"/>
      <w:lang w:val="de-AT" w:eastAsia="de-DE"/>
    </w:rPr>
  </w:style>
  <w:style w:type="character" w:customStyle="1" w:styleId="berschrift5Zchn">
    <w:name w:val="Überschrift 5 Zchn"/>
    <w:basedOn w:val="Absatz-Standardschriftart"/>
    <w:link w:val="berschrift5"/>
    <w:rPr>
      <w:rFonts w:ascii="Times New Roman" w:eastAsia="Times New Roman" w:hAnsi="Times New Roman"/>
      <w:b/>
      <w:bCs/>
      <w:i/>
      <w:iCs/>
      <w:sz w:val="26"/>
      <w:szCs w:val="26"/>
      <w:lang w:val="de-AT" w:eastAsia="de-DE"/>
    </w:rPr>
  </w:style>
  <w:style w:type="character" w:customStyle="1" w:styleId="berschrift6Zchn">
    <w:name w:val="Überschrift 6 Zchn"/>
    <w:basedOn w:val="Absatz-Standardschriftart"/>
    <w:link w:val="berschrift6"/>
    <w:rPr>
      <w:rFonts w:ascii="Times New Roman" w:eastAsia="Times New Roman" w:hAnsi="Times New Roman"/>
      <w:b/>
      <w:bCs/>
      <w:lang w:val="de-AT" w:eastAsia="de-DE"/>
    </w:rPr>
  </w:style>
  <w:style w:type="character" w:customStyle="1" w:styleId="berschrift7Zchn">
    <w:name w:val="Überschrift 7 Zchn"/>
    <w:basedOn w:val="Absatz-Standardschriftart"/>
    <w:link w:val="berschrift7"/>
    <w:rPr>
      <w:rFonts w:ascii="Times New Roman" w:eastAsia="Times New Roman" w:hAnsi="Times New Roman"/>
      <w:sz w:val="24"/>
      <w:szCs w:val="24"/>
      <w:lang w:val="de-AT" w:eastAsia="de-DE"/>
    </w:rPr>
  </w:style>
  <w:style w:type="character" w:customStyle="1" w:styleId="berschrift8Zchn">
    <w:name w:val="Überschrift 8 Zchn"/>
    <w:basedOn w:val="Absatz-Standardschriftart"/>
    <w:link w:val="berschrift8"/>
    <w:rPr>
      <w:rFonts w:ascii="Times New Roman" w:eastAsia="Times New Roman" w:hAnsi="Times New Roman"/>
      <w:i/>
      <w:iCs/>
      <w:sz w:val="24"/>
      <w:szCs w:val="24"/>
      <w:lang w:val="de-AT" w:eastAsia="de-DE"/>
    </w:rPr>
  </w:style>
  <w:style w:type="character" w:customStyle="1" w:styleId="berschrift9Zchn">
    <w:name w:val="Überschrift 9 Zchn"/>
    <w:basedOn w:val="Absatz-Standardschriftart"/>
    <w:link w:val="berschrift9"/>
    <w:rPr>
      <w:rFonts w:eastAsia="Times New Roman" w:cs="Arial"/>
      <w:lang w:val="de-AT" w:eastAsia="de-DE"/>
    </w:rPr>
  </w:style>
  <w:style w:type="character" w:customStyle="1" w:styleId="highlight">
    <w:name w:val="highlight"/>
  </w:style>
  <w:style w:type="character" w:customStyle="1" w:styleId="Hyperlink1">
    <w:name w:val="Hyperlink.1"/>
    <w:basedOn w:val="Absatz-Standardschriftart"/>
  </w:style>
  <w:style w:type="paragraph" w:styleId="Textkrper">
    <w:name w:val="Body Text"/>
    <w:basedOn w:val="Standard"/>
    <w:link w:val="TextkrperZchn"/>
    <w:uiPriority w:val="99"/>
    <w:unhideWhenUsed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Pr>
      <w:lang w:eastAsia="de-DE"/>
    </w:rPr>
  </w:style>
  <w:style w:type="character" w:customStyle="1" w:styleId="conference-abstract-author-list-item">
    <w:name w:val="conference-abstract-author-list-item"/>
    <w:basedOn w:val="Absatz-Standardschriftart"/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Theme="minorHAnsi" w:eastAsiaTheme="minorHAnsi" w:hAnsiTheme="minorHAnsi" w:cstheme="minorBidi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pPr>
      <w:spacing w:after="0"/>
    </w:pPr>
    <w:rPr>
      <w:rFonts w:ascii="Arial" w:eastAsia="Calibri" w:hAnsi="Arial" w:cs="Times New Roman"/>
      <w:b/>
      <w:bCs/>
      <w:lang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Theme="minorHAnsi" w:eastAsiaTheme="minorHAnsi" w:hAnsiTheme="minorHAnsi" w:cstheme="minorBidi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HAnsi" w:hAnsi="Times New Roman"/>
      <w:color w:val="000000"/>
      <w:sz w:val="24"/>
      <w:szCs w:val="24"/>
    </w:rPr>
  </w:style>
  <w:style w:type="table" w:styleId="Tabellenraster">
    <w:name w:val="Table Grid"/>
    <w:basedOn w:val="NormaleTabelle"/>
    <w:uiPriority w:val="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styleId="HelleSchattierung">
    <w:name w:val="Light Shading"/>
    <w:basedOn w:val="NormaleTabelle"/>
    <w:uiPriority w:val="60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ittlereListe1">
    <w:name w:val="Medium List 1"/>
    <w:basedOn w:val="NormaleTabelle"/>
    <w:uiPriority w:val="65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HelleListe">
    <w:name w:val="Light List"/>
    <w:basedOn w:val="NormaleTabelle"/>
    <w:uiPriority w:val="6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ittlereListe2">
    <w:name w:val="Medium List 2"/>
    <w:basedOn w:val="NormaleTabelle"/>
    <w:uiPriority w:val="6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Funotentext">
    <w:name w:val="footnote text"/>
    <w:basedOn w:val="Standard"/>
    <w:link w:val="Funoten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Pr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customStyle="1" w:styleId="EndNoteBibliographyTitle">
    <w:name w:val="EndNote Bibliography Title"/>
    <w:basedOn w:val="Standard"/>
    <w:link w:val="EndNoteBibliographyTitleZchn"/>
    <w:pPr>
      <w:jc w:val="center"/>
    </w:pPr>
    <w:rPr>
      <w:rFonts w:cs="Arial"/>
      <w:noProof/>
    </w:rPr>
  </w:style>
  <w:style w:type="character" w:customStyle="1" w:styleId="EndNoteBibliographyTitleZchn">
    <w:name w:val="EndNote Bibliography Title Zchn"/>
    <w:basedOn w:val="TextkrperZchn"/>
    <w:link w:val="EndNoteBibliographyTitle"/>
    <w:rPr>
      <w:rFonts w:cs="Arial"/>
      <w:noProof/>
      <w:lang w:eastAsia="de-DE"/>
    </w:rPr>
  </w:style>
  <w:style w:type="paragraph" w:customStyle="1" w:styleId="EndNoteBibliography">
    <w:name w:val="EndNote Bibliography"/>
    <w:basedOn w:val="Standard"/>
    <w:link w:val="EndNoteBibliographyZchn"/>
    <w:pPr>
      <w:spacing w:line="240" w:lineRule="auto"/>
    </w:pPr>
    <w:rPr>
      <w:rFonts w:cs="Arial"/>
      <w:noProof/>
    </w:rPr>
  </w:style>
  <w:style w:type="character" w:customStyle="1" w:styleId="EndNoteBibliographyZchn">
    <w:name w:val="EndNote Bibliography Zchn"/>
    <w:basedOn w:val="TextkrperZchn"/>
    <w:link w:val="EndNoteBibliography"/>
    <w:rPr>
      <w:rFonts w:cs="Arial"/>
      <w:noProof/>
      <w:lang w:eastAsia="de-DE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lang w:eastAsia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lang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  <w:lang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2712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4466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6778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7521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4101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753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60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4309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5522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2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9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0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33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7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04559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8835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836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4968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414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4986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5086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5665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2324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2393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1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92981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4731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7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1332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3136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985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2030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3911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5259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070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2443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4901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05231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8292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881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9917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1499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0845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967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2472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8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9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1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6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5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9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5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5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1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1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6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6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5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0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42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0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7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6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423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28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688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516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8542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5432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2518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6438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7351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3133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3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9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6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3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6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12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0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6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1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9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75091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2925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511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480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8425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466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3929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9267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8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9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5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1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7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8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74445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45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1008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4519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5402">
          <w:marLeft w:val="41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3105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5799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5987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6778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7878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0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1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4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6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8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7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3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2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64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9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5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0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8820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2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07210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3474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490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995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9795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16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5665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103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81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4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32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1331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10274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3199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135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5661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9983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8256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0951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53052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3819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7202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9315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228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4500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9246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0284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5859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432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5763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7538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6647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1994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2125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38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280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6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700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650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7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4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305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7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567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8784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1766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43661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52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7043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915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0222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5262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486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8184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9024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0471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9442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098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9757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0263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5865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4213">
          <w:marLeft w:val="648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4803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045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1798">
          <w:marLeft w:val="662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3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B20B5-7685-456F-B9E4-A3235F0C1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UKT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Valentini</dc:creator>
  <cp:lastModifiedBy>Carina Klocke</cp:lastModifiedBy>
  <cp:revision>6</cp:revision>
  <dcterms:created xsi:type="dcterms:W3CDTF">2021-04-01T14:59:00Z</dcterms:created>
  <dcterms:modified xsi:type="dcterms:W3CDTF">2021-04-15T12:33:00Z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-1591969446</vt:i4>
  </property>
</Properties>
</file>