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909780" w14:textId="77777777" w:rsidR="007F0C98" w:rsidRPr="002976E3" w:rsidRDefault="007F0C98" w:rsidP="001039D4">
      <w:pPr>
        <w:spacing w:line="276" w:lineRule="auto"/>
        <w:rPr>
          <w:rFonts w:ascii="Nimbus Sans" w:eastAsia="Noto Serif CJK SC" w:hAnsi="Nimbus Sans" w:cs="Lohit Devanagari"/>
          <w:b/>
          <w:bCs/>
          <w:noProof/>
          <w:kern w:val="2"/>
          <w:sz w:val="20"/>
          <w:szCs w:val="20"/>
          <w:lang w:val="en-GB" w:eastAsia="zh-CN" w:bidi="hi-IN"/>
        </w:rPr>
      </w:pPr>
      <w:r w:rsidRPr="002976E3">
        <w:rPr>
          <w:rFonts w:ascii="Nimbus Sans" w:eastAsia="Noto Serif CJK SC" w:hAnsi="Nimbus Sans" w:cs="Lohit Devanagari"/>
          <w:b/>
          <w:bCs/>
          <w:noProof/>
          <w:kern w:val="2"/>
          <w:sz w:val="20"/>
          <w:szCs w:val="20"/>
          <w:lang w:val="en-GB" w:eastAsia="zh-CN" w:bidi="hi-IN"/>
        </w:rPr>
        <w:t xml:space="preserve">Linking vector favourable environmental conditions with serological evidence of widespread Bluetongue virus exposure in livestock in Ecuador </w:t>
      </w:r>
    </w:p>
    <w:p w14:paraId="6E10DA1F" w14:textId="77777777" w:rsidR="007F0C98" w:rsidRPr="008049D0" w:rsidRDefault="007F0C98" w:rsidP="001039D4">
      <w:pPr>
        <w:spacing w:line="276" w:lineRule="auto"/>
        <w:rPr>
          <w:rFonts w:ascii="Nimbus Sans" w:eastAsia="Noto Serif CJK SC" w:hAnsi="Nimbus Sans" w:cs="Lohit Devanagari"/>
          <w:noProof/>
          <w:kern w:val="2"/>
          <w:sz w:val="20"/>
          <w:szCs w:val="20"/>
          <w:lang w:val="en-GB" w:eastAsia="zh-CN" w:bidi="hi-IN"/>
        </w:rPr>
      </w:pPr>
      <w:r w:rsidRPr="008049D0">
        <w:rPr>
          <w:rFonts w:ascii="Nimbus Sans" w:eastAsia="Noto Serif CJK SC" w:hAnsi="Nimbus Sans" w:cs="Lohit Devanagari"/>
          <w:noProof/>
          <w:kern w:val="2"/>
          <w:sz w:val="20"/>
          <w:szCs w:val="20"/>
          <w:lang w:val="en-GB" w:eastAsia="zh-CN" w:bidi="hi-IN"/>
        </w:rPr>
        <w:t>Alfredo Acosta*1,2, Maritza Barrera4, David Jarrín3, Alexander Maldonado3, Johanna Salas3, Guilherme Camargo2, Beatriz Mello2, Alexandra Burbano3, Euclides DelaTorre3, Bernd Hoffman1 and Klaas Dietze1</w:t>
      </w:r>
    </w:p>
    <w:p w14:paraId="178CC230" w14:textId="77777777" w:rsidR="007F0C98" w:rsidRPr="008049D0" w:rsidRDefault="007F0C98" w:rsidP="001039D4">
      <w:pPr>
        <w:spacing w:line="276" w:lineRule="auto"/>
        <w:rPr>
          <w:rFonts w:ascii="Nimbus Sans" w:eastAsia="Noto Serif CJK SC" w:hAnsi="Nimbus Sans" w:cs="Lohit Devanagari"/>
          <w:noProof/>
          <w:kern w:val="2"/>
          <w:sz w:val="20"/>
          <w:szCs w:val="20"/>
          <w:lang w:val="en-GB" w:eastAsia="zh-CN" w:bidi="hi-IN"/>
        </w:rPr>
      </w:pPr>
    </w:p>
    <w:p w14:paraId="0E0266B6" w14:textId="77777777" w:rsidR="007F0C98" w:rsidRPr="001039D4" w:rsidRDefault="007F0C98" w:rsidP="001039D4">
      <w:pPr>
        <w:spacing w:line="276" w:lineRule="auto"/>
        <w:rPr>
          <w:rFonts w:ascii="Nimbus Sans" w:eastAsia="Noto Serif CJK SC" w:hAnsi="Nimbus Sans" w:cs="Lohit Devanagari"/>
          <w:noProof/>
          <w:kern w:val="2"/>
          <w:sz w:val="16"/>
          <w:szCs w:val="16"/>
          <w:lang w:val="en-GB" w:eastAsia="zh-CN" w:bidi="hi-IN"/>
        </w:rPr>
      </w:pPr>
      <w:r w:rsidRPr="001039D4">
        <w:rPr>
          <w:rFonts w:ascii="Nimbus Sans" w:eastAsia="Noto Serif CJK SC" w:hAnsi="Nimbus Sans" w:cs="Lohit Devanagari"/>
          <w:noProof/>
          <w:kern w:val="2"/>
          <w:sz w:val="16"/>
          <w:szCs w:val="16"/>
          <w:lang w:val="en-GB" w:eastAsia="zh-CN" w:bidi="hi-IN"/>
        </w:rPr>
        <w:t>1 Friedrich-Loeffler-Institut. Greifswald. Germany.</w:t>
      </w:r>
    </w:p>
    <w:p w14:paraId="0D2AFB3C" w14:textId="77777777" w:rsidR="007F0C98" w:rsidRPr="001039D4" w:rsidRDefault="007F0C98" w:rsidP="001039D4">
      <w:pPr>
        <w:spacing w:line="276" w:lineRule="auto"/>
        <w:rPr>
          <w:rFonts w:ascii="Nimbus Sans" w:eastAsia="Noto Serif CJK SC" w:hAnsi="Nimbus Sans" w:cs="Lohit Devanagari"/>
          <w:noProof/>
          <w:kern w:val="2"/>
          <w:sz w:val="16"/>
          <w:szCs w:val="16"/>
          <w:lang w:val="en-GB" w:eastAsia="zh-CN" w:bidi="hi-IN"/>
        </w:rPr>
      </w:pPr>
      <w:r w:rsidRPr="001039D4">
        <w:rPr>
          <w:rFonts w:ascii="Nimbus Sans" w:eastAsia="Noto Serif CJK SC" w:hAnsi="Nimbus Sans" w:cs="Lohit Devanagari"/>
          <w:noProof/>
          <w:kern w:val="2"/>
          <w:sz w:val="16"/>
          <w:szCs w:val="16"/>
          <w:lang w:val="en-GB" w:eastAsia="zh-CN" w:bidi="hi-IN"/>
        </w:rPr>
        <w:t xml:space="preserve">2 Preventive Veterinary Medicine Department, School of Veterinary Medicine, University of São Paulo, São Paulo, Brazil. </w:t>
      </w:r>
    </w:p>
    <w:p w14:paraId="44F4D93B" w14:textId="77777777" w:rsidR="007F0C98" w:rsidRPr="001039D4" w:rsidRDefault="007F0C98" w:rsidP="001039D4">
      <w:pPr>
        <w:spacing w:line="276" w:lineRule="auto"/>
        <w:rPr>
          <w:rFonts w:ascii="Nimbus Sans" w:eastAsia="Noto Serif CJK SC" w:hAnsi="Nimbus Sans" w:cs="Lohit Devanagari"/>
          <w:noProof/>
          <w:kern w:val="2"/>
          <w:sz w:val="16"/>
          <w:szCs w:val="16"/>
          <w:lang w:val="en-GB" w:eastAsia="zh-CN" w:bidi="hi-IN"/>
        </w:rPr>
      </w:pPr>
      <w:r w:rsidRPr="001039D4">
        <w:rPr>
          <w:rFonts w:ascii="Nimbus Sans" w:eastAsia="Noto Serif CJK SC" w:hAnsi="Nimbus Sans" w:cs="Lohit Devanagari"/>
          <w:noProof/>
          <w:kern w:val="2"/>
          <w:sz w:val="16"/>
          <w:szCs w:val="16"/>
          <w:lang w:val="es-ES" w:eastAsia="zh-CN" w:bidi="hi-IN"/>
        </w:rPr>
        <w:t xml:space="preserve">3 Agencia de Regulación y Control Fito y Zoosanitario-Agrocalidad. </w:t>
      </w:r>
      <w:r w:rsidRPr="001039D4">
        <w:rPr>
          <w:rFonts w:ascii="Nimbus Sans" w:eastAsia="Noto Serif CJK SC" w:hAnsi="Nimbus Sans" w:cs="Lohit Devanagari"/>
          <w:noProof/>
          <w:kern w:val="2"/>
          <w:sz w:val="16"/>
          <w:szCs w:val="16"/>
          <w:lang w:val="en-GB" w:eastAsia="zh-CN" w:bidi="hi-IN"/>
        </w:rPr>
        <w:t>Quito. Ecuador.</w:t>
      </w:r>
    </w:p>
    <w:p w14:paraId="003E7B43" w14:textId="77777777" w:rsidR="007F0C98" w:rsidRPr="001039D4" w:rsidRDefault="007F0C98" w:rsidP="001039D4">
      <w:pPr>
        <w:spacing w:line="276" w:lineRule="auto"/>
        <w:rPr>
          <w:rFonts w:ascii="Nimbus Sans" w:eastAsia="Noto Serif CJK SC" w:hAnsi="Nimbus Sans" w:cs="Lohit Devanagari"/>
          <w:noProof/>
          <w:kern w:val="2"/>
          <w:sz w:val="16"/>
          <w:szCs w:val="16"/>
          <w:lang w:val="en-GB" w:eastAsia="zh-CN" w:bidi="hi-IN"/>
        </w:rPr>
      </w:pPr>
      <w:r w:rsidRPr="001039D4">
        <w:rPr>
          <w:rFonts w:ascii="Nimbus Sans" w:eastAsia="Noto Serif CJK SC" w:hAnsi="Nimbus Sans" w:cs="Lohit Devanagari"/>
          <w:noProof/>
          <w:kern w:val="2"/>
          <w:sz w:val="16"/>
          <w:szCs w:val="16"/>
          <w:lang w:val="en-GB" w:eastAsia="zh-CN" w:bidi="hi-IN"/>
        </w:rPr>
        <w:t>4 Veterinary Department, Faculty of Veterinary Sciences, Universidad Técnica de Manabí, Portoviejo, Ecuador.</w:t>
      </w:r>
    </w:p>
    <w:p w14:paraId="780B701C" w14:textId="1315449D" w:rsidR="007F0C98" w:rsidRDefault="007F0C98" w:rsidP="001039D4">
      <w:pPr>
        <w:spacing w:line="276" w:lineRule="auto"/>
        <w:rPr>
          <w:rFonts w:ascii="Nimbus Sans" w:eastAsia="Noto Serif CJK SC" w:hAnsi="Nimbus Sans" w:cs="Lohit Devanagari"/>
          <w:noProof/>
          <w:kern w:val="2"/>
          <w:sz w:val="16"/>
          <w:szCs w:val="16"/>
          <w:lang w:val="en-GB" w:eastAsia="zh-CN" w:bidi="hi-IN"/>
        </w:rPr>
      </w:pPr>
      <w:r w:rsidRPr="001039D4">
        <w:rPr>
          <w:rFonts w:ascii="Nimbus Sans" w:eastAsia="Noto Serif CJK SC" w:hAnsi="Nimbus Sans" w:cs="Lohit Devanagari"/>
          <w:noProof/>
          <w:kern w:val="2"/>
          <w:sz w:val="16"/>
          <w:szCs w:val="16"/>
          <w:lang w:val="en-GB" w:eastAsia="zh-CN" w:bidi="hi-IN"/>
        </w:rPr>
        <w:t xml:space="preserve">Address for correspondence: Alfredo Acosta. Department of Epidemiology, Disease Surveillance and Risk Assessment. Swedish Veterinary Agency, SVA. Address: Ulls väg 2B. 75189. Uppsala, Sweden. e-mail: </w:t>
      </w:r>
      <w:hyperlink r:id="rId5" w:history="1">
        <w:r w:rsidR="001039D4" w:rsidRPr="00804BA9">
          <w:rPr>
            <w:rStyle w:val="Hyperlink"/>
            <w:rFonts w:ascii="Nimbus Sans" w:eastAsia="Noto Serif CJK SC" w:hAnsi="Nimbus Sans" w:cs="Lohit Devanagari"/>
            <w:noProof/>
            <w:kern w:val="2"/>
            <w:sz w:val="16"/>
            <w:szCs w:val="16"/>
            <w:lang w:val="en-GB" w:eastAsia="zh-CN" w:bidi="hi-IN"/>
          </w:rPr>
          <w:t>alfredo.acosta@sva.se</w:t>
        </w:r>
      </w:hyperlink>
      <w:r w:rsidRPr="001039D4">
        <w:rPr>
          <w:rFonts w:ascii="Nimbus Sans" w:eastAsia="Noto Serif CJK SC" w:hAnsi="Nimbus Sans" w:cs="Lohit Devanagari"/>
          <w:noProof/>
          <w:kern w:val="2"/>
          <w:sz w:val="16"/>
          <w:szCs w:val="16"/>
          <w:lang w:val="en-GB" w:eastAsia="zh-CN" w:bidi="hi-IN"/>
        </w:rPr>
        <w:t xml:space="preserve"> </w:t>
      </w:r>
    </w:p>
    <w:p w14:paraId="0818DA75" w14:textId="77777777" w:rsidR="001039D4" w:rsidRPr="001039D4" w:rsidRDefault="001039D4" w:rsidP="001039D4">
      <w:pPr>
        <w:spacing w:line="276" w:lineRule="auto"/>
        <w:rPr>
          <w:rFonts w:ascii="Nimbus Sans" w:eastAsia="Noto Serif CJK SC" w:hAnsi="Nimbus Sans" w:cs="Lohit Devanagari"/>
          <w:noProof/>
          <w:kern w:val="2"/>
          <w:sz w:val="16"/>
          <w:szCs w:val="16"/>
          <w:lang w:val="en-GB" w:eastAsia="zh-CN" w:bidi="hi-IN"/>
        </w:rPr>
      </w:pPr>
    </w:p>
    <w:p w14:paraId="03191B4D" w14:textId="69D8D9E8" w:rsidR="00E61D8C" w:rsidRPr="008049D0" w:rsidRDefault="007F0C98" w:rsidP="001039D4">
      <w:pPr>
        <w:spacing w:line="276" w:lineRule="auto"/>
        <w:rPr>
          <w:sz w:val="20"/>
          <w:szCs w:val="22"/>
          <w:lang w:val="en-GB"/>
        </w:rPr>
      </w:pPr>
      <w:r w:rsidRPr="008049D0">
        <w:rPr>
          <w:rFonts w:ascii="Nimbus Sans" w:eastAsia="Noto Serif CJK SC" w:hAnsi="Nimbus Sans" w:cs="Lohit Devanagari"/>
          <w:noProof/>
          <w:kern w:val="2"/>
          <w:sz w:val="20"/>
          <w:szCs w:val="20"/>
          <w:lang w:val="en-GB" w:eastAsia="zh-CN" w:bidi="hi-IN"/>
        </w:rPr>
        <w:t>KEYWORDS: bluetongue; surveillance system; culicoides; risk analysis; policy.</w:t>
      </w:r>
    </w:p>
    <w:p w14:paraId="47F9BB33" w14:textId="77777777" w:rsidR="008049D0" w:rsidRDefault="008049D0" w:rsidP="001039D4">
      <w:pPr>
        <w:spacing w:line="276" w:lineRule="auto"/>
        <w:rPr>
          <w:sz w:val="20"/>
          <w:szCs w:val="22"/>
          <w:lang w:val="en-GB"/>
        </w:rPr>
      </w:pPr>
    </w:p>
    <w:p w14:paraId="62642FDE" w14:textId="04260095" w:rsidR="004967E2" w:rsidRPr="001039D4" w:rsidRDefault="004967E2" w:rsidP="001039D4">
      <w:pPr>
        <w:spacing w:line="276" w:lineRule="auto"/>
        <w:rPr>
          <w:b/>
          <w:bCs/>
          <w:sz w:val="20"/>
          <w:szCs w:val="22"/>
          <w:lang w:val="en-GB"/>
        </w:rPr>
      </w:pPr>
      <w:r w:rsidRPr="001039D4">
        <w:rPr>
          <w:b/>
          <w:bCs/>
          <w:sz w:val="20"/>
          <w:szCs w:val="22"/>
          <w:lang w:val="en-GB"/>
        </w:rPr>
        <w:t>Supplementary material</w:t>
      </w:r>
    </w:p>
    <w:p w14:paraId="7C3B2FC3" w14:textId="1E798287" w:rsidR="004967E2" w:rsidRDefault="004967E2" w:rsidP="009746A9">
      <w:pPr>
        <w:pStyle w:val="BodyText"/>
      </w:pPr>
      <w:r>
        <w:t xml:space="preserve">Considering the number of samples collected and the number of BTV antibody detection were more intense from May 2015 to July 2020 with positive antibody diagnostics above 87%. The average number of monthly </w:t>
      </w:r>
      <w:r w:rsidR="002E3D59">
        <w:t>reports</w:t>
      </w:r>
      <w:r>
        <w:t xml:space="preserve"> (2015 to 2021) were 5.23 every month with peaks above 15 around January of 2016 and July of 2018, also 64.58% of the weeks confirmed cases (Fig. </w:t>
      </w:r>
      <w:r w:rsidR="008B7961">
        <w:t>SM</w:t>
      </w:r>
      <w:r>
        <w:t>1).</w:t>
      </w:r>
    </w:p>
    <w:p w14:paraId="05A453D7" w14:textId="77777777" w:rsidR="004967E2" w:rsidRDefault="004967E2" w:rsidP="009746A9">
      <w:pPr>
        <w:pStyle w:val="BodyText"/>
        <w:rPr>
          <w:color w:val="000000"/>
        </w:rPr>
      </w:pPr>
      <w:r>
        <w:rPr>
          <w:noProof/>
        </w:rPr>
        <w:drawing>
          <wp:inline distT="0" distB="0" distL="0" distR="0" wp14:anchorId="4FCB4502" wp14:editId="29C6301B">
            <wp:extent cx="3574847" cy="1886384"/>
            <wp:effectExtent l="0" t="0" r="6985" b="0"/>
            <wp:docPr id="3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"/>
                    <pic:cNvPicPr>
                      <a:picLocks noChangeAspect="1" noChangeArrowheads="1"/>
                    </pic:cNvPicPr>
                  </pic:nvPicPr>
                  <pic:blipFill rotWithShape="1">
                    <a:blip r:embed="rId6"/>
                    <a:srcRect r="5334"/>
                    <a:stretch/>
                  </pic:blipFill>
                  <pic:spPr bwMode="auto">
                    <a:xfrm>
                      <a:off x="0" y="0"/>
                      <a:ext cx="3593935" cy="18964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31064C" w14:textId="2C39753C" w:rsidR="004967E2" w:rsidRDefault="004967E2" w:rsidP="009746A9">
      <w:pPr>
        <w:pStyle w:val="BodyText"/>
      </w:pPr>
      <w:r>
        <w:t xml:space="preserve">Fig. </w:t>
      </w:r>
      <w:r w:rsidR="008B7961">
        <w:t>SM</w:t>
      </w:r>
      <w:r>
        <w:t xml:space="preserve">1. Temporal distribution of </w:t>
      </w:r>
      <w:r w:rsidR="009B4F89">
        <w:t xml:space="preserve">analysed </w:t>
      </w:r>
      <w:r>
        <w:t xml:space="preserve">samples (bars) and </w:t>
      </w:r>
      <w:r w:rsidR="00D3502D">
        <w:t>farms</w:t>
      </w:r>
      <w:r>
        <w:t xml:space="preserve"> (dots) during the period 2014-2021 in Ecuador. </w:t>
      </w:r>
      <w:r w:rsidR="00BA59AD">
        <w:t xml:space="preserve">Second axis scale corresponding on the number of farms </w:t>
      </w:r>
      <w:r w:rsidR="00FC428A">
        <w:t xml:space="preserve">(dots) </w:t>
      </w:r>
      <w:r w:rsidR="00BA59AD">
        <w:t>being analysed</w:t>
      </w:r>
      <w:r>
        <w:t>.</w:t>
      </w:r>
    </w:p>
    <w:p w14:paraId="1FB84BA8" w14:textId="5334C565" w:rsidR="004967E2" w:rsidRPr="007C7927" w:rsidRDefault="00975D22" w:rsidP="001039D4">
      <w:pPr>
        <w:spacing w:line="276" w:lineRule="auto"/>
        <w:rPr>
          <w:lang w:val="en-GB"/>
        </w:rPr>
      </w:pPr>
      <w:r w:rsidRPr="007C7927">
        <w:rPr>
          <w:lang w:val="en-GB"/>
        </w:rPr>
        <w:t>Bioclimatic variables</w:t>
      </w:r>
      <w:r w:rsidR="007C7927" w:rsidRPr="007C7927">
        <w:rPr>
          <w:lang w:val="en-GB"/>
        </w:rPr>
        <w:t xml:space="preserve"> analysed i</w:t>
      </w:r>
      <w:r w:rsidR="007C7927">
        <w:rPr>
          <w:lang w:val="en-GB"/>
        </w:rPr>
        <w:t>n the model</w:t>
      </w:r>
      <w:r w:rsidR="00632829">
        <w:rPr>
          <w:lang w:val="en-GB"/>
        </w:rPr>
        <w:t xml:space="preserve">. Names are in concordance to </w:t>
      </w:r>
      <w:r w:rsidR="00D91956">
        <w:rPr>
          <w:lang w:val="en-GB"/>
        </w:rPr>
        <w:t xml:space="preserve">table </w:t>
      </w:r>
      <w:r w:rsidR="008B7961">
        <w:rPr>
          <w:lang w:val="en-GB"/>
        </w:rPr>
        <w:t>5</w:t>
      </w:r>
      <w:r w:rsidR="00D91956">
        <w:rPr>
          <w:lang w:val="en-GB"/>
        </w:rPr>
        <w:t xml:space="preserve"> of the article</w:t>
      </w:r>
      <w:r w:rsidR="00230BD5">
        <w:rPr>
          <w:lang w:val="en-GB"/>
        </w:rPr>
        <w:t xml:space="preserve"> (Fig.</w:t>
      </w:r>
      <w:r w:rsidR="008B7961">
        <w:rPr>
          <w:lang w:val="en-GB"/>
        </w:rPr>
        <w:t>SM</w:t>
      </w:r>
      <w:r w:rsidR="00230BD5">
        <w:rPr>
          <w:lang w:val="en-GB"/>
        </w:rPr>
        <w:t>2)</w:t>
      </w:r>
      <w:r w:rsidR="00D91956">
        <w:rPr>
          <w:lang w:val="en-GB"/>
        </w:rPr>
        <w:t xml:space="preserve">. </w:t>
      </w:r>
    </w:p>
    <w:p w14:paraId="53D4D1F8" w14:textId="2A90D573" w:rsidR="00975D22" w:rsidRDefault="00A82A65" w:rsidP="00A77E62">
      <w:pPr>
        <w:spacing w:line="276" w:lineRule="auto"/>
        <w:jc w:val="center"/>
      </w:pPr>
      <w:r>
        <w:rPr>
          <w:noProof/>
        </w:rPr>
        <w:drawing>
          <wp:inline distT="0" distB="0" distL="0" distR="0" wp14:anchorId="1159702D" wp14:editId="6E460BEA">
            <wp:extent cx="4083113" cy="3141469"/>
            <wp:effectExtent l="0" t="0" r="0" b="1905"/>
            <wp:docPr id="153964243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642431" name="Bildobjekt 153964243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9490" cy="3154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545354" w14:textId="63FD138B" w:rsidR="00A82A65" w:rsidRPr="00FE3182" w:rsidRDefault="007E2986" w:rsidP="001039D4">
      <w:pPr>
        <w:spacing w:line="276" w:lineRule="auto"/>
        <w:rPr>
          <w:lang w:val="en-GB"/>
        </w:rPr>
      </w:pPr>
      <w:r w:rsidRPr="00FE3182">
        <w:rPr>
          <w:lang w:val="en-GB"/>
        </w:rPr>
        <w:t xml:space="preserve">Fig. </w:t>
      </w:r>
      <w:r w:rsidR="007812F0">
        <w:rPr>
          <w:lang w:val="en-GB"/>
        </w:rPr>
        <w:t>SM</w:t>
      </w:r>
      <w:r w:rsidRPr="00FE3182">
        <w:rPr>
          <w:lang w:val="en-GB"/>
        </w:rPr>
        <w:t xml:space="preserve">2 Bioclimatic variables </w:t>
      </w:r>
      <w:r w:rsidR="00FE3182" w:rsidRPr="00FE3182">
        <w:rPr>
          <w:lang w:val="en-GB"/>
        </w:rPr>
        <w:t>used o</w:t>
      </w:r>
      <w:r w:rsidR="00FE3182">
        <w:rPr>
          <w:lang w:val="en-GB"/>
        </w:rPr>
        <w:t xml:space="preserve">n the </w:t>
      </w:r>
      <w:r w:rsidR="007677E4">
        <w:rPr>
          <w:lang w:val="en-GB"/>
        </w:rPr>
        <w:t>model of BTV in Ecuador</w:t>
      </w:r>
      <w:r w:rsidR="00FE3182">
        <w:rPr>
          <w:lang w:val="en-GB"/>
        </w:rPr>
        <w:t>.</w:t>
      </w:r>
    </w:p>
    <w:p w14:paraId="0CEA8A42" w14:textId="77777777" w:rsidR="00F9080F" w:rsidRDefault="00F9080F" w:rsidP="001039D4">
      <w:pPr>
        <w:spacing w:line="276" w:lineRule="auto"/>
        <w:rPr>
          <w:lang w:val="en-GB"/>
        </w:rPr>
      </w:pPr>
    </w:p>
    <w:p w14:paraId="2790D2E0" w14:textId="2A90B0AC" w:rsidR="000800B9" w:rsidRPr="00A61449" w:rsidRDefault="00283588" w:rsidP="001039D4">
      <w:pPr>
        <w:spacing w:line="276" w:lineRule="auto"/>
        <w:rPr>
          <w:lang w:val="en-GB"/>
        </w:rPr>
      </w:pPr>
      <w:r w:rsidRPr="00283588">
        <w:rPr>
          <w:lang w:val="en-GB"/>
        </w:rPr>
        <w:lastRenderedPageBreak/>
        <w:t>The parishes exhibiting higher cattle densities are not confined solely to the coastal regions, as illustrated in the total population maps</w:t>
      </w:r>
      <w:r w:rsidR="001D68BC">
        <w:rPr>
          <w:lang w:val="en-GB"/>
        </w:rPr>
        <w:t>;</w:t>
      </w:r>
      <w:r w:rsidRPr="00283588">
        <w:rPr>
          <w:lang w:val="en-GB"/>
        </w:rPr>
        <w:t xml:space="preserve"> </w:t>
      </w:r>
      <w:r w:rsidR="00AB65E0">
        <w:rPr>
          <w:lang w:val="en-GB"/>
        </w:rPr>
        <w:t xml:space="preserve">but also </w:t>
      </w:r>
      <w:r w:rsidR="001D68BC">
        <w:rPr>
          <w:lang w:val="en-GB"/>
        </w:rPr>
        <w:t>in</w:t>
      </w:r>
      <w:r w:rsidRPr="00283588">
        <w:rPr>
          <w:lang w:val="en-GB"/>
        </w:rPr>
        <w:t xml:space="preserve"> the highlands, where the</w:t>
      </w:r>
      <w:r w:rsidR="001D68BC">
        <w:rPr>
          <w:lang w:val="en-GB"/>
        </w:rPr>
        <w:t>ir</w:t>
      </w:r>
      <w:r w:rsidRPr="00283588">
        <w:rPr>
          <w:lang w:val="en-GB"/>
        </w:rPr>
        <w:t xml:space="preserve"> </w:t>
      </w:r>
      <w:r w:rsidR="001D68BC">
        <w:rPr>
          <w:lang w:val="en-GB"/>
        </w:rPr>
        <w:t xml:space="preserve">focus is on </w:t>
      </w:r>
      <w:r w:rsidRPr="00283588">
        <w:rPr>
          <w:lang w:val="en-GB"/>
        </w:rPr>
        <w:t>milk production. Conversely, in the coastal regions, the emphasis shifts towards meat production (Table SM1 and Fig. SM3).</w:t>
      </w:r>
    </w:p>
    <w:p w14:paraId="3C6B8FEA" w14:textId="75423785" w:rsidR="000800B9" w:rsidRDefault="000800B9" w:rsidP="009746A9">
      <w:pPr>
        <w:pStyle w:val="BodyText"/>
      </w:pPr>
      <w:r>
        <w:t xml:space="preserve">Table </w:t>
      </w:r>
      <w:r w:rsidR="008B7961">
        <w:t>SM</w:t>
      </w:r>
      <w:r>
        <w:t xml:space="preserve">1. Average cattle population, density, and minimum temperature according with official registry by Ecuadorian provinces in 2021, ordered by cattle population. </w:t>
      </w:r>
    </w:p>
    <w:tbl>
      <w:tblPr>
        <w:tblW w:w="6521" w:type="dxa"/>
        <w:tblLook w:val="04A0" w:firstRow="1" w:lastRow="0" w:firstColumn="1" w:lastColumn="0" w:noHBand="0" w:noVBand="1"/>
      </w:tblPr>
      <w:tblGrid>
        <w:gridCol w:w="2081"/>
        <w:gridCol w:w="1242"/>
        <w:gridCol w:w="1589"/>
        <w:gridCol w:w="1609"/>
      </w:tblGrid>
      <w:tr w:rsidR="00EC3FD6" w:rsidRPr="00192718" w14:paraId="3D227225" w14:textId="77777777" w:rsidTr="009646C9">
        <w:trPr>
          <w:trHeight w:val="282"/>
        </w:trPr>
        <w:tc>
          <w:tcPr>
            <w:tcW w:w="2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181FA9" w14:textId="77777777" w:rsidR="00EC3FD6" w:rsidRPr="00192718" w:rsidRDefault="00EC3FD6" w:rsidP="001039D4">
            <w:pPr>
              <w:spacing w:line="276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Province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83836B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Cattle population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555E5C" w14:textId="77777777" w:rsidR="00EC3FD6" w:rsidRPr="00192718" w:rsidRDefault="00EC3FD6" w:rsidP="001039D4">
            <w:pPr>
              <w:spacing w:line="276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Density (animals/Km2)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11DBFF" w14:textId="557293C3" w:rsidR="00EC3FD6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30634F">
              <w:rPr>
                <w:rFonts w:ascii="Calibri" w:eastAsia="Times New Roman" w:hAnsi="Calibri" w:cs="Calibri"/>
                <w:color w:val="000000"/>
                <w:lang w:val="en-GB" w:eastAsia="en-GB"/>
              </w:rPr>
              <w:t>Min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</w:p>
          <w:p w14:paraId="233180AF" w14:textId="7EB1A735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30634F">
              <w:rPr>
                <w:rFonts w:ascii="Calibri" w:eastAsia="Times New Roman" w:hAnsi="Calibri" w:cs="Calibri"/>
                <w:color w:val="000000"/>
                <w:lang w:val="en-GB" w:eastAsia="en-GB"/>
              </w:rPr>
              <w:t>Temp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="00EB0F97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="00766AD9" w:rsidRPr="009F2622">
              <w:rPr>
                <w:rFonts w:ascii="Arial" w:hAnsi="Arial" w:cs="Arial"/>
              </w:rPr>
              <w:t>°C</w:t>
            </w:r>
          </w:p>
        </w:tc>
      </w:tr>
      <w:tr w:rsidR="00EC3FD6" w:rsidRPr="00192718" w14:paraId="5396A591" w14:textId="77777777" w:rsidTr="009646C9">
        <w:trPr>
          <w:trHeight w:val="282"/>
        </w:trPr>
        <w:tc>
          <w:tcPr>
            <w:tcW w:w="2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1D499" w14:textId="77777777" w:rsidR="00EC3FD6" w:rsidRPr="00192718" w:rsidRDefault="00EC3FD6" w:rsidP="001039D4">
            <w:pPr>
              <w:spacing w:line="276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Manabi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5E5A6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977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,</w:t>
            </w: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503</w:t>
            </w:r>
          </w:p>
        </w:tc>
        <w:tc>
          <w:tcPr>
            <w:tcW w:w="15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7D2B7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42.37</w:t>
            </w:r>
          </w:p>
        </w:tc>
        <w:tc>
          <w:tcPr>
            <w:tcW w:w="16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BA647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18.63</w:t>
            </w:r>
          </w:p>
        </w:tc>
      </w:tr>
      <w:tr w:rsidR="00EC3FD6" w:rsidRPr="00192718" w14:paraId="5CB0AD82" w14:textId="77777777" w:rsidTr="009646C9">
        <w:trPr>
          <w:trHeight w:val="282"/>
        </w:trPr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A9938" w14:textId="77777777" w:rsidR="00EC3FD6" w:rsidRPr="00192718" w:rsidRDefault="00EC3FD6" w:rsidP="001039D4">
            <w:pPr>
              <w:spacing w:line="276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Pichincha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4E89E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375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,</w:t>
            </w: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447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C9EC3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41.52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35C81" w14:textId="22A576E3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7.3</w:t>
            </w:r>
            <w:r w:rsidR="00F45010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</w:p>
        </w:tc>
      </w:tr>
      <w:tr w:rsidR="00EC3FD6" w:rsidRPr="00192718" w14:paraId="36CC3346" w14:textId="77777777" w:rsidTr="009646C9">
        <w:trPr>
          <w:trHeight w:val="282"/>
        </w:trPr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D3C9B" w14:textId="77777777" w:rsidR="00EC3FD6" w:rsidRPr="00192718" w:rsidRDefault="00EC3FD6" w:rsidP="001039D4">
            <w:pPr>
              <w:spacing w:line="276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Esmeraldas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ABAC3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368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,</w:t>
            </w: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251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B8403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33.77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43CC5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20.73</w:t>
            </w:r>
          </w:p>
        </w:tc>
      </w:tr>
      <w:tr w:rsidR="00EC3FD6" w:rsidRPr="00192718" w14:paraId="22E1F577" w14:textId="77777777" w:rsidTr="009646C9">
        <w:trPr>
          <w:trHeight w:val="282"/>
        </w:trPr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7D8E0" w14:textId="77777777" w:rsidR="00EC3FD6" w:rsidRPr="00192718" w:rsidRDefault="00EC3FD6" w:rsidP="001039D4">
            <w:pPr>
              <w:spacing w:line="276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Guayas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7D80D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297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,</w:t>
            </w: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254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839EB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26.07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2EC5A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19.13</w:t>
            </w:r>
          </w:p>
        </w:tc>
      </w:tr>
      <w:tr w:rsidR="00EC3FD6" w:rsidRPr="00192718" w14:paraId="55645223" w14:textId="77777777" w:rsidTr="009646C9">
        <w:trPr>
          <w:trHeight w:val="282"/>
        </w:trPr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2959E" w14:textId="77777777" w:rsidR="00EC3FD6" w:rsidRPr="00192718" w:rsidRDefault="00EC3FD6" w:rsidP="001039D4">
            <w:pPr>
              <w:spacing w:line="276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Chimborazo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2C1DC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260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,</w:t>
            </w: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321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4119A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46.75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4245F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5.07</w:t>
            </w:r>
          </w:p>
        </w:tc>
      </w:tr>
      <w:tr w:rsidR="00EC3FD6" w:rsidRPr="00192718" w14:paraId="56BE9841" w14:textId="77777777" w:rsidTr="009646C9">
        <w:trPr>
          <w:trHeight w:val="282"/>
        </w:trPr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FEBD9" w14:textId="77777777" w:rsidR="00EC3FD6" w:rsidRPr="00192718" w:rsidRDefault="00EC3FD6" w:rsidP="001039D4">
            <w:pPr>
              <w:spacing w:line="276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Cotopaxi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7A338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258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,</w:t>
            </w: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187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D8ED0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63.64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C7197" w14:textId="40CEB02A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6.5</w:t>
            </w:r>
            <w:r w:rsidR="00F45010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</w:p>
        </w:tc>
      </w:tr>
      <w:tr w:rsidR="00EC3FD6" w:rsidRPr="00192718" w14:paraId="04AA0F1F" w14:textId="77777777" w:rsidTr="009646C9">
        <w:trPr>
          <w:trHeight w:val="282"/>
        </w:trPr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3CCC1" w14:textId="77777777" w:rsidR="00EC3FD6" w:rsidRPr="00192718" w:rsidRDefault="00EC3FD6" w:rsidP="001039D4">
            <w:pPr>
              <w:spacing w:line="276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Santo Domingo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2EB79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209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,</w:t>
            </w: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653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02EE3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63.08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3A191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17.65</w:t>
            </w:r>
          </w:p>
        </w:tc>
      </w:tr>
      <w:tr w:rsidR="00EC3FD6" w:rsidRPr="00192718" w14:paraId="729ABF33" w14:textId="77777777" w:rsidTr="009646C9">
        <w:trPr>
          <w:trHeight w:val="282"/>
        </w:trPr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2CAC4" w14:textId="77777777" w:rsidR="00EC3FD6" w:rsidRPr="00192718" w:rsidRDefault="00EC3FD6" w:rsidP="001039D4">
            <w:pPr>
              <w:spacing w:line="276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Loja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98503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195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,</w:t>
            </w: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233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0ACB2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20.42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DCBA7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12.85</w:t>
            </w:r>
          </w:p>
        </w:tc>
      </w:tr>
      <w:tr w:rsidR="00EC3FD6" w:rsidRPr="00192718" w14:paraId="0DB2FDA5" w14:textId="77777777" w:rsidTr="009646C9">
        <w:trPr>
          <w:trHeight w:val="282"/>
        </w:trPr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604A9" w14:textId="77777777" w:rsidR="00EC3FD6" w:rsidRPr="00192718" w:rsidRDefault="00EC3FD6" w:rsidP="001039D4">
            <w:pPr>
              <w:spacing w:line="276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Azuay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D880F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176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,</w:t>
            </w: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345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977EC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30.11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A75B9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7.59</w:t>
            </w:r>
          </w:p>
        </w:tc>
      </w:tr>
      <w:tr w:rsidR="00EC3FD6" w:rsidRPr="00192718" w14:paraId="2B962F17" w14:textId="77777777" w:rsidTr="009646C9">
        <w:trPr>
          <w:trHeight w:val="282"/>
        </w:trPr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968B4" w14:textId="77777777" w:rsidR="00EC3FD6" w:rsidRPr="00192718" w:rsidRDefault="00EC3FD6" w:rsidP="001039D4">
            <w:pPr>
              <w:spacing w:line="276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Morona Santiago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278FD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165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,</w:t>
            </w: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256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85335" w14:textId="550E812F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16.6</w:t>
            </w:r>
            <w:r w:rsidR="00F45010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CF52A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14.64</w:t>
            </w:r>
          </w:p>
        </w:tc>
      </w:tr>
      <w:tr w:rsidR="00EC3FD6" w:rsidRPr="00192718" w14:paraId="2944F2EC" w14:textId="77777777" w:rsidTr="009646C9">
        <w:trPr>
          <w:trHeight w:val="282"/>
        </w:trPr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94F3C" w14:textId="77777777" w:rsidR="00EC3FD6" w:rsidRPr="00192718" w:rsidRDefault="00EC3FD6" w:rsidP="001039D4">
            <w:pPr>
              <w:spacing w:line="276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Carchi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18E63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159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,</w:t>
            </w: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168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01A6C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81.23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26C63" w14:textId="544922F5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7.4</w:t>
            </w:r>
            <w:r w:rsidR="00F45010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</w:p>
        </w:tc>
      </w:tr>
      <w:tr w:rsidR="00EC3FD6" w:rsidRPr="00192718" w14:paraId="214F3EB3" w14:textId="77777777" w:rsidTr="009646C9">
        <w:trPr>
          <w:trHeight w:val="282"/>
        </w:trPr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82339" w14:textId="77777777" w:rsidR="00EC3FD6" w:rsidRPr="00192718" w:rsidRDefault="00EC3FD6" w:rsidP="001039D4">
            <w:pPr>
              <w:spacing w:line="276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Bolivar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C133A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157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,</w:t>
            </w: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692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A89E3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40.07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8A002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9.18</w:t>
            </w:r>
          </w:p>
        </w:tc>
      </w:tr>
      <w:tr w:rsidR="00EC3FD6" w:rsidRPr="00192718" w14:paraId="012F5412" w14:textId="77777777" w:rsidTr="009646C9">
        <w:trPr>
          <w:trHeight w:val="282"/>
        </w:trPr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527EC" w14:textId="77777777" w:rsidR="00EC3FD6" w:rsidRPr="00192718" w:rsidRDefault="00EC3FD6" w:rsidP="001039D4">
            <w:pPr>
              <w:spacing w:line="276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El Oro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99334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156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,</w:t>
            </w: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984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0FF25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35.81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8EC55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17.03</w:t>
            </w:r>
          </w:p>
        </w:tc>
      </w:tr>
      <w:tr w:rsidR="00EC3FD6" w:rsidRPr="00192718" w14:paraId="5E626BF2" w14:textId="77777777" w:rsidTr="009646C9">
        <w:trPr>
          <w:trHeight w:val="282"/>
        </w:trPr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8EC31" w14:textId="77777777" w:rsidR="00EC3FD6" w:rsidRPr="00192718" w:rsidRDefault="00EC3FD6" w:rsidP="001039D4">
            <w:pPr>
              <w:spacing w:line="276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Canar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9C960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142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,</w:t>
            </w: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555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F4858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63.2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73FAC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7.77</w:t>
            </w:r>
          </w:p>
        </w:tc>
      </w:tr>
      <w:tr w:rsidR="00EC3FD6" w:rsidRPr="00192718" w14:paraId="3180BE40" w14:textId="77777777" w:rsidTr="009646C9">
        <w:trPr>
          <w:trHeight w:val="282"/>
        </w:trPr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4012E" w14:textId="77777777" w:rsidR="00EC3FD6" w:rsidRPr="00192718" w:rsidRDefault="00EC3FD6" w:rsidP="001039D4">
            <w:pPr>
              <w:spacing w:line="276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Zamora Chinchipe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DE227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135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,</w:t>
            </w: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054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9E4F6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17.13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17ACD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13.75</w:t>
            </w:r>
          </w:p>
        </w:tc>
      </w:tr>
      <w:tr w:rsidR="00EC3FD6" w:rsidRPr="00192718" w14:paraId="2CCD4E99" w14:textId="77777777" w:rsidTr="009646C9">
        <w:trPr>
          <w:trHeight w:val="282"/>
        </w:trPr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F646F" w14:textId="77777777" w:rsidR="00EC3FD6" w:rsidRPr="00192718" w:rsidRDefault="00EC3FD6" w:rsidP="001039D4">
            <w:pPr>
              <w:spacing w:line="276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Tungurahua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CBF3A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132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,</w:t>
            </w: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964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10A28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72.07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F848F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5.81</w:t>
            </w:r>
          </w:p>
        </w:tc>
      </w:tr>
      <w:tr w:rsidR="00EC3FD6" w:rsidRPr="00192718" w14:paraId="0615EF45" w14:textId="77777777" w:rsidTr="009646C9">
        <w:trPr>
          <w:trHeight w:val="282"/>
        </w:trPr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D05BE" w14:textId="77777777" w:rsidR="00EC3FD6" w:rsidRPr="00192718" w:rsidRDefault="00EC3FD6" w:rsidP="001039D4">
            <w:pPr>
              <w:spacing w:line="276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Sucumbios</w:t>
            </w:r>
            <w:proofErr w:type="spellEnd"/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232C6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129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,</w:t>
            </w: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918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2AD38" w14:textId="287EC703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13.5</w:t>
            </w:r>
            <w:r w:rsidR="00F45010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C2EA3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17.24</w:t>
            </w:r>
          </w:p>
        </w:tc>
      </w:tr>
      <w:tr w:rsidR="00EC3FD6" w:rsidRPr="00192718" w14:paraId="29916C42" w14:textId="77777777" w:rsidTr="009646C9">
        <w:trPr>
          <w:trHeight w:val="282"/>
        </w:trPr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8EB8F" w14:textId="77777777" w:rsidR="00EC3FD6" w:rsidRPr="00192718" w:rsidRDefault="00EC3FD6" w:rsidP="001039D4">
            <w:pPr>
              <w:spacing w:line="276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Imbabura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176FC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104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,</w:t>
            </w: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340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E7790" w14:textId="5D63B473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31</w:t>
            </w:r>
            <w:r w:rsidR="00F45010">
              <w:rPr>
                <w:rFonts w:ascii="Calibri" w:eastAsia="Times New Roman" w:hAnsi="Calibri" w:cs="Calibri"/>
                <w:color w:val="000000"/>
                <w:lang w:val="en-GB" w:eastAsia="en-GB"/>
              </w:rPr>
              <w:t>.00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DBD3C" w14:textId="63531846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7.45</w:t>
            </w:r>
          </w:p>
        </w:tc>
      </w:tr>
      <w:tr w:rsidR="00EC3FD6" w:rsidRPr="00192718" w14:paraId="18AAA96F" w14:textId="77777777" w:rsidTr="009646C9">
        <w:trPr>
          <w:trHeight w:val="282"/>
        </w:trPr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2E210" w14:textId="77777777" w:rsidR="00EC3FD6" w:rsidRPr="00192718" w:rsidRDefault="00EC3FD6" w:rsidP="001039D4">
            <w:pPr>
              <w:spacing w:line="276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Los Rios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76198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83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,</w:t>
            </w: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768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7DFA1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11.47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B1468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19.32</w:t>
            </w:r>
          </w:p>
        </w:tc>
      </w:tr>
      <w:tr w:rsidR="00EC3FD6" w:rsidRPr="00192718" w14:paraId="0E0B7802" w14:textId="77777777" w:rsidTr="009646C9">
        <w:trPr>
          <w:trHeight w:val="282"/>
        </w:trPr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2BE05" w14:textId="77777777" w:rsidR="00EC3FD6" w:rsidRPr="00192718" w:rsidRDefault="00EC3FD6" w:rsidP="001039D4">
            <w:pPr>
              <w:spacing w:line="276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Orellana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0B695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75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,</w:t>
            </w: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939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95A20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18.44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38253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19.13</w:t>
            </w:r>
          </w:p>
        </w:tc>
      </w:tr>
      <w:tr w:rsidR="00EC3FD6" w:rsidRPr="00192718" w14:paraId="47ADDE1F" w14:textId="77777777" w:rsidTr="009646C9">
        <w:trPr>
          <w:trHeight w:val="282"/>
        </w:trPr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78DA3" w14:textId="77777777" w:rsidR="00EC3FD6" w:rsidRPr="00192718" w:rsidRDefault="00EC3FD6" w:rsidP="001039D4">
            <w:pPr>
              <w:spacing w:line="276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Napo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186CC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49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,</w:t>
            </w: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519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D1F1E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8.28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FA806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10.34</w:t>
            </w:r>
          </w:p>
        </w:tc>
      </w:tr>
      <w:tr w:rsidR="00EC3FD6" w:rsidRPr="00192718" w14:paraId="7E5EE708" w14:textId="77777777" w:rsidTr="009646C9">
        <w:trPr>
          <w:trHeight w:val="282"/>
        </w:trPr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F3356" w14:textId="77777777" w:rsidR="00EC3FD6" w:rsidRPr="00192718" w:rsidRDefault="00EC3FD6" w:rsidP="001039D4">
            <w:pPr>
              <w:spacing w:line="276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Pastaza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14F8B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25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,</w:t>
            </w: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345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57783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9.94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6CBA3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16.85</w:t>
            </w:r>
          </w:p>
        </w:tc>
      </w:tr>
      <w:tr w:rsidR="00EC3FD6" w:rsidRPr="00192718" w14:paraId="39EAA4B3" w14:textId="77777777" w:rsidTr="009646C9">
        <w:trPr>
          <w:trHeight w:val="292"/>
        </w:trPr>
        <w:tc>
          <w:tcPr>
            <w:tcW w:w="20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D20E4D" w14:textId="77777777" w:rsidR="00EC3FD6" w:rsidRPr="00192718" w:rsidRDefault="00EC3FD6" w:rsidP="001039D4">
            <w:pPr>
              <w:spacing w:line="276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Santa Elena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7B6522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19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,</w:t>
            </w: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693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E395ED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4.46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FB975C" w14:textId="77777777" w:rsidR="00EC3FD6" w:rsidRPr="00192718" w:rsidRDefault="00EC3FD6" w:rsidP="009646C9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192718">
              <w:rPr>
                <w:rFonts w:ascii="Calibri" w:eastAsia="Times New Roman" w:hAnsi="Calibri" w:cs="Calibri"/>
                <w:color w:val="000000"/>
                <w:lang w:val="en-GB" w:eastAsia="en-GB"/>
              </w:rPr>
              <w:t>19.21</w:t>
            </w:r>
          </w:p>
        </w:tc>
      </w:tr>
    </w:tbl>
    <w:p w14:paraId="18308E28" w14:textId="5A8ACC7C" w:rsidR="003D207D" w:rsidRDefault="003D207D" w:rsidP="001039D4">
      <w:pPr>
        <w:spacing w:line="276" w:lineRule="auto"/>
      </w:pPr>
    </w:p>
    <w:p w14:paraId="01363B06" w14:textId="1882F6D3" w:rsidR="003D207D" w:rsidRDefault="003D207D" w:rsidP="00A77E62">
      <w:pPr>
        <w:spacing w:line="276" w:lineRule="auto"/>
        <w:jc w:val="center"/>
      </w:pPr>
      <w:r>
        <w:rPr>
          <w:noProof/>
        </w:rPr>
        <w:drawing>
          <wp:inline distT="0" distB="0" distL="0" distR="0" wp14:anchorId="7343C57B" wp14:editId="65183F6C">
            <wp:extent cx="3601072" cy="2770596"/>
            <wp:effectExtent l="0" t="0" r="0" b="0"/>
            <wp:docPr id="939567601" name="Bildobjekt 1" descr="En bild som visar text, karta, diagram, kartbok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9567601" name="Bildobjekt 1" descr="En bild som visar text, karta, diagram, kartbok&#10;&#10;Automatiskt genererad beskrivni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8702" cy="278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9877D3" w14:textId="680FA75F" w:rsidR="00722696" w:rsidRDefault="00722696" w:rsidP="001039D4">
      <w:pPr>
        <w:spacing w:line="276" w:lineRule="auto"/>
        <w:rPr>
          <w:lang w:val="en-GB"/>
        </w:rPr>
      </w:pPr>
      <w:r w:rsidRPr="002F1AD3">
        <w:rPr>
          <w:lang w:val="en-GB"/>
        </w:rPr>
        <w:t xml:space="preserve">Fig. </w:t>
      </w:r>
      <w:r w:rsidR="000C2D15">
        <w:rPr>
          <w:lang w:val="en-GB"/>
        </w:rPr>
        <w:t>SM</w:t>
      </w:r>
      <w:r w:rsidRPr="002F1AD3">
        <w:rPr>
          <w:lang w:val="en-GB"/>
        </w:rPr>
        <w:t xml:space="preserve">3. </w:t>
      </w:r>
      <w:r w:rsidR="009C0F07">
        <w:rPr>
          <w:lang w:val="en-GB"/>
        </w:rPr>
        <w:t xml:space="preserve">Cattle </w:t>
      </w:r>
      <w:r w:rsidR="002F1AD3" w:rsidRPr="002F1AD3">
        <w:rPr>
          <w:lang w:val="en-GB"/>
        </w:rPr>
        <w:t xml:space="preserve">density </w:t>
      </w:r>
      <w:r w:rsidR="009C0F07">
        <w:rPr>
          <w:lang w:val="en-GB"/>
        </w:rPr>
        <w:t>map</w:t>
      </w:r>
      <w:r w:rsidR="002459ED">
        <w:rPr>
          <w:lang w:val="en-GB"/>
        </w:rPr>
        <w:t>, parish</w:t>
      </w:r>
      <w:r w:rsidR="00C92958">
        <w:rPr>
          <w:lang w:val="en-GB"/>
        </w:rPr>
        <w:t xml:space="preserve">es are coloured </w:t>
      </w:r>
      <w:r w:rsidR="007917A3">
        <w:rPr>
          <w:lang w:val="en-GB"/>
        </w:rPr>
        <w:t>according to registries of vaccination of animals in 20</w:t>
      </w:r>
      <w:r w:rsidR="009F0F0B">
        <w:rPr>
          <w:lang w:val="en-GB"/>
        </w:rPr>
        <w:t>2</w:t>
      </w:r>
      <w:r w:rsidR="007917A3">
        <w:rPr>
          <w:lang w:val="en-GB"/>
        </w:rPr>
        <w:t>3</w:t>
      </w:r>
      <w:r w:rsidR="00BF7CE9">
        <w:rPr>
          <w:lang w:val="en-GB"/>
        </w:rPr>
        <w:t xml:space="preserve">, points showing the location of </w:t>
      </w:r>
      <w:r w:rsidR="00AA673D">
        <w:rPr>
          <w:lang w:val="en-GB"/>
        </w:rPr>
        <w:t xml:space="preserve">BTV serological </w:t>
      </w:r>
      <w:r w:rsidR="001A4A74">
        <w:rPr>
          <w:lang w:val="en-GB"/>
        </w:rPr>
        <w:t>registri</w:t>
      </w:r>
      <w:r w:rsidR="006D5359">
        <w:rPr>
          <w:lang w:val="en-GB"/>
        </w:rPr>
        <w:t xml:space="preserve">es between 2014 and 2022. </w:t>
      </w:r>
    </w:p>
    <w:p w14:paraId="2BDDEBB5" w14:textId="77777777" w:rsidR="00C0122C" w:rsidRDefault="00C0122C" w:rsidP="001039D4">
      <w:pPr>
        <w:spacing w:line="276" w:lineRule="auto"/>
        <w:rPr>
          <w:lang w:val="en-GB"/>
        </w:rPr>
      </w:pPr>
    </w:p>
    <w:p w14:paraId="1D03F13A" w14:textId="2BDF9670" w:rsidR="00F949F1" w:rsidRPr="00F949F1" w:rsidRDefault="00F949F1" w:rsidP="001039D4">
      <w:pPr>
        <w:spacing w:line="276" w:lineRule="auto"/>
        <w:rPr>
          <w:lang w:val="en-GB"/>
        </w:rPr>
      </w:pPr>
      <w:r w:rsidRPr="00F949F1">
        <w:rPr>
          <w:lang w:val="en-GB"/>
        </w:rPr>
        <w:lastRenderedPageBreak/>
        <w:t xml:space="preserve">A temperature rise of 2.7 degrees could shift the geographical range of ideal conditions for vectors, potentially facilitating their introduction into new areas. Parishes situated in the southern </w:t>
      </w:r>
      <w:proofErr w:type="gramStart"/>
      <w:r w:rsidRPr="00F949F1">
        <w:rPr>
          <w:lang w:val="en-GB"/>
        </w:rPr>
        <w:t>highlands</w:t>
      </w:r>
      <w:proofErr w:type="gramEnd"/>
      <w:r w:rsidRPr="00F949F1">
        <w:rPr>
          <w:lang w:val="en-GB"/>
        </w:rPr>
        <w:t xml:space="preserve"> regions, such as</w:t>
      </w:r>
      <w:r w:rsidR="008049D0">
        <w:rPr>
          <w:lang w:val="en-GB"/>
        </w:rPr>
        <w:t xml:space="preserve"> the province of</w:t>
      </w:r>
      <w:r w:rsidRPr="00F949F1">
        <w:rPr>
          <w:lang w:val="en-GB"/>
        </w:rPr>
        <w:t xml:space="preserve"> Loja, especially those at lower altitudes, might experience notable impacts. This effect could extend across transition zones from the Andean Mountains to the coastal and Amazon regions</w:t>
      </w:r>
      <w:r w:rsidR="008049D0">
        <w:rPr>
          <w:lang w:val="en-GB"/>
        </w:rPr>
        <w:t xml:space="preserve"> (</w:t>
      </w:r>
      <w:r w:rsidR="008049D0">
        <w:rPr>
          <w:lang w:val="en-GB"/>
        </w:rPr>
        <w:t>Fig. SM4</w:t>
      </w:r>
      <w:r w:rsidR="008049D0">
        <w:rPr>
          <w:lang w:val="en-GB"/>
        </w:rPr>
        <w:t>)</w:t>
      </w:r>
      <w:r w:rsidRPr="00F949F1">
        <w:rPr>
          <w:lang w:val="en-GB"/>
        </w:rPr>
        <w:t>.</w:t>
      </w:r>
    </w:p>
    <w:p w14:paraId="26444590" w14:textId="0CEE9D12" w:rsidR="000F0957" w:rsidRPr="00023479" w:rsidRDefault="00C0122C" w:rsidP="00A77E62">
      <w:pPr>
        <w:spacing w:line="276" w:lineRule="auto"/>
        <w:ind w:left="1304" w:hanging="1304"/>
        <w:jc w:val="center"/>
      </w:pPr>
      <w:r>
        <w:rPr>
          <w:noProof/>
          <w:lang w:val="en-GB"/>
        </w:rPr>
        <w:drawing>
          <wp:inline distT="0" distB="0" distL="0" distR="0" wp14:anchorId="08194C78" wp14:editId="16B57AE7">
            <wp:extent cx="4191755" cy="3222327"/>
            <wp:effectExtent l="0" t="0" r="0" b="0"/>
            <wp:docPr id="10559376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8175" cy="3227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25A164" w14:textId="29111ACC" w:rsidR="00C0122C" w:rsidRPr="002F1AD3" w:rsidRDefault="00C0122C" w:rsidP="001039D4">
      <w:pPr>
        <w:spacing w:line="276" w:lineRule="auto"/>
        <w:rPr>
          <w:lang w:val="en-GB"/>
        </w:rPr>
      </w:pPr>
      <w:r>
        <w:rPr>
          <w:lang w:val="en-GB"/>
        </w:rPr>
        <w:t xml:space="preserve">Fig. </w:t>
      </w:r>
      <w:r w:rsidR="00475B40">
        <w:rPr>
          <w:lang w:val="en-GB"/>
        </w:rPr>
        <w:t>SM4</w:t>
      </w:r>
      <w:r>
        <w:rPr>
          <w:lang w:val="en-GB"/>
        </w:rPr>
        <w:t xml:space="preserve">. </w:t>
      </w:r>
      <w:r w:rsidR="00A641FC">
        <w:rPr>
          <w:lang w:val="en-GB"/>
        </w:rPr>
        <w:t xml:space="preserve">Impact </w:t>
      </w:r>
      <w:r w:rsidR="00402339">
        <w:rPr>
          <w:lang w:val="en-GB"/>
        </w:rPr>
        <w:t xml:space="preserve">of </w:t>
      </w:r>
      <w:r w:rsidR="00475B40">
        <w:rPr>
          <w:lang w:val="en-GB"/>
        </w:rPr>
        <w:t>2.7</w:t>
      </w:r>
      <w:r w:rsidR="00402339">
        <w:rPr>
          <w:lang w:val="en-GB"/>
        </w:rPr>
        <w:t xml:space="preserve"> degrees increase </w:t>
      </w:r>
      <w:r w:rsidR="00475B40">
        <w:rPr>
          <w:lang w:val="en-GB"/>
        </w:rPr>
        <w:t>i</w:t>
      </w:r>
      <w:r w:rsidR="00402339">
        <w:rPr>
          <w:lang w:val="en-GB"/>
        </w:rPr>
        <w:t xml:space="preserve">n </w:t>
      </w:r>
      <w:r w:rsidR="00A641FC">
        <w:rPr>
          <w:lang w:val="en-GB"/>
        </w:rPr>
        <w:t xml:space="preserve">optimal temperature range </w:t>
      </w:r>
      <w:r w:rsidR="00D518C1">
        <w:rPr>
          <w:lang w:val="en-GB"/>
        </w:rPr>
        <w:t xml:space="preserve">for </w:t>
      </w:r>
      <w:proofErr w:type="spellStart"/>
      <w:r w:rsidR="00D518C1">
        <w:rPr>
          <w:lang w:val="en-GB"/>
        </w:rPr>
        <w:t>Cullicoides</w:t>
      </w:r>
      <w:proofErr w:type="spellEnd"/>
      <w:r w:rsidR="00D518C1">
        <w:rPr>
          <w:lang w:val="en-GB"/>
        </w:rPr>
        <w:t>.</w:t>
      </w:r>
    </w:p>
    <w:sectPr w:rsidR="00C0122C" w:rsidRPr="002F1AD3" w:rsidSect="00533994">
      <w:pgSz w:w="11907" w:h="16840" w:code="9"/>
      <w:pgMar w:top="1077" w:right="567" w:bottom="1077" w:left="1418" w:header="720" w:footer="720" w:gutter="0"/>
      <w:paperSrc w:first="7" w:other="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ato Black"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Nimbus Sans">
    <w:altName w:val="Cambria"/>
    <w:charset w:val="01"/>
    <w:family w:val="roman"/>
    <w:pitch w:val="default"/>
  </w:font>
  <w:font w:name="Noto Serif CJK SC">
    <w:altName w:val="Cambria"/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4E7DBF"/>
    <w:multiLevelType w:val="multilevel"/>
    <w:tmpl w:val="A09641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num w:numId="1" w16cid:durableId="1964344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1304"/>
  <w:hyphenationZone w:val="425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7E2"/>
    <w:rsid w:val="00005D67"/>
    <w:rsid w:val="00023479"/>
    <w:rsid w:val="000558EE"/>
    <w:rsid w:val="00057D81"/>
    <w:rsid w:val="00070056"/>
    <w:rsid w:val="000800B9"/>
    <w:rsid w:val="00084391"/>
    <w:rsid w:val="000A582B"/>
    <w:rsid w:val="000C2D15"/>
    <w:rsid w:val="000E7D82"/>
    <w:rsid w:val="000F0957"/>
    <w:rsid w:val="001039D4"/>
    <w:rsid w:val="00114811"/>
    <w:rsid w:val="00122839"/>
    <w:rsid w:val="001544BF"/>
    <w:rsid w:val="001A4A74"/>
    <w:rsid w:val="001B5E7D"/>
    <w:rsid w:val="001D4B74"/>
    <w:rsid w:val="001D68BC"/>
    <w:rsid w:val="0021524C"/>
    <w:rsid w:val="00230BD5"/>
    <w:rsid w:val="002459ED"/>
    <w:rsid w:val="0025648B"/>
    <w:rsid w:val="00283588"/>
    <w:rsid w:val="002976E3"/>
    <w:rsid w:val="002B7E1A"/>
    <w:rsid w:val="002C4024"/>
    <w:rsid w:val="002E3D59"/>
    <w:rsid w:val="002E6572"/>
    <w:rsid w:val="002F1AD3"/>
    <w:rsid w:val="003131E5"/>
    <w:rsid w:val="0036562B"/>
    <w:rsid w:val="00393FB9"/>
    <w:rsid w:val="003A5055"/>
    <w:rsid w:val="003B4C20"/>
    <w:rsid w:val="003D207D"/>
    <w:rsid w:val="003D6022"/>
    <w:rsid w:val="00402339"/>
    <w:rsid w:val="00475B40"/>
    <w:rsid w:val="00492E18"/>
    <w:rsid w:val="004967E2"/>
    <w:rsid w:val="004C1348"/>
    <w:rsid w:val="004C3CC3"/>
    <w:rsid w:val="004E44D1"/>
    <w:rsid w:val="00511688"/>
    <w:rsid w:val="00533994"/>
    <w:rsid w:val="00596B71"/>
    <w:rsid w:val="005F6F56"/>
    <w:rsid w:val="00632829"/>
    <w:rsid w:val="006404AF"/>
    <w:rsid w:val="0067661D"/>
    <w:rsid w:val="00686E49"/>
    <w:rsid w:val="006D5359"/>
    <w:rsid w:val="006D583B"/>
    <w:rsid w:val="006E41D7"/>
    <w:rsid w:val="006F4FEC"/>
    <w:rsid w:val="00722696"/>
    <w:rsid w:val="00755386"/>
    <w:rsid w:val="00766AD9"/>
    <w:rsid w:val="007677E4"/>
    <w:rsid w:val="007812F0"/>
    <w:rsid w:val="007917A3"/>
    <w:rsid w:val="007C7927"/>
    <w:rsid w:val="007E2986"/>
    <w:rsid w:val="007F0C98"/>
    <w:rsid w:val="007F250C"/>
    <w:rsid w:val="008049D0"/>
    <w:rsid w:val="00861FE3"/>
    <w:rsid w:val="0087368C"/>
    <w:rsid w:val="00884B66"/>
    <w:rsid w:val="008A0909"/>
    <w:rsid w:val="008A63EF"/>
    <w:rsid w:val="008B7961"/>
    <w:rsid w:val="009107A1"/>
    <w:rsid w:val="009409A0"/>
    <w:rsid w:val="009646C9"/>
    <w:rsid w:val="009746A9"/>
    <w:rsid w:val="00975D22"/>
    <w:rsid w:val="009A36CF"/>
    <w:rsid w:val="009B4F89"/>
    <w:rsid w:val="009C0F07"/>
    <w:rsid w:val="009F0F0B"/>
    <w:rsid w:val="009F2247"/>
    <w:rsid w:val="00A21E1A"/>
    <w:rsid w:val="00A61449"/>
    <w:rsid w:val="00A641FC"/>
    <w:rsid w:val="00A77E62"/>
    <w:rsid w:val="00A82A65"/>
    <w:rsid w:val="00AA673D"/>
    <w:rsid w:val="00AB65E0"/>
    <w:rsid w:val="00AC7E40"/>
    <w:rsid w:val="00BA59AD"/>
    <w:rsid w:val="00BD2D8C"/>
    <w:rsid w:val="00BF7CE9"/>
    <w:rsid w:val="00C0122C"/>
    <w:rsid w:val="00C56AE3"/>
    <w:rsid w:val="00C5752F"/>
    <w:rsid w:val="00C92958"/>
    <w:rsid w:val="00CB37E5"/>
    <w:rsid w:val="00CE7051"/>
    <w:rsid w:val="00D12114"/>
    <w:rsid w:val="00D16EA3"/>
    <w:rsid w:val="00D3502D"/>
    <w:rsid w:val="00D518C1"/>
    <w:rsid w:val="00D635AE"/>
    <w:rsid w:val="00D74B2F"/>
    <w:rsid w:val="00D82F77"/>
    <w:rsid w:val="00D91956"/>
    <w:rsid w:val="00D97C37"/>
    <w:rsid w:val="00DC2103"/>
    <w:rsid w:val="00DD1342"/>
    <w:rsid w:val="00E16298"/>
    <w:rsid w:val="00E2564F"/>
    <w:rsid w:val="00E61D8C"/>
    <w:rsid w:val="00E82CA4"/>
    <w:rsid w:val="00E9251A"/>
    <w:rsid w:val="00EA4CFD"/>
    <w:rsid w:val="00EA6198"/>
    <w:rsid w:val="00EB0F97"/>
    <w:rsid w:val="00EC3FD6"/>
    <w:rsid w:val="00EF68FF"/>
    <w:rsid w:val="00F45010"/>
    <w:rsid w:val="00F9080F"/>
    <w:rsid w:val="00F949F1"/>
    <w:rsid w:val="00FA187E"/>
    <w:rsid w:val="00FC428A"/>
    <w:rsid w:val="00FE3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6FCEFB2"/>
  <w15:chartTrackingRefBased/>
  <w15:docId w15:val="{FCB83281-052D-49C6-9A2A-443E3C51F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3FB9"/>
    <w:pPr>
      <w:spacing w:line="288" w:lineRule="auto"/>
    </w:pPr>
    <w:rPr>
      <w:rFonts w:ascii="Georgia" w:hAnsi="Georgia"/>
      <w:sz w:val="21"/>
      <w:szCs w:val="24"/>
    </w:rPr>
  </w:style>
  <w:style w:type="paragraph" w:styleId="Heading1">
    <w:name w:val="heading 1"/>
    <w:basedOn w:val="Normal"/>
    <w:next w:val="Normal"/>
    <w:link w:val="Heading1Char"/>
    <w:autoRedefine/>
    <w:qFormat/>
    <w:rsid w:val="003131E5"/>
    <w:pPr>
      <w:keepNext/>
      <w:spacing w:before="240" w:after="120" w:line="240" w:lineRule="auto"/>
      <w:outlineLvl w:val="0"/>
    </w:pPr>
    <w:rPr>
      <w:rFonts w:ascii="Lato Black" w:eastAsia="Times New Roman" w:hAnsi="Lato Black" w:cs="Arial"/>
      <w:bCs/>
      <w:color w:val="D22630"/>
      <w:kern w:val="32"/>
      <w:sz w:val="28"/>
      <w:szCs w:val="32"/>
    </w:rPr>
  </w:style>
  <w:style w:type="paragraph" w:styleId="Heading2">
    <w:name w:val="heading 2"/>
    <w:basedOn w:val="NoSpacing"/>
    <w:next w:val="Normal"/>
    <w:link w:val="Heading2Char"/>
    <w:autoRedefine/>
    <w:uiPriority w:val="9"/>
    <w:unhideWhenUsed/>
    <w:qFormat/>
    <w:rsid w:val="003131E5"/>
    <w:pPr>
      <w:spacing w:before="240" w:after="40"/>
      <w:outlineLvl w:val="1"/>
    </w:pPr>
    <w:rPr>
      <w:rFonts w:ascii="Lato Black" w:hAnsi="Lato Black" w:cs="Arial"/>
      <w:caps/>
      <w:color w:val="D22630"/>
      <w:sz w:val="20"/>
      <w:szCs w:val="1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131E5"/>
    <w:pPr>
      <w:spacing w:before="240" w:after="40" w:line="240" w:lineRule="auto"/>
      <w:outlineLvl w:val="2"/>
    </w:pPr>
    <w:rPr>
      <w:rFonts w:ascii="Lato Black" w:hAnsi="Lato Black" w:cs="Arial"/>
      <w:color w:val="D22630"/>
      <w:position w:val="1"/>
      <w:szCs w:val="2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131E5"/>
    <w:pPr>
      <w:spacing w:before="240" w:after="40" w:line="240" w:lineRule="auto"/>
      <w:outlineLvl w:val="3"/>
    </w:pPr>
    <w:rPr>
      <w:rFonts w:ascii="Lato Black" w:hAnsi="Lato Black" w:cs="Arial"/>
      <w:i/>
      <w:color w:val="D22630"/>
      <w:position w:val="1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131E5"/>
    <w:rPr>
      <w:rFonts w:ascii="Lato Black" w:eastAsia="Times New Roman" w:hAnsi="Lato Black" w:cs="Arial"/>
      <w:bCs/>
      <w:color w:val="D22630"/>
      <w:kern w:val="32"/>
      <w:sz w:val="28"/>
      <w:szCs w:val="32"/>
    </w:rPr>
  </w:style>
  <w:style w:type="paragraph" w:styleId="NoSpacing">
    <w:name w:val="No Spacing"/>
    <w:uiPriority w:val="1"/>
    <w:rsid w:val="00755386"/>
    <w:rPr>
      <w:rFonts w:ascii="Garamond" w:hAnsi="Garamond"/>
      <w:spacing w:val="-1"/>
      <w:position w:val="1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3131E5"/>
    <w:rPr>
      <w:rFonts w:ascii="Lato Black" w:hAnsi="Lato Black" w:cs="Arial"/>
      <w:caps/>
      <w:color w:val="D22630"/>
      <w:spacing w:val="-1"/>
      <w:position w:val="1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3131E5"/>
    <w:rPr>
      <w:rFonts w:ascii="Lato Black" w:hAnsi="Lato Black" w:cs="Arial"/>
      <w:color w:val="D22630"/>
      <w:spacing w:val="-1"/>
      <w:position w:val="1"/>
      <w:sz w:val="21"/>
    </w:rPr>
  </w:style>
  <w:style w:type="character" w:customStyle="1" w:styleId="Heading4Char">
    <w:name w:val="Heading 4 Char"/>
    <w:basedOn w:val="DefaultParagraphFont"/>
    <w:link w:val="Heading4"/>
    <w:uiPriority w:val="9"/>
    <w:rsid w:val="003131E5"/>
    <w:rPr>
      <w:rFonts w:ascii="Lato Black" w:hAnsi="Lato Black" w:cs="Arial"/>
      <w:i/>
      <w:color w:val="D22630"/>
      <w:spacing w:val="-1"/>
      <w:position w:val="1"/>
      <w:sz w:val="21"/>
    </w:rPr>
  </w:style>
  <w:style w:type="paragraph" w:styleId="BodyText">
    <w:name w:val="Body Text"/>
    <w:basedOn w:val="Normal"/>
    <w:link w:val="BodyTextChar"/>
    <w:autoRedefine/>
    <w:rsid w:val="009746A9"/>
    <w:pPr>
      <w:tabs>
        <w:tab w:val="left" w:pos="1136"/>
      </w:tabs>
      <w:suppressAutoHyphens/>
      <w:spacing w:before="114" w:after="114" w:line="276" w:lineRule="auto"/>
    </w:pPr>
    <w:rPr>
      <w:rFonts w:ascii="Nimbus Sans" w:eastAsia="Noto Serif CJK SC" w:hAnsi="Nimbus Sans" w:cs="Lohit Devanagari"/>
      <w:kern w:val="2"/>
      <w:sz w:val="22"/>
      <w:szCs w:val="22"/>
      <w:lang w:val="en-GB" w:eastAsia="zh-CN" w:bidi="hi-IN"/>
    </w:rPr>
  </w:style>
  <w:style w:type="character" w:customStyle="1" w:styleId="BodyTextChar">
    <w:name w:val="Body Text Char"/>
    <w:basedOn w:val="DefaultParagraphFont"/>
    <w:link w:val="BodyText"/>
    <w:rsid w:val="009746A9"/>
    <w:rPr>
      <w:rFonts w:ascii="Nimbus Sans" w:eastAsia="Noto Serif CJK SC" w:hAnsi="Nimbus Sans" w:cs="Lohit Devanagari"/>
      <w:kern w:val="2"/>
      <w:sz w:val="22"/>
      <w:szCs w:val="22"/>
      <w:lang w:val="en-GB" w:eastAsia="zh-CN" w:bidi="hi-IN"/>
    </w:rPr>
  </w:style>
  <w:style w:type="character" w:styleId="CommentReference">
    <w:name w:val="annotation reference"/>
    <w:basedOn w:val="DefaultParagraphFont"/>
    <w:uiPriority w:val="99"/>
    <w:semiHidden/>
    <w:unhideWhenUsed/>
    <w:rsid w:val="004967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967E2"/>
    <w:pPr>
      <w:suppressAutoHyphens/>
      <w:spacing w:line="240" w:lineRule="auto"/>
      <w:jc w:val="center"/>
    </w:pPr>
    <w:rPr>
      <w:rFonts w:ascii="Arial" w:eastAsia="Noto Serif CJK SC" w:hAnsi="Arial" w:cs="Mangal"/>
      <w:kern w:val="2"/>
      <w:sz w:val="20"/>
      <w:szCs w:val="18"/>
      <w:lang w:val="en-US" w:eastAsia="zh-CN" w:bidi="hi-I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967E2"/>
    <w:rPr>
      <w:rFonts w:ascii="Arial" w:eastAsia="Noto Serif CJK SC" w:hAnsi="Arial" w:cs="Mangal"/>
      <w:kern w:val="2"/>
      <w:szCs w:val="18"/>
      <w:lang w:val="en-US" w:eastAsia="zh-CN" w:bidi="hi-IN"/>
    </w:rPr>
  </w:style>
  <w:style w:type="paragraph" w:styleId="Quote">
    <w:name w:val="Quote"/>
    <w:basedOn w:val="Normal"/>
    <w:next w:val="Normal"/>
    <w:link w:val="QuoteChar"/>
    <w:uiPriority w:val="29"/>
    <w:rsid w:val="00005D67"/>
    <w:pPr>
      <w:spacing w:before="200" w:after="160"/>
      <w:ind w:left="864" w:right="864"/>
      <w:jc w:val="center"/>
    </w:pPr>
    <w:rPr>
      <w:i/>
      <w:iCs/>
      <w:color w:val="5B5D5D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5D67"/>
    <w:rPr>
      <w:rFonts w:ascii="Georgia" w:hAnsi="Georgia"/>
      <w:i/>
      <w:iCs/>
      <w:color w:val="5B5D5D" w:themeColor="text1" w:themeTint="BF"/>
      <w:sz w:val="21"/>
      <w:szCs w:val="24"/>
    </w:rPr>
  </w:style>
  <w:style w:type="character" w:styleId="Hyperlink">
    <w:name w:val="Hyperlink"/>
    <w:basedOn w:val="DefaultParagraphFont"/>
    <w:uiPriority w:val="99"/>
    <w:unhideWhenUsed/>
    <w:rsid w:val="001039D4"/>
    <w:rPr>
      <w:color w:val="3B3D3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39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285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settings" Target="settings.xml"/><Relationship Id="rId7" Type="http://schemas.openxmlformats.org/officeDocument/2006/relationships/image" Target="media/image2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"/><Relationship Id="rId11" Type="http://schemas.openxmlformats.org/officeDocument/2006/relationships/theme" Target="theme/theme1.xml"/><Relationship Id="rId5" Type="http://schemas.openxmlformats.org/officeDocument/2006/relationships/hyperlink" Target="mailto:alfredo.acosta@sva.se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-tema">
  <a:themeElements>
    <a:clrScheme name="SVA för nya 2016">
      <a:dk1>
        <a:srgbClr val="262727"/>
      </a:dk1>
      <a:lt1>
        <a:srgbClr val="FFFFFF"/>
      </a:lt1>
      <a:dk2>
        <a:srgbClr val="262727"/>
      </a:dk2>
      <a:lt2>
        <a:srgbClr val="3A3C3C"/>
      </a:lt2>
      <a:accent1>
        <a:srgbClr val="D22630"/>
      </a:accent1>
      <a:accent2>
        <a:srgbClr val="F2A900"/>
      </a:accent2>
      <a:accent3>
        <a:srgbClr val="43B02A"/>
      </a:accent3>
      <a:accent4>
        <a:srgbClr val="00A9CE"/>
      </a:accent4>
      <a:accent5>
        <a:srgbClr val="EB997E"/>
      </a:accent5>
      <a:accent6>
        <a:srgbClr val="262727"/>
      </a:accent6>
      <a:hlink>
        <a:srgbClr val="3B3D3C"/>
      </a:hlink>
      <a:folHlink>
        <a:srgbClr val="A4A7A6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3</Pages>
  <Words>562</Words>
  <Characters>3205</Characters>
  <Application>Microsoft Office Word</Application>
  <DocSecurity>0</DocSecurity>
  <Lines>26</Lines>
  <Paragraphs>7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Alfredo Acosta</dc:creator>
  <cp:keywords/>
  <dc:description/>
  <cp:lastModifiedBy>Alfredo Acosta</cp:lastModifiedBy>
  <cp:revision>80</cp:revision>
  <dcterms:created xsi:type="dcterms:W3CDTF">2024-02-04T19:51:00Z</dcterms:created>
  <dcterms:modified xsi:type="dcterms:W3CDTF">2024-03-01T17:48:00Z</dcterms:modified>
</cp:coreProperties>
</file>