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rPr>
      </w:pPr>
      <w:bookmarkStart w:id="0" w:name="_GoBack"/>
      <w:bookmarkEnd w:id="0"/>
    </w:p>
    <w:p>
      <w:pPr>
        <w:spacing w:line="360" w:lineRule="auto"/>
      </w:pPr>
      <w:r>
        <w:rPr>
          <w:rFonts w:hint="eastAsia"/>
        </w:rPr>
        <w:drawing>
          <wp:inline distT="0" distB="0" distL="114300" distR="114300">
            <wp:extent cx="5272405" cy="5193030"/>
            <wp:effectExtent l="0" t="0" r="10795" b="13970"/>
            <wp:docPr id="8" name="图片 8"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S1"/>
                    <pic:cNvPicPr>
                      <a:picLocks noChangeAspect="1"/>
                    </pic:cNvPicPr>
                  </pic:nvPicPr>
                  <pic:blipFill>
                    <a:blip r:embed="rId4"/>
                    <a:stretch>
                      <a:fillRect/>
                    </a:stretch>
                  </pic:blipFill>
                  <pic:spPr>
                    <a:xfrm>
                      <a:off x="0" y="0"/>
                      <a:ext cx="5272405" cy="5193030"/>
                    </a:xfrm>
                    <a:prstGeom prst="rect">
                      <a:avLst/>
                    </a:prstGeom>
                  </pic:spPr>
                </pic:pic>
              </a:graphicData>
            </a:graphic>
          </wp:inline>
        </w:drawing>
      </w:r>
    </w:p>
    <w:p>
      <w:pPr>
        <w:spacing w:line="360" w:lineRule="auto"/>
      </w:pPr>
      <w:r>
        <w:rPr>
          <w:rFonts w:hint="eastAsia"/>
        </w:rPr>
        <w:t xml:space="preserve">Figure S1 </w:t>
      </w:r>
      <w:r>
        <w:rPr>
          <w:rFonts w:hint="eastAsia"/>
          <w:lang w:val="en-US" w:eastAsia="zh-CN"/>
        </w:rPr>
        <w:t>P</w:t>
      </w:r>
      <w:r>
        <w:rPr>
          <w:rFonts w:hint="eastAsia"/>
        </w:rPr>
        <w:t>resents the analysis results of differentially expressed genes (DEGs) and overall survival (OS)-related genes in breast cancer tissues compared to normal tissues from the TCGA database.</w:t>
      </w:r>
    </w:p>
    <w:p>
      <w:pPr>
        <w:spacing w:line="360" w:lineRule="auto"/>
      </w:pPr>
      <w:r>
        <w:rPr>
          <w:rFonts w:hint="eastAsia"/>
        </w:rPr>
        <w:t>A. Venn diagram showing the overlap between differentially expressed genes and OS-related genes.</w:t>
      </w:r>
    </w:p>
    <w:p>
      <w:pPr>
        <w:spacing w:line="360" w:lineRule="auto"/>
      </w:pPr>
      <w:r>
        <w:rPr>
          <w:rFonts w:hint="eastAsia"/>
        </w:rPr>
        <w:t>B. Protein-protein interaction (PPI) network diagram of the top 245 screened differential genes.</w:t>
      </w:r>
    </w:p>
    <w:p>
      <w:pPr>
        <w:spacing w:line="360" w:lineRule="auto"/>
      </w:pPr>
      <w:r>
        <w:rPr>
          <w:rFonts w:hint="eastAsia"/>
        </w:rPr>
        <w:t>C. The top 15 protein molecules with the largest differential expression selected using Cytoscape software.</w:t>
      </w:r>
    </w:p>
    <w:p>
      <w:pPr>
        <w:spacing w:line="360" w:lineRule="auto"/>
      </w:pPr>
      <w:r>
        <w:rPr>
          <w:rFonts w:hint="eastAsia"/>
        </w:rPr>
        <w:drawing>
          <wp:inline distT="0" distB="0" distL="114300" distR="114300">
            <wp:extent cx="5271770" cy="5231765"/>
            <wp:effectExtent l="0" t="0" r="11430" b="635"/>
            <wp:docPr id="9" name="图片 9"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ure S2"/>
                    <pic:cNvPicPr>
                      <a:picLocks noChangeAspect="1"/>
                    </pic:cNvPicPr>
                  </pic:nvPicPr>
                  <pic:blipFill>
                    <a:blip r:embed="rId5"/>
                    <a:stretch>
                      <a:fillRect/>
                    </a:stretch>
                  </pic:blipFill>
                  <pic:spPr>
                    <a:xfrm>
                      <a:off x="0" y="0"/>
                      <a:ext cx="5271770" cy="5231765"/>
                    </a:xfrm>
                    <a:prstGeom prst="rect">
                      <a:avLst/>
                    </a:prstGeom>
                  </pic:spPr>
                </pic:pic>
              </a:graphicData>
            </a:graphic>
          </wp:inline>
        </w:drawing>
      </w:r>
    </w:p>
    <w:p>
      <w:pPr>
        <w:spacing w:line="360" w:lineRule="auto"/>
      </w:pPr>
      <w:r>
        <w:rPr>
          <w:rFonts w:hint="eastAsia"/>
        </w:rPr>
        <w:t xml:space="preserve">Figure S2 </w:t>
      </w:r>
      <w:r>
        <w:rPr>
          <w:rFonts w:hint="eastAsia"/>
          <w:lang w:val="en-US" w:eastAsia="zh-CN"/>
        </w:rPr>
        <w:t>P</w:t>
      </w:r>
      <w:r>
        <w:rPr>
          <w:rFonts w:hint="eastAsia"/>
        </w:rPr>
        <w:t>resents the subgroup analysis results of GZMK in breast cancer.</w:t>
      </w:r>
    </w:p>
    <w:p>
      <w:pPr>
        <w:spacing w:line="360" w:lineRule="auto"/>
      </w:pPr>
      <w:r>
        <w:rPr>
          <w:rFonts w:hint="eastAsia"/>
        </w:rPr>
        <w:t>A. Analysis results of ER (estrogen receptor) subtype from the GSE21653 dataset.</w:t>
      </w:r>
    </w:p>
    <w:p>
      <w:pPr>
        <w:spacing w:line="360" w:lineRule="auto"/>
      </w:pPr>
      <w:r>
        <w:rPr>
          <w:rFonts w:hint="eastAsia"/>
        </w:rPr>
        <w:t>B. Analysis results of ER (estrogen receptor) subtype from the GSE22219 dataset.</w:t>
      </w:r>
    </w:p>
    <w:p>
      <w:pPr>
        <w:spacing w:line="360" w:lineRule="auto"/>
      </w:pPr>
      <w:r>
        <w:rPr>
          <w:rFonts w:hint="eastAsia"/>
        </w:rPr>
        <w:t>C. Analysis results of ER (estrogen receptor) subtype from the GSE42568 dataset.</w:t>
      </w:r>
    </w:p>
    <w:p>
      <w:pPr>
        <w:spacing w:line="360" w:lineRule="auto"/>
      </w:pPr>
      <w:r>
        <w:rPr>
          <w:rFonts w:hint="eastAsia"/>
        </w:rPr>
        <w:t>D. Analysis results of ER (estrogen receptor) subtype from the GSE61304 dataset.</w:t>
      </w:r>
    </w:p>
    <w:p>
      <w:pPr>
        <w:spacing w:line="360" w:lineRule="auto"/>
      </w:pPr>
      <w:r>
        <w:rPr>
          <w:rFonts w:hint="eastAsia"/>
        </w:rPr>
        <w:t>E. Analysis results of HER2 (human epidermal growth factor receptor 2) subtype from the GSE16228 dataset.</w:t>
      </w:r>
    </w:p>
    <w:p>
      <w:pPr>
        <w:spacing w:line="360" w:lineRule="auto"/>
      </w:pPr>
      <w:r>
        <w:rPr>
          <w:rFonts w:hint="eastAsia"/>
        </w:rPr>
        <w:t>F. Analysis results of PR (progesterone receptor) subtype from the GSE21653 dataset.</w:t>
      </w:r>
    </w:p>
    <w:p>
      <w:pPr>
        <w:spacing w:line="360" w:lineRule="auto"/>
      </w:pPr>
      <w:r>
        <w:rPr>
          <w:rFonts w:hint="eastAsia"/>
        </w:rPr>
        <w:t>G. Analysis results of PR (progesterone receptor) subtype from the GSE61304 dataset.</w:t>
      </w:r>
    </w:p>
    <w:p>
      <w:pPr>
        <w:spacing w:line="360" w:lineRule="auto"/>
      </w:pPr>
      <w:r>
        <w:rPr>
          <w:rFonts w:hint="eastAsia"/>
        </w:rPr>
        <w:t>H. Analysis results of patients with metastasis (M1) and without metastasis (M0) from the GSE20685 dataset.</w:t>
      </w:r>
    </w:p>
    <w:p>
      <w:pPr>
        <w:spacing w:line="360" w:lineRule="auto"/>
      </w:pPr>
      <w:r>
        <w:rPr>
          <w:rFonts w:hint="eastAsia"/>
        </w:rPr>
        <w:t>I. Analysis results of GZMK expression levels in patients with effective and ineffective radiotherapy from the TCGA database.</w:t>
      </w:r>
    </w:p>
    <w:p>
      <w:pPr>
        <w:spacing w:line="360" w:lineRule="auto"/>
      </w:pPr>
      <w:r>
        <w:rPr>
          <w:rFonts w:hint="eastAsia"/>
        </w:rPr>
        <w:t>J. Analysis results of GZMK expression levels in patients with effective and ineffective paclitaxel chemotherapy from the GSE25065 dataset.</w:t>
      </w:r>
    </w:p>
    <w:p>
      <w:pPr>
        <w:spacing w:line="360" w:lineRule="auto"/>
      </w:pPr>
      <w:r>
        <w:rPr>
          <w:rFonts w:hint="eastAsia"/>
        </w:rPr>
        <w:t>K. Analysis results of GZMK expression levels in patients with effective and ineffective chemotherapy from the GSE20685 dataset.</w:t>
      </w:r>
    </w:p>
    <w:p>
      <w:pPr>
        <w:spacing w:line="360" w:lineRule="auto"/>
      </w:pPr>
      <w:r>
        <w:rPr>
          <w:rFonts w:hint="eastAsia"/>
        </w:rPr>
        <w:t>L. Analysis results of GZMK expression levels in different molecular subtypes of breast cancer from the GSE162228 dataset.</w:t>
      </w:r>
    </w:p>
    <w:p>
      <w:pPr>
        <w:spacing w:line="360" w:lineRule="auto"/>
      </w:pPr>
      <w:r>
        <w:rPr>
          <w:rFonts w:hint="eastAsia"/>
        </w:rPr>
        <w:t>M. Analysis results of GZMK expression levels in different molecular subtypes of breast cancer from the GSE21653 dataset.</w:t>
      </w:r>
    </w:p>
    <w:p>
      <w:pPr>
        <w:spacing w:line="360" w:lineRule="auto"/>
      </w:pPr>
      <w:r>
        <w:rPr>
          <w:rFonts w:hint="eastAsia"/>
        </w:rPr>
        <w:t>N. Analysis results of GZMK expression levels in different age groups of breast cancer patients from the GSE162228 dataset.</w:t>
      </w:r>
    </w:p>
    <w:p>
      <w:pPr>
        <w:spacing w:line="360" w:lineRule="auto"/>
      </w:pPr>
      <w:r>
        <w:rPr>
          <w:rFonts w:hint="eastAsia"/>
        </w:rPr>
        <w:t>O. Analysis results of GZMK expression levels in different stages of breast cancer from the TCGA database.</w:t>
      </w:r>
    </w:p>
    <w:p>
      <w:pPr>
        <w:spacing w:line="360" w:lineRule="auto"/>
      </w:pPr>
      <w:r>
        <w:rPr>
          <w:rFonts w:hint="eastAsia"/>
        </w:rPr>
        <w:drawing>
          <wp:inline distT="0" distB="0" distL="114300" distR="114300">
            <wp:extent cx="5269865" cy="3814445"/>
            <wp:effectExtent l="0" t="0" r="13335" b="20955"/>
            <wp:docPr id="10" name="图片 10"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ure S3"/>
                    <pic:cNvPicPr>
                      <a:picLocks noChangeAspect="1"/>
                    </pic:cNvPicPr>
                  </pic:nvPicPr>
                  <pic:blipFill>
                    <a:blip r:embed="rId6"/>
                    <a:stretch>
                      <a:fillRect/>
                    </a:stretch>
                  </pic:blipFill>
                  <pic:spPr>
                    <a:xfrm>
                      <a:off x="0" y="0"/>
                      <a:ext cx="5269865" cy="3814445"/>
                    </a:xfrm>
                    <a:prstGeom prst="rect">
                      <a:avLst/>
                    </a:prstGeom>
                  </pic:spPr>
                </pic:pic>
              </a:graphicData>
            </a:graphic>
          </wp:inline>
        </w:drawing>
      </w:r>
    </w:p>
    <w:p>
      <w:pPr>
        <w:spacing w:line="360" w:lineRule="auto"/>
      </w:pPr>
      <w:r>
        <w:rPr>
          <w:rFonts w:hint="eastAsia"/>
        </w:rPr>
        <w:t xml:space="preserve">Figure S3 </w:t>
      </w:r>
      <w:r>
        <w:rPr>
          <w:rFonts w:hint="eastAsia"/>
          <w:lang w:val="en-US" w:eastAsia="zh-CN"/>
        </w:rPr>
        <w:t>I</w:t>
      </w:r>
      <w:r>
        <w:rPr>
          <w:rFonts w:hint="eastAsia"/>
        </w:rPr>
        <w:t>llustrates the analysis of the relationship between GZMK and overall survival (OS) in breast cancer patients using the Kaplan-Meier Plotter database.</w:t>
      </w:r>
    </w:p>
    <w:p>
      <w:pPr>
        <w:spacing w:line="360" w:lineRule="auto"/>
      </w:pPr>
      <w:r>
        <w:rPr>
          <w:rFonts w:hint="eastAsia"/>
        </w:rPr>
        <w:t>A. The impact of GZMK on OS in all breast cancer patients.</w:t>
      </w:r>
    </w:p>
    <w:p>
      <w:pPr>
        <w:spacing w:line="360" w:lineRule="auto"/>
      </w:pPr>
      <w:r>
        <w:rPr>
          <w:rFonts w:hint="eastAsia"/>
        </w:rPr>
        <w:t>B. The impact of GZMK on OS in triple-negative breast cancer (TNBC) patients.</w:t>
      </w:r>
    </w:p>
    <w:p>
      <w:pPr>
        <w:spacing w:line="360" w:lineRule="auto"/>
      </w:pPr>
      <w:r>
        <w:rPr>
          <w:rFonts w:hint="eastAsia"/>
        </w:rPr>
        <w:t>C. The impact of GZMK on OS in Luminal A subtype breast cancer patients.</w:t>
      </w:r>
    </w:p>
    <w:p>
      <w:pPr>
        <w:spacing w:line="360" w:lineRule="auto"/>
      </w:pPr>
      <w:r>
        <w:rPr>
          <w:rFonts w:hint="eastAsia"/>
        </w:rPr>
        <w:t>D. The impact of GZMK on OS in Luminal B subtype breast cancer patients.</w:t>
      </w:r>
    </w:p>
    <w:p>
      <w:pPr>
        <w:spacing w:line="360" w:lineRule="auto"/>
      </w:pPr>
      <w:r>
        <w:rPr>
          <w:rFonts w:hint="eastAsia"/>
        </w:rPr>
        <w:t>E. The impact of GZMK on OS in HER-2 positive breast cancer patients.</w:t>
      </w:r>
    </w:p>
    <w:p>
      <w:pPr>
        <w:spacing w:line="360" w:lineRule="auto"/>
      </w:pPr>
      <w:r>
        <w:rPr>
          <w:rFonts w:hint="eastAsia"/>
        </w:rPr>
        <w:drawing>
          <wp:inline distT="0" distB="0" distL="114300" distR="114300">
            <wp:extent cx="5272405" cy="3799205"/>
            <wp:effectExtent l="0" t="0" r="10795" b="10795"/>
            <wp:docPr id="11" name="图片 11"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ure S4"/>
                    <pic:cNvPicPr>
                      <a:picLocks noChangeAspect="1"/>
                    </pic:cNvPicPr>
                  </pic:nvPicPr>
                  <pic:blipFill>
                    <a:blip r:embed="rId7"/>
                    <a:stretch>
                      <a:fillRect/>
                    </a:stretch>
                  </pic:blipFill>
                  <pic:spPr>
                    <a:xfrm>
                      <a:off x="0" y="0"/>
                      <a:ext cx="5272405" cy="3799205"/>
                    </a:xfrm>
                    <a:prstGeom prst="rect">
                      <a:avLst/>
                    </a:prstGeom>
                  </pic:spPr>
                </pic:pic>
              </a:graphicData>
            </a:graphic>
          </wp:inline>
        </w:drawing>
      </w:r>
    </w:p>
    <w:p>
      <w:pPr>
        <w:spacing w:line="360" w:lineRule="auto"/>
      </w:pPr>
      <w:r>
        <w:rPr>
          <w:rFonts w:hint="eastAsia"/>
        </w:rPr>
        <w:t xml:space="preserve">Figure S4 </w:t>
      </w:r>
      <w:r>
        <w:rPr>
          <w:rFonts w:hint="eastAsia"/>
          <w:lang w:val="en-US" w:eastAsia="zh-CN"/>
        </w:rPr>
        <w:t>D</w:t>
      </w:r>
      <w:r>
        <w:rPr>
          <w:rFonts w:hint="eastAsia"/>
        </w:rPr>
        <w:t>epicts the analysis of the relationship between GZMK and relapse-free survival (RFS) in breast cancer patients using the Kaplan-Meier Plotter database.</w:t>
      </w:r>
    </w:p>
    <w:p>
      <w:pPr>
        <w:spacing w:line="360" w:lineRule="auto"/>
      </w:pPr>
      <w:r>
        <w:rPr>
          <w:rFonts w:hint="eastAsia"/>
        </w:rPr>
        <w:t>A. The impact of GZMK on RFS in all breast cancer patients.</w:t>
      </w:r>
    </w:p>
    <w:p>
      <w:pPr>
        <w:spacing w:line="360" w:lineRule="auto"/>
      </w:pPr>
      <w:r>
        <w:rPr>
          <w:rFonts w:hint="eastAsia"/>
        </w:rPr>
        <w:t>B. The impact of GZMK on RFS in triple-negative breast cancer (TNBC) patients.</w:t>
      </w:r>
    </w:p>
    <w:p>
      <w:pPr>
        <w:spacing w:line="360" w:lineRule="auto"/>
      </w:pPr>
      <w:r>
        <w:rPr>
          <w:rFonts w:hint="eastAsia"/>
        </w:rPr>
        <w:t>C. The impact of GZMK on RFS in Luminal A subtype breast cancer patients.</w:t>
      </w:r>
    </w:p>
    <w:p>
      <w:pPr>
        <w:spacing w:line="360" w:lineRule="auto"/>
      </w:pPr>
      <w:r>
        <w:rPr>
          <w:rFonts w:hint="eastAsia"/>
        </w:rPr>
        <w:t>D. The impact of GZMK on RFS in Luminal B subtype breast cancer patients.</w:t>
      </w:r>
    </w:p>
    <w:p>
      <w:pPr>
        <w:spacing w:line="360" w:lineRule="auto"/>
      </w:pPr>
      <w:r>
        <w:rPr>
          <w:rFonts w:hint="eastAsia"/>
        </w:rPr>
        <w:t>E. The impact of GZMK on RFS in HER-2 positive breast cancer patients.</w:t>
      </w:r>
    </w:p>
    <w:p>
      <w:pPr>
        <w:spacing w:line="360" w:lineRule="auto"/>
      </w:pPr>
      <w:r>
        <w:rPr>
          <w:rFonts w:hint="eastAsia"/>
        </w:rPr>
        <w:drawing>
          <wp:inline distT="0" distB="0" distL="114300" distR="114300">
            <wp:extent cx="5272405" cy="3086735"/>
            <wp:effectExtent l="0" t="0" r="10795" b="12065"/>
            <wp:docPr id="12" name="图片 12"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ure S5"/>
                    <pic:cNvPicPr>
                      <a:picLocks noChangeAspect="1"/>
                    </pic:cNvPicPr>
                  </pic:nvPicPr>
                  <pic:blipFill>
                    <a:blip r:embed="rId8"/>
                    <a:stretch>
                      <a:fillRect/>
                    </a:stretch>
                  </pic:blipFill>
                  <pic:spPr>
                    <a:xfrm>
                      <a:off x="0" y="0"/>
                      <a:ext cx="5272405" cy="3086735"/>
                    </a:xfrm>
                    <a:prstGeom prst="rect">
                      <a:avLst/>
                    </a:prstGeom>
                  </pic:spPr>
                </pic:pic>
              </a:graphicData>
            </a:graphic>
          </wp:inline>
        </w:drawing>
      </w:r>
    </w:p>
    <w:p>
      <w:pPr>
        <w:spacing w:line="360" w:lineRule="auto"/>
      </w:pPr>
      <w:r>
        <w:rPr>
          <w:rFonts w:hint="eastAsia"/>
        </w:rPr>
        <w:t xml:space="preserve">Figure S5 </w:t>
      </w:r>
      <w:r>
        <w:rPr>
          <w:rFonts w:hint="eastAsia"/>
          <w:lang w:val="en-US" w:eastAsia="zh-CN"/>
        </w:rPr>
        <w:t>P</w:t>
      </w:r>
      <w:r>
        <w:rPr>
          <w:rFonts w:hint="eastAsia"/>
        </w:rPr>
        <w:t>resents the analysis of Gene Ontology (GO), Kyoto Encyclopedia of Genes and Genomes (KEGG), and Gene Set Variation Analysis (GSVA) for the intersection genes (245 genes) obtained from the differential expression genes and survival difference genes.</w:t>
      </w:r>
    </w:p>
    <w:p>
      <w:pPr>
        <w:spacing w:line="360" w:lineRule="auto"/>
      </w:pPr>
      <w:r>
        <w:rPr>
          <w:rFonts w:hint="eastAsia"/>
        </w:rPr>
        <w:t>A. Results of the GO analysis.</w:t>
      </w:r>
    </w:p>
    <w:p>
      <w:pPr>
        <w:spacing w:line="360" w:lineRule="auto"/>
      </w:pPr>
      <w:r>
        <w:rPr>
          <w:rFonts w:hint="eastAsia"/>
        </w:rPr>
        <w:t>B. Results of the KEGG analysis.</w:t>
      </w:r>
    </w:p>
    <w:p>
      <w:pPr>
        <w:spacing w:line="360" w:lineRule="auto"/>
      </w:pPr>
      <w:r>
        <w:rPr>
          <w:rFonts w:hint="eastAsia"/>
        </w:rPr>
        <w:t>C. Results of the GSVA analysis.</w:t>
      </w:r>
    </w:p>
    <w:p>
      <w:pPr>
        <w:spacing w:line="360" w:lineRule="auto"/>
      </w:pPr>
      <w:r>
        <w:rPr>
          <w:rFonts w:hint="eastAsia"/>
        </w:rPr>
        <w:drawing>
          <wp:inline distT="0" distB="0" distL="114300" distR="114300">
            <wp:extent cx="5269865" cy="5797550"/>
            <wp:effectExtent l="0" t="0" r="13335" b="19050"/>
            <wp:docPr id="13" name="图片 13" descr="Figure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igure S6"/>
                    <pic:cNvPicPr>
                      <a:picLocks noChangeAspect="1"/>
                    </pic:cNvPicPr>
                  </pic:nvPicPr>
                  <pic:blipFill>
                    <a:blip r:embed="rId9"/>
                    <a:stretch>
                      <a:fillRect/>
                    </a:stretch>
                  </pic:blipFill>
                  <pic:spPr>
                    <a:xfrm>
                      <a:off x="0" y="0"/>
                      <a:ext cx="5269865" cy="5797550"/>
                    </a:xfrm>
                    <a:prstGeom prst="rect">
                      <a:avLst/>
                    </a:prstGeom>
                  </pic:spPr>
                </pic:pic>
              </a:graphicData>
            </a:graphic>
          </wp:inline>
        </w:drawing>
      </w:r>
    </w:p>
    <w:p>
      <w:pPr>
        <w:spacing w:line="360" w:lineRule="auto"/>
      </w:pPr>
      <w:r>
        <w:rPr>
          <w:rFonts w:hint="eastAsia"/>
        </w:rPr>
        <w:t xml:space="preserve">Figure S6 </w:t>
      </w:r>
      <w:r>
        <w:rPr>
          <w:rFonts w:hint="eastAsia"/>
          <w:lang w:val="en-US" w:eastAsia="zh-CN"/>
        </w:rPr>
        <w:t>D</w:t>
      </w:r>
      <w:r>
        <w:rPr>
          <w:rFonts w:hint="eastAsia"/>
        </w:rPr>
        <w:t>epicts the Gene Ontology (GO) and Kyoto Encyclopedia of Genes and Genomes (KEGG) bar plots resulting from the overrepresentation analysis (ORA) of GZMK in The Cancer Genome Atlas (TCGA) database and 19 Gene Expression Omnibus (GEO) datasets (GSE11121, GSE12093, GSE162228, GSE17705, GSE20685, GSE20711, GSE21653, GSE22219, GSE25055, GSE25065, GSE42568, GSE45255, GSE48390, GSE58812, GSE61304, GSE7390, GSE88770, GSE97342, and GSE9893).</w:t>
      </w:r>
    </w:p>
    <w:p>
      <w:pPr>
        <w:spacing w:line="360" w:lineRule="auto"/>
      </w:pPr>
      <w:r>
        <w:rPr>
          <w:rFonts w:hint="eastAsia"/>
        </w:rPr>
        <w:t>A. GO bar plot.</w:t>
      </w:r>
    </w:p>
    <w:p>
      <w:pPr>
        <w:spacing w:line="360" w:lineRule="auto"/>
      </w:pPr>
      <w:r>
        <w:rPr>
          <w:rFonts w:hint="eastAsia"/>
        </w:rPr>
        <w:t>B. KEGG bar plot.</w:t>
      </w:r>
    </w:p>
    <w:p>
      <w:pPr>
        <w:spacing w:line="360" w:lineRule="auto"/>
      </w:pPr>
      <w:r>
        <w:rPr>
          <w:rFonts w:hint="eastAsia"/>
        </w:rPr>
        <w:drawing>
          <wp:inline distT="0" distB="0" distL="114300" distR="114300">
            <wp:extent cx="5269230" cy="5304790"/>
            <wp:effectExtent l="0" t="0" r="13970" b="3810"/>
            <wp:docPr id="14" name="图片 14" descr="Figure 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ure S7"/>
                    <pic:cNvPicPr>
                      <a:picLocks noChangeAspect="1"/>
                    </pic:cNvPicPr>
                  </pic:nvPicPr>
                  <pic:blipFill>
                    <a:blip r:embed="rId10"/>
                    <a:stretch>
                      <a:fillRect/>
                    </a:stretch>
                  </pic:blipFill>
                  <pic:spPr>
                    <a:xfrm>
                      <a:off x="0" y="0"/>
                      <a:ext cx="5269230" cy="5304790"/>
                    </a:xfrm>
                    <a:prstGeom prst="rect">
                      <a:avLst/>
                    </a:prstGeom>
                  </pic:spPr>
                </pic:pic>
              </a:graphicData>
            </a:graphic>
          </wp:inline>
        </w:drawing>
      </w:r>
    </w:p>
    <w:p>
      <w:pPr>
        <w:spacing w:line="360" w:lineRule="auto"/>
      </w:pPr>
      <w:r>
        <w:rPr>
          <w:rFonts w:hint="eastAsia"/>
        </w:rPr>
        <w:t xml:space="preserve">Figure S7 </w:t>
      </w:r>
      <w:r>
        <w:rPr>
          <w:rFonts w:hint="eastAsia"/>
          <w:lang w:val="en-US" w:eastAsia="zh-CN"/>
        </w:rPr>
        <w:t>P</w:t>
      </w:r>
      <w:r>
        <w:rPr>
          <w:rFonts w:hint="eastAsia"/>
        </w:rPr>
        <w:t>resents the results of Gene Set Enrichment Analysis (GSEA) conducted on The Cancer Genome Atlas (TCGA) database and 19 Gene Expression Omnibus (GEO) datasets (GSE11121, GSE12093, GSE162228, GSE17705, GSE20685, GSE20711, GSE21653, GSE22219, GSE25055, GSE25065, GSE42568, GSE45255, GSE48390, GSE58812, GSE61304, GSE7390, GSE88770, GSE97342, and GSE9893).</w:t>
      </w:r>
    </w:p>
    <w:p>
      <w:pPr>
        <w:spacing w:line="360" w:lineRule="auto"/>
      </w:pPr>
      <w:r>
        <w:rPr>
          <w:rFonts w:hint="eastAsia"/>
        </w:rPr>
        <w:t>A. GSEA-GO analysis ridge plot.</w:t>
      </w:r>
    </w:p>
    <w:p>
      <w:pPr>
        <w:spacing w:line="360" w:lineRule="auto"/>
      </w:pPr>
      <w:r>
        <w:rPr>
          <w:rFonts w:hint="eastAsia"/>
        </w:rPr>
        <w:t>B. GSEA-KEGG analysis ridge plot.</w:t>
      </w:r>
    </w:p>
    <w:p>
      <w:pPr>
        <w:spacing w:line="360" w:lineRule="auto"/>
      </w:pPr>
      <w:r>
        <w:rPr>
          <w:rFonts w:hint="eastAsia"/>
        </w:rPr>
        <w:t>C. GSEA-Hallmark analysis ridge plot.</w:t>
      </w:r>
    </w:p>
    <w:p>
      <w:pPr>
        <w:spacing w:line="360" w:lineRule="auto"/>
      </w:pPr>
      <w:r>
        <w:rPr>
          <w:rFonts w:hint="eastAsia"/>
        </w:rPr>
        <w:t>D. TCGA database GSEA-GO analysis results.</w:t>
      </w:r>
    </w:p>
    <w:p>
      <w:pPr>
        <w:spacing w:line="360" w:lineRule="auto"/>
      </w:pPr>
      <w:r>
        <w:rPr>
          <w:rFonts w:hint="eastAsia"/>
        </w:rPr>
        <w:t>E. TCGA database GSEA-KEGG analysis results.</w:t>
      </w:r>
    </w:p>
    <w:p>
      <w:pPr>
        <w:spacing w:line="360" w:lineRule="auto"/>
      </w:pPr>
      <w:r>
        <w:rPr>
          <w:rFonts w:hint="eastAsia"/>
        </w:rPr>
        <w:drawing>
          <wp:inline distT="0" distB="0" distL="114300" distR="114300">
            <wp:extent cx="5269865" cy="3997960"/>
            <wp:effectExtent l="0" t="0" r="13335" b="15240"/>
            <wp:docPr id="15" name="图片 15" descr="Figure 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igure S8"/>
                    <pic:cNvPicPr>
                      <a:picLocks noChangeAspect="1"/>
                    </pic:cNvPicPr>
                  </pic:nvPicPr>
                  <pic:blipFill>
                    <a:blip r:embed="rId11"/>
                    <a:stretch>
                      <a:fillRect/>
                    </a:stretch>
                  </pic:blipFill>
                  <pic:spPr>
                    <a:xfrm>
                      <a:off x="0" y="0"/>
                      <a:ext cx="5269865" cy="3997960"/>
                    </a:xfrm>
                    <a:prstGeom prst="rect">
                      <a:avLst/>
                    </a:prstGeom>
                  </pic:spPr>
                </pic:pic>
              </a:graphicData>
            </a:graphic>
          </wp:inline>
        </w:drawing>
      </w:r>
    </w:p>
    <w:p>
      <w:pPr>
        <w:spacing w:line="360" w:lineRule="auto"/>
      </w:pPr>
      <w:r>
        <w:rPr>
          <w:rFonts w:hint="eastAsia"/>
        </w:rPr>
        <w:t xml:space="preserve">Figure S8 </w:t>
      </w:r>
      <w:r>
        <w:rPr>
          <w:rFonts w:hint="eastAsia"/>
          <w:lang w:val="en-US" w:eastAsia="zh-CN"/>
        </w:rPr>
        <w:t>S</w:t>
      </w:r>
      <w:r>
        <w:rPr>
          <w:rFonts w:hint="eastAsia"/>
        </w:rPr>
        <w:t>hows the results of the analysis of the correlation between GZMK expression levels and major immune indicators in The Cancer Genome Atlas (TCGA) database.</w:t>
      </w:r>
    </w:p>
    <w:p>
      <w:pPr>
        <w:spacing w:line="360" w:lineRule="auto"/>
      </w:pPr>
      <w:r>
        <w:rPr>
          <w:rFonts w:hint="eastAsia"/>
        </w:rPr>
        <w:t>A. Correlation between GZMK expression levels and ESTIMATE Score estimate.</w:t>
      </w:r>
    </w:p>
    <w:p>
      <w:pPr>
        <w:spacing w:line="360" w:lineRule="auto"/>
      </w:pPr>
      <w:r>
        <w:rPr>
          <w:rFonts w:hint="eastAsia"/>
        </w:rPr>
        <w:t>B. Correlation between GZMK expression levels and Immune Score estimate.</w:t>
      </w:r>
    </w:p>
    <w:p>
      <w:pPr>
        <w:spacing w:line="360" w:lineRule="auto"/>
      </w:pPr>
      <w:r>
        <w:rPr>
          <w:rFonts w:hint="eastAsia"/>
        </w:rPr>
        <w:t>C. Correlation between GZMK expression levels and Stromal Score estimate.</w:t>
      </w:r>
    </w:p>
    <w:p>
      <w:pPr>
        <w:spacing w:line="360" w:lineRule="auto"/>
      </w:pPr>
      <w:r>
        <w:rPr>
          <w:rFonts w:hint="eastAsia"/>
        </w:rPr>
        <w:t>D. Analysis of the correlation between GZMK expression levels and CD8 T cells using the MCPcounter algorithm.</w:t>
      </w:r>
    </w:p>
    <w:p>
      <w:pPr>
        <w:spacing w:line="360" w:lineRule="auto"/>
      </w:pPr>
      <w:r>
        <w:rPr>
          <w:rFonts w:hint="eastAsia"/>
        </w:rPr>
        <w:t>E. Analysis of the correlation between GZMK expression levels and CD8 T cells using the xCell algorithm.</w:t>
      </w:r>
    </w:p>
    <w:p>
      <w:pPr>
        <w:spacing w:line="360" w:lineRule="auto"/>
      </w:pPr>
      <w:r>
        <w:rPr>
          <w:rFonts w:hint="eastAsia"/>
        </w:rPr>
        <w:t>F. Analysis of the correlation between GZMK expression levels and CD8 T cells using the TIMER algorithm.</w:t>
      </w:r>
    </w:p>
    <w:p>
      <w:pPr>
        <w:spacing w:line="360" w:lineRule="auto"/>
      </w:pPr>
      <w:r>
        <w:rPr>
          <w:rFonts w:hint="eastAsia"/>
        </w:rPr>
        <w:drawing>
          <wp:inline distT="0" distB="0" distL="114300" distR="114300">
            <wp:extent cx="5273675" cy="6052185"/>
            <wp:effectExtent l="0" t="0" r="9525" b="18415"/>
            <wp:docPr id="16" name="图片 16" descr="Figure 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ure S9"/>
                    <pic:cNvPicPr>
                      <a:picLocks noChangeAspect="1"/>
                    </pic:cNvPicPr>
                  </pic:nvPicPr>
                  <pic:blipFill>
                    <a:blip r:embed="rId12"/>
                    <a:stretch>
                      <a:fillRect/>
                    </a:stretch>
                  </pic:blipFill>
                  <pic:spPr>
                    <a:xfrm>
                      <a:off x="0" y="0"/>
                      <a:ext cx="5273675" cy="6052185"/>
                    </a:xfrm>
                    <a:prstGeom prst="rect">
                      <a:avLst/>
                    </a:prstGeom>
                  </pic:spPr>
                </pic:pic>
              </a:graphicData>
            </a:graphic>
          </wp:inline>
        </w:drawing>
      </w:r>
    </w:p>
    <w:p>
      <w:pPr>
        <w:spacing w:line="360" w:lineRule="auto"/>
      </w:pPr>
      <w:r>
        <w:rPr>
          <w:rFonts w:hint="eastAsia"/>
        </w:rPr>
        <w:t xml:space="preserve">Figure S9 </w:t>
      </w:r>
      <w:r>
        <w:rPr>
          <w:rFonts w:hint="eastAsia"/>
          <w:lang w:val="en-US" w:eastAsia="zh-CN"/>
        </w:rPr>
        <w:t>P</w:t>
      </w:r>
      <w:r>
        <w:rPr>
          <w:rFonts w:hint="eastAsia"/>
        </w:rPr>
        <w:t>resents the results of the drug sensitivity analysis of GZMK.</w:t>
      </w:r>
    </w:p>
    <w:p>
      <w:pPr>
        <w:spacing w:line="360" w:lineRule="auto"/>
      </w:pPr>
      <w:r>
        <w:rPr>
          <w:rFonts w:hint="eastAsia"/>
        </w:rPr>
        <w:t>A. Analysis results from the GDSC_v1 database.</w:t>
      </w:r>
    </w:p>
    <w:p>
      <w:pPr>
        <w:spacing w:line="360" w:lineRule="auto"/>
      </w:pPr>
      <w:r>
        <w:rPr>
          <w:rFonts w:hint="eastAsia"/>
        </w:rPr>
        <w:t>B. Analysis results from the CTRP database.</w:t>
      </w:r>
    </w:p>
    <w:p>
      <w:pPr>
        <w:spacing w:line="360" w:lineRule="auto"/>
      </w:pPr>
      <w:r>
        <w:rPr>
          <w:rFonts w:hint="eastAsia"/>
        </w:rPr>
        <w:t>C. Analysis results from the PRISM database.</w:t>
      </w:r>
    </w:p>
    <w:p>
      <w:pPr>
        <w:spacing w:line="360" w:lineRule="auto"/>
      </w:pPr>
      <w:r>
        <w:rPr>
          <w:rFonts w:hint="eastAsia"/>
        </w:rPr>
        <w:t>D. Analysis results of the correlation between GZMK expression levels and tamoxifen IC50 in the GSE17705 dataset.</w:t>
      </w:r>
    </w:p>
    <w:p>
      <w:pPr>
        <w:spacing w:line="360" w:lineRule="auto"/>
      </w:pPr>
      <w:r>
        <w:rPr>
          <w:rFonts w:hint="eastAsia"/>
        </w:rPr>
        <w:t>E. Analysis results of the correlation between GZMK expression levels and tamoxifen IC50 in the GSE20685 dataset.</w:t>
      </w:r>
    </w:p>
    <w:p>
      <w:pPr>
        <w:spacing w:line="360" w:lineRule="auto"/>
      </w:pPr>
      <w:r>
        <w:rPr>
          <w:rFonts w:hint="eastAsia"/>
        </w:rPr>
        <w:t>F. Analysis results of the correlation between GZMK expression levels and tamoxifen IC50 in the GSE45255 dataset.</w:t>
      </w:r>
    </w:p>
    <w:p>
      <w:pPr>
        <w:spacing w:line="360" w:lineRule="auto"/>
      </w:pPr>
      <w:r>
        <w:rPr>
          <w:rFonts w:hint="eastAsia"/>
        </w:rPr>
        <w:t>G. Analysis results of the correlation between GZMK expression levels and platinum IC50 in the GSE22219 dataset.</w:t>
      </w:r>
    </w:p>
    <w:p>
      <w:pPr>
        <w:spacing w:line="360" w:lineRule="auto"/>
      </w:pPr>
      <w:r>
        <w:rPr>
          <w:rFonts w:hint="eastAsia"/>
        </w:rPr>
        <w:t>H. Analysis results of the correlation between GZMK expression levels and platinum IC50 in the GSE45255 dataset.</w:t>
      </w:r>
    </w:p>
    <w:p>
      <w:pPr>
        <w:spacing w:line="360" w:lineRule="auto"/>
        <w:rPr>
          <w:rFonts w:hint="eastAsia"/>
        </w:rPr>
      </w:pPr>
      <w:r>
        <w:rPr>
          <w:rFonts w:hint="eastAsia"/>
        </w:rPr>
        <w:t>I. Analysis results of the correlation between GZMK expression levels and platinum IC50 in the GSE48390 dataset.</w:t>
      </w:r>
    </w:p>
    <w:p>
      <w:pPr>
        <w:spacing w:line="360" w:lineRule="auto"/>
        <w:rPr>
          <w:rFonts w:hint="eastAsia"/>
        </w:rPr>
      </w:pPr>
    </w:p>
    <w:p>
      <w:pPr>
        <w:rPr>
          <w:rFonts w:hint="eastAsia"/>
          <w:lang w:val="en-US" w:eastAsia="zh-CN"/>
        </w:rPr>
      </w:pPr>
      <w:r>
        <w:rPr>
          <w:rFonts w:hint="eastAsia" w:ascii="Times New Roman" w:hAnsi="Times New Roman"/>
          <w:lang w:val="en-US" w:eastAsia="zh-CN"/>
        </w:rPr>
        <w:t>Table</w:t>
      </w:r>
      <w:r>
        <w:rPr>
          <w:rFonts w:hint="eastAsia"/>
          <w:lang w:val="en-US" w:eastAsia="zh-CN"/>
        </w:rPr>
        <w:t xml:space="preserve"> S</w:t>
      </w:r>
      <w:r>
        <w:rPr>
          <w:rFonts w:hint="eastAsia" w:ascii="Times New Roman" w:hAnsi="Times New Roman"/>
          <w:lang w:val="en-US" w:eastAsia="zh-CN"/>
        </w:rPr>
        <w:t>2 Clinicopathological characteristics of breast cancer patients divided into High- and Low-GZMK expression groups</w:t>
      </w:r>
      <w:r>
        <w:rPr>
          <w:rFonts w:hint="eastAsia"/>
          <w:lang w:val="en-US" w:eastAsia="zh-CN"/>
        </w:rPr>
        <w:t xml:space="preserve"> from TCGA</w:t>
      </w:r>
    </w:p>
    <w:tbl>
      <w:tblPr>
        <w:tblStyle w:val="2"/>
        <w:tblW w:w="8377"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2685"/>
        <w:gridCol w:w="2279"/>
        <w:gridCol w:w="2327"/>
        <w:gridCol w:w="1086"/>
      </w:tblGrid>
      <w:tr>
        <w:trPr>
          <w:trHeight w:val="100" w:hRule="atLeast"/>
          <w:tblHeader/>
        </w:trPr>
        <w:tc>
          <w:tcPr>
            <w:tcW w:w="0" w:type="auto"/>
            <w:tcBorders>
              <w:bottom w:val="single" w:color="auto" w:sz="4" w:space="0"/>
            </w:tcBorders>
            <w:shd w:val="clear" w:color="auto" w:fill="FFFFFF"/>
            <w:tcMar>
              <w:top w:w="100" w:type="dxa"/>
              <w:left w:w="100" w:type="dxa"/>
              <w:bottom w:w="120" w:type="dxa"/>
              <w:right w:w="100" w:type="dxa"/>
            </w:tcMar>
            <w:vAlign w:val="bottom"/>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Bold" w:hAnsi="Times New Roman Bold" w:cs="Times New Roman Bold"/>
                <w:b/>
                <w:bCs/>
                <w:lang w:val="en-US" w:eastAsia="zh-CN"/>
              </w:rPr>
            </w:pPr>
            <w:r>
              <w:rPr>
                <w:rFonts w:hint="default" w:ascii="Times New Roman Bold" w:hAnsi="Times New Roman Bold" w:cs="Times New Roman Bold"/>
                <w:b/>
                <w:bCs/>
                <w:lang w:val="en-US" w:eastAsia="zh-CN"/>
              </w:rPr>
              <w:t>Characteristic</w:t>
            </w:r>
          </w:p>
        </w:tc>
        <w:tc>
          <w:tcPr>
            <w:tcW w:w="0" w:type="auto"/>
            <w:tcBorders>
              <w:bottom w:val="single" w:color="auto" w:sz="4" w:space="0"/>
            </w:tcBorders>
            <w:shd w:val="clear" w:color="auto" w:fill="FFFFFF"/>
            <w:tcMar>
              <w:top w:w="100" w:type="dxa"/>
              <w:left w:w="100" w:type="dxa"/>
              <w:bottom w:w="120" w:type="dxa"/>
              <w:right w:w="100" w:type="dxa"/>
            </w:tcMar>
            <w:vAlign w:val="bottom"/>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Bold" w:hAnsi="Times New Roman Bold" w:cs="Times New Roman Bold"/>
                <w:b/>
                <w:bCs/>
                <w:lang w:val="en-US" w:eastAsia="zh-CN"/>
              </w:rPr>
            </w:pPr>
            <w:r>
              <w:rPr>
                <w:rFonts w:hint="default" w:ascii="Times New Roman Bold" w:hAnsi="Times New Roman Bold" w:cs="Times New Roman Bold"/>
                <w:b/>
                <w:bCs/>
                <w:lang w:val="en-US" w:eastAsia="zh-CN"/>
              </w:rPr>
              <w:t>GZMK_Low, N = 265</w:t>
            </w:r>
          </w:p>
        </w:tc>
        <w:tc>
          <w:tcPr>
            <w:tcW w:w="0" w:type="auto"/>
            <w:tcBorders>
              <w:bottom w:val="single" w:color="auto" w:sz="4" w:space="0"/>
            </w:tcBorders>
            <w:shd w:val="clear" w:color="auto" w:fill="FFFFFF"/>
            <w:tcMar>
              <w:top w:w="100" w:type="dxa"/>
              <w:left w:w="100" w:type="dxa"/>
              <w:bottom w:w="120" w:type="dxa"/>
              <w:right w:w="100" w:type="dxa"/>
            </w:tcMar>
            <w:vAlign w:val="bottom"/>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Bold" w:hAnsi="Times New Roman Bold" w:cs="Times New Roman Bold"/>
                <w:b/>
                <w:bCs/>
                <w:lang w:val="en-US" w:eastAsia="zh-CN"/>
              </w:rPr>
            </w:pPr>
            <w:r>
              <w:rPr>
                <w:rFonts w:hint="default" w:ascii="Times New Roman Bold" w:hAnsi="Times New Roman Bold" w:cs="Times New Roman Bold"/>
                <w:b/>
                <w:bCs/>
                <w:lang w:val="en-US" w:eastAsia="zh-CN"/>
              </w:rPr>
              <w:t>GZMK_High, N = 265</w:t>
            </w:r>
          </w:p>
        </w:tc>
        <w:tc>
          <w:tcPr>
            <w:tcW w:w="1086" w:type="dxa"/>
            <w:tcBorders>
              <w:bottom w:val="single" w:color="auto" w:sz="4" w:space="0"/>
            </w:tcBorders>
            <w:shd w:val="clear" w:color="auto" w:fill="FFFFFF"/>
            <w:tcMar>
              <w:top w:w="100" w:type="dxa"/>
              <w:left w:w="100" w:type="dxa"/>
              <w:bottom w:w="120" w:type="dxa"/>
              <w:right w:w="100" w:type="dxa"/>
            </w:tcMar>
            <w:vAlign w:val="bottom"/>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Bold" w:hAnsi="Times New Roman Bold" w:cs="Times New Roman Bold"/>
                <w:b/>
                <w:bCs/>
                <w:lang w:val="en-US" w:eastAsia="zh-CN"/>
              </w:rPr>
            </w:pPr>
            <w:r>
              <w:rPr>
                <w:rFonts w:hint="default" w:ascii="Times New Roman Bold Italic" w:hAnsi="Times New Roman Bold Italic" w:cs="Times New Roman Bold Italic"/>
                <w:b/>
                <w:bCs/>
                <w:i/>
                <w:iCs/>
                <w:lang w:val="en-US" w:eastAsia="zh-CN"/>
              </w:rPr>
              <w:t>P</w:t>
            </w:r>
            <w:r>
              <w:rPr>
                <w:rFonts w:hint="default" w:ascii="Times New Roman Bold" w:hAnsi="Times New Roman Bold" w:cs="Times New Roman Bold"/>
                <w:b/>
                <w:bCs/>
                <w:lang w:val="en-US" w:eastAsia="zh-CN"/>
              </w:rPr>
              <w:t>-value2</w:t>
            </w:r>
          </w:p>
        </w:tc>
      </w:tr>
      <w:tr>
        <w:trPr>
          <w:trHeight w:val="241" w:hRule="atLeast"/>
        </w:trPr>
        <w:tc>
          <w:tcPr>
            <w:tcW w:w="0" w:type="auto"/>
            <w:tcBorders>
              <w:top w:val="single" w:color="auto" w:sz="4" w:space="0"/>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Patient age</w:t>
            </w:r>
          </w:p>
        </w:tc>
        <w:tc>
          <w:tcPr>
            <w:tcW w:w="0" w:type="auto"/>
            <w:tcBorders>
              <w:top w:val="single" w:color="auto" w:sz="4" w:space="0"/>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tcBorders>
              <w:top w:val="single" w:color="auto" w:sz="4" w:space="0"/>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tcBorders>
              <w:top w:val="single" w:color="auto" w:sz="4" w:space="0"/>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0.602</w:t>
            </w:r>
          </w:p>
        </w:tc>
      </w:tr>
      <w:tr>
        <w:trPr>
          <w:trHeight w:val="111"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&lt;58</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132 (50%)</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139 (52%)</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20"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&gt;=58</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133 (50%)</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126 (48%)</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56"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P</w:t>
            </w:r>
            <w:r>
              <w:rPr>
                <w:rFonts w:hint="default"/>
                <w:lang w:val="en-US" w:eastAsia="zh-CN"/>
              </w:rPr>
              <w:t>athologic_T</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0.050</w:t>
            </w:r>
          </w:p>
        </w:tc>
      </w:tr>
      <w:tr>
        <w:trPr>
          <w:trHeight w:val="328"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T1</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65 (25%)</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67 (25%)</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80"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T2</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172 (65%)</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160 (60%)</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56"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T3</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16 (6.0%)</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32 (12%)</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08"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T4</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12 (4.5%)</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6 (2.3%)</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90"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P</w:t>
            </w:r>
            <w:r>
              <w:rPr>
                <w:rFonts w:hint="default"/>
                <w:lang w:val="en-US" w:eastAsia="zh-CN"/>
              </w:rPr>
              <w:t>athologic_N</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0.128</w:t>
            </w:r>
          </w:p>
        </w:tc>
      </w:tr>
      <w:tr>
        <w:trPr>
          <w:trHeight w:val="135"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N0</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121 (46%)</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101 (38%)</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184"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N1</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106 (40%)</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112 (42%)</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99"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N2</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38 (14%)</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52 (20%)</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99"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P</w:t>
            </w:r>
            <w:r>
              <w:rPr>
                <w:rFonts w:hint="default"/>
                <w:lang w:val="en-US" w:eastAsia="zh-CN"/>
              </w:rPr>
              <w:t>athologic_M</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0.724</w:t>
            </w:r>
          </w:p>
        </w:tc>
      </w:tr>
      <w:tr>
        <w:trPr>
          <w:trHeight w:val="307"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M0</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260 (98%)</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262 (99%)</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90"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M1</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5 (1.9%)</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3 (1.1%)</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32"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G</w:t>
            </w:r>
            <w:r>
              <w:rPr>
                <w:rFonts w:hint="default"/>
                <w:lang w:val="en-US" w:eastAsia="zh-CN"/>
              </w:rPr>
              <w:t>ender</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&gt;0.999</w:t>
            </w:r>
          </w:p>
        </w:tc>
      </w:tr>
      <w:tr>
        <w:trPr>
          <w:trHeight w:val="208"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female</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260 (98%)</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261 (98%)</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90"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male</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5 (1.9%)</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4 (1.5%)</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32"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R</w:t>
            </w:r>
            <w:r>
              <w:rPr>
                <w:rFonts w:hint="default"/>
                <w:lang w:val="en-US" w:eastAsia="zh-CN"/>
              </w:rPr>
              <w:t>ace</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0.269</w:t>
            </w:r>
          </w:p>
        </w:tc>
      </w:tr>
      <w:tr>
        <w:trPr>
          <w:trHeight w:val="184"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asian</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19 (7.2%)</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26 (9.8%)</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57"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black or african american</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34 (13%)</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34 (13%)</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90"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not reported</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37 (14%)</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24 (9.1%)</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112"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white</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175 (66%)</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181 (68%)</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81"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S</w:t>
            </w:r>
            <w:r>
              <w:rPr>
                <w:rFonts w:hint="default"/>
                <w:lang w:val="en-US" w:eastAsia="zh-CN"/>
              </w:rPr>
              <w:t>tage</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0.510</w:t>
            </w:r>
          </w:p>
        </w:tc>
      </w:tr>
      <w:tr>
        <w:trPr>
          <w:trHeight w:val="196"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xml:space="preserve">    stage </w:t>
            </w:r>
            <w:r>
              <w:rPr>
                <w:rFonts w:hint="eastAsia"/>
                <w:lang w:val="en-US" w:eastAsia="zh-CN"/>
              </w:rPr>
              <w:t>Ⅰ</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39 (15%)</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34 (13%)</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353"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xml:space="preserve">    stage </w:t>
            </w:r>
            <w:r>
              <w:rPr>
                <w:rFonts w:hint="eastAsia"/>
                <w:lang w:val="en-US" w:eastAsia="zh-CN"/>
              </w:rPr>
              <w:t>Ⅱ</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167 (63%)</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161 (61%)</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08"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xml:space="preserve">    stage </w:t>
            </w:r>
            <w:r>
              <w:rPr>
                <w:rFonts w:hint="eastAsia"/>
                <w:lang w:val="en-US" w:eastAsia="zh-CN"/>
              </w:rPr>
              <w:t>Ⅲ</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54 (20%)</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67 (25%)</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136"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xml:space="preserve">    stage </w:t>
            </w:r>
            <w:r>
              <w:rPr>
                <w:rFonts w:hint="eastAsia"/>
                <w:lang w:val="en-US" w:eastAsia="zh-CN"/>
              </w:rPr>
              <w:t>Ⅳ</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5 (1.9%)</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3 (1.1%)</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328"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Subtype</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0.018</w:t>
            </w:r>
            <w:r>
              <w:rPr>
                <w:rFonts w:hint="eastAsia"/>
                <w:lang w:val="en-US" w:eastAsia="zh-CN"/>
              </w:rPr>
              <w:t>*</w:t>
            </w:r>
          </w:p>
        </w:tc>
      </w:tr>
      <w:tr>
        <w:trPr>
          <w:trHeight w:val="123"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Basal</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43 (16%)</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56 (21%)</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44"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Her2</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13 (4.9%)</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25 (9.4%)</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68"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LumA</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134 (51%)</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133 (50%)</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136"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LumB</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75 (28%)</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51 (19%)</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196"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PD</w:t>
            </w:r>
            <w:r>
              <w:rPr>
                <w:rFonts w:hint="eastAsia"/>
                <w:lang w:val="en-US" w:eastAsia="zh-CN"/>
              </w:rPr>
              <w:t>-</w:t>
            </w:r>
            <w:r>
              <w:rPr>
                <w:rFonts w:hint="default"/>
                <w:lang w:val="en-US" w:eastAsia="zh-CN"/>
              </w:rPr>
              <w:t>1</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&lt;0.001</w:t>
            </w:r>
            <w:r>
              <w:rPr>
                <w:rFonts w:hint="eastAsia"/>
                <w:lang w:val="en-US" w:eastAsia="zh-CN"/>
              </w:rPr>
              <w:t>**</w:t>
            </w:r>
          </w:p>
        </w:tc>
      </w:tr>
      <w:tr>
        <w:trPr>
          <w:trHeight w:val="256"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&lt;median</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218 (82%)</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47 (18%)</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20"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&gt;=median</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47 (18%)</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218 (82%)</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90"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eastAsia"/>
                <w:lang w:val="en-US" w:eastAsia="zh-CN"/>
              </w:rPr>
              <w:t>P</w:t>
            </w:r>
            <w:r>
              <w:rPr>
                <w:rFonts w:hint="default"/>
                <w:lang w:val="en-US" w:eastAsia="zh-CN"/>
              </w:rPr>
              <w:t>D</w:t>
            </w:r>
            <w:r>
              <w:rPr>
                <w:rFonts w:hint="eastAsia"/>
                <w:lang w:val="en-US" w:eastAsia="zh-CN"/>
              </w:rPr>
              <w:t>-L1</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&lt;0.001</w:t>
            </w:r>
            <w:r>
              <w:rPr>
                <w:rFonts w:hint="eastAsia"/>
                <w:lang w:val="en-US" w:eastAsia="zh-CN"/>
              </w:rPr>
              <w:t>**</w:t>
            </w:r>
          </w:p>
        </w:tc>
      </w:tr>
      <w:tr>
        <w:trPr>
          <w:trHeight w:val="340"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&lt;median</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190 (72%)</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75 (28%)</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56"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&gt;=median</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75 (28%)</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190 (72%)</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208"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CTLA</w:t>
            </w:r>
            <w:r>
              <w:rPr>
                <w:rFonts w:hint="eastAsia"/>
                <w:lang w:val="en-US" w:eastAsia="zh-CN"/>
              </w:rPr>
              <w:t>-</w:t>
            </w:r>
            <w:r>
              <w:rPr>
                <w:rFonts w:hint="default"/>
                <w:lang w:val="en-US" w:eastAsia="zh-CN"/>
              </w:rPr>
              <w:t>4</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&lt;0.001</w:t>
            </w:r>
            <w:r>
              <w:rPr>
                <w:rFonts w:hint="eastAsia"/>
                <w:lang w:val="en-US" w:eastAsia="zh-CN"/>
              </w:rPr>
              <w:t>**</w:t>
            </w:r>
          </w:p>
        </w:tc>
      </w:tr>
      <w:tr>
        <w:trPr>
          <w:trHeight w:val="256"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&lt;median</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202 (76%)</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63 (24%)</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r>
        <w:trPr>
          <w:trHeight w:val="171" w:hRule="atLeast"/>
        </w:trPr>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&gt;=median</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63 (24%)</w:t>
            </w:r>
          </w:p>
        </w:tc>
        <w:tc>
          <w:tcPr>
            <w:tcW w:w="0" w:type="auto"/>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202 (76%)</w:t>
            </w:r>
          </w:p>
        </w:tc>
        <w:tc>
          <w:tcPr>
            <w:tcW w:w="1086" w:type="dxa"/>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tc>
      </w:tr>
    </w:tbl>
    <w:p>
      <w:pPr>
        <w:rPr>
          <w:rFonts w:hint="default"/>
          <w:lang w:val="en-US" w:eastAsia="zh-CN"/>
        </w:rPr>
      </w:pPr>
      <w:r>
        <w:rPr>
          <w:rFonts w:hint="eastAsia" w:ascii="Times New Roman" w:hAnsi="Times New Roman"/>
          <w:sz w:val="20"/>
          <w:szCs w:val="22"/>
        </w:rPr>
        <w:t>Note: For continuous variables, comparison between groups was performed using t test, and for categorical variables, comparison between groups was performed using Fisher's exact probability test.</w:t>
      </w:r>
      <w:r>
        <w:rPr>
          <w:rFonts w:hint="eastAsia"/>
          <w:sz w:val="20"/>
          <w:szCs w:val="22"/>
          <w:lang w:val="en-US" w:eastAsia="zh-CN"/>
        </w:rPr>
        <w:t>*</w:t>
      </w:r>
      <w:r>
        <w:rPr>
          <w:rFonts w:hint="default" w:ascii="Times New Roman Italic" w:hAnsi="Times New Roman Italic" w:cs="Times New Roman Italic"/>
          <w:i/>
          <w:iCs/>
          <w:sz w:val="20"/>
          <w:szCs w:val="22"/>
          <w:lang w:val="en-US" w:eastAsia="zh-CN"/>
        </w:rPr>
        <w:t>P</w:t>
      </w:r>
      <w:r>
        <w:rPr>
          <w:rFonts w:hint="eastAsia"/>
          <w:sz w:val="20"/>
          <w:szCs w:val="22"/>
          <w:lang w:val="en-US" w:eastAsia="zh-CN"/>
        </w:rPr>
        <w:t>&lt;0.05。</w:t>
      </w:r>
      <w:r>
        <w:rPr>
          <w:rFonts w:hint="eastAsia"/>
          <w:lang w:val="en-US" w:eastAsia="zh-CN"/>
        </w:rPr>
        <w:t>*P&lt;0.05，**P&lt;0.001。</w:t>
      </w:r>
    </w:p>
    <w:p/>
    <w:p>
      <w:pPr>
        <w:jc w:val="center"/>
        <w:rPr>
          <w:rFonts w:hint="default" w:ascii="Times New Roman" w:hAnsi="Times New Roman" w:eastAsia="Songti SC"/>
          <w:lang w:val="en-US" w:eastAsia="zh-CN"/>
        </w:rPr>
      </w:pPr>
      <w:r>
        <w:rPr>
          <w:rFonts w:hint="eastAsia" w:ascii="Times New Roman" w:hAnsi="Times New Roman"/>
          <w:lang w:val="en-US" w:eastAsia="zh-CN"/>
        </w:rPr>
        <w:t>Table</w:t>
      </w:r>
      <w:r>
        <w:rPr>
          <w:rFonts w:hint="eastAsia"/>
          <w:lang w:val="en-US" w:eastAsia="zh-CN"/>
        </w:rPr>
        <w:t xml:space="preserve"> S2</w:t>
      </w:r>
      <w:r>
        <w:rPr>
          <w:rFonts w:hint="eastAsia" w:ascii="Times New Roman" w:hAnsi="Times New Roman"/>
          <w:lang w:val="en-US" w:eastAsia="zh-CN"/>
        </w:rPr>
        <w:t xml:space="preserve"> Clinicopathologic characteristics of patients with breast cancer</w:t>
      </w:r>
    </w:p>
    <w:tbl>
      <w:tblPr>
        <w:tblStyle w:val="2"/>
        <w:tblW w:w="3679" w:type="dxa"/>
        <w:jc w:val="center"/>
        <w:tblBorders>
          <w:top w:val="single" w:color="auto" w:sz="4" w:space="0"/>
          <w:left w:val="none" w:color="D3D3D3" w:sz="8" w:space="0"/>
          <w:bottom w:val="single" w:color="D3D3D3" w:sz="18" w:space="0"/>
          <w:right w:val="none" w:color="D3D3D3" w:sz="8"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2207"/>
        <w:gridCol w:w="1472"/>
      </w:tblGrid>
      <w:tr>
        <w:trPr>
          <w:trHeight w:val="197" w:hRule="atLeast"/>
          <w:tblHeader/>
          <w:jc w:val="center"/>
        </w:trPr>
        <w:tc>
          <w:tcPr>
            <w:tcW w:w="2207" w:type="dxa"/>
            <w:tcBorders>
              <w:top w:val="single" w:color="auto" w:sz="4" w:space="0"/>
              <w:left w:val="nil"/>
              <w:bottom w:val="single" w:color="auto" w:sz="4" w:space="0"/>
              <w:right w:val="nil"/>
            </w:tcBorders>
            <w:shd w:val="clear" w:color="auto" w:fill="FFFFFF"/>
            <w:tcMar>
              <w:top w:w="100" w:type="dxa"/>
              <w:left w:w="100" w:type="dxa"/>
              <w:bottom w:w="120" w:type="dxa"/>
              <w:right w:w="100" w:type="dxa"/>
            </w:tcMar>
            <w:vAlign w:val="bottom"/>
          </w:tcPr>
          <w:p>
            <w:pPr>
              <w:keepNext w:val="0"/>
              <w:keepLines w:val="0"/>
              <w:pageBreakBefore w:val="0"/>
              <w:widowControl w:val="0"/>
              <w:kinsoku/>
              <w:wordWrap/>
              <w:overflowPunct/>
              <w:topLinePunct w:val="0"/>
              <w:autoSpaceDE/>
              <w:autoSpaceDN/>
              <w:bidi w:val="0"/>
              <w:adjustRightInd/>
              <w:snapToGrid/>
              <w:textAlignment w:val="auto"/>
              <w:rPr>
                <w:rFonts w:ascii="Times New Roman" w:hAnsi="Times New Roman"/>
              </w:rPr>
            </w:pPr>
            <w:r>
              <w:rPr>
                <w:rFonts w:hint="default" w:ascii="Times New Roman" w:hAnsi="Times New Roman"/>
                <w:lang w:val="en-US" w:eastAsia="zh-CN"/>
              </w:rPr>
              <w:t>Characteristic</w:t>
            </w:r>
          </w:p>
        </w:tc>
        <w:tc>
          <w:tcPr>
            <w:tcW w:w="1472" w:type="dxa"/>
            <w:tcBorders>
              <w:top w:val="single" w:color="auto" w:sz="4" w:space="0"/>
              <w:left w:val="nil"/>
              <w:bottom w:val="single" w:color="auto" w:sz="4" w:space="0"/>
              <w:right w:val="nil"/>
            </w:tcBorders>
            <w:shd w:val="clear" w:color="auto" w:fill="FFFFFF"/>
            <w:tcMar>
              <w:top w:w="100" w:type="dxa"/>
              <w:left w:w="100" w:type="dxa"/>
              <w:bottom w:w="120" w:type="dxa"/>
              <w:right w:w="100" w:type="dxa"/>
            </w:tcMar>
            <w:vAlign w:val="bottom"/>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N = 131</w:t>
            </w:r>
          </w:p>
        </w:tc>
      </w:tr>
      <w:tr>
        <w:trPr>
          <w:trHeight w:val="211" w:hRule="atLeast"/>
          <w:jc w:val="center"/>
        </w:trPr>
        <w:tc>
          <w:tcPr>
            <w:tcW w:w="2207" w:type="dxa"/>
            <w:tcBorders>
              <w:top w:val="single" w:color="auto" w:sz="4"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eastAsia" w:ascii="Times New Roman" w:hAnsi="Times New Roman"/>
                <w:lang w:val="en-US" w:eastAsia="zh-CN"/>
              </w:rPr>
              <w:t>A</w:t>
            </w:r>
            <w:r>
              <w:rPr>
                <w:rFonts w:hint="default" w:ascii="Times New Roman" w:hAnsi="Times New Roman"/>
                <w:lang w:val="en-US" w:eastAsia="zh-CN"/>
              </w:rPr>
              <w:t>ge</w:t>
            </w:r>
          </w:p>
        </w:tc>
        <w:tc>
          <w:tcPr>
            <w:tcW w:w="1472" w:type="dxa"/>
            <w:tcBorders>
              <w:top w:val="single" w:color="auto" w:sz="4"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lang w:val="en-US"/>
              </w:rPr>
            </w:pPr>
            <w:r>
              <w:rPr>
                <w:rFonts w:hint="default" w:ascii="Times New Roman" w:hAnsi="Times New Roman"/>
                <w:lang w:val="en-US" w:eastAsia="zh-CN"/>
              </w:rPr>
              <w:t>    &lt;</w:t>
            </w:r>
            <w:r>
              <w:rPr>
                <w:rFonts w:hint="eastAsia" w:ascii="Times New Roman" w:hAnsi="Times New Roman"/>
                <w:lang w:val="en-US" w:eastAsia="zh-CN"/>
              </w:rPr>
              <w:t>54</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72 (55%)</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lang w:val="en-US"/>
              </w:rPr>
            </w:pPr>
            <w:r>
              <w:rPr>
                <w:rFonts w:hint="default" w:ascii="Times New Roman" w:hAnsi="Times New Roman"/>
                <w:lang w:val="en-US" w:eastAsia="zh-CN"/>
              </w:rPr>
              <w:t>    &gt;=</w:t>
            </w:r>
            <w:r>
              <w:rPr>
                <w:rFonts w:hint="eastAsia" w:ascii="Times New Roman" w:hAnsi="Times New Roman"/>
                <w:lang w:val="en-US" w:eastAsia="zh-CN"/>
              </w:rPr>
              <w:t>54</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59 (45%)</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eastAsia" w:ascii="Times New Roman" w:hAnsi="Times New Roman"/>
                <w:lang w:val="en-US" w:eastAsia="zh-CN"/>
              </w:rPr>
              <w:t>L</w:t>
            </w:r>
            <w:r>
              <w:rPr>
                <w:rFonts w:hint="default" w:ascii="Times New Roman" w:hAnsi="Times New Roman"/>
                <w:lang w:val="en-US" w:eastAsia="zh-CN"/>
              </w:rPr>
              <w:t>ocation</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left</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60 (46%)</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right</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71 (54%)</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eastAsia" w:ascii="Times New Roman" w:hAnsi="Times New Roman"/>
                <w:lang w:val="en-US" w:eastAsia="zh-CN"/>
              </w:rPr>
              <w:t>D</w:t>
            </w:r>
            <w:r>
              <w:rPr>
                <w:rFonts w:hint="default" w:ascii="Times New Roman" w:hAnsi="Times New Roman"/>
                <w:lang w:val="en-US" w:eastAsia="zh-CN"/>
              </w:rPr>
              <w:t>ifferentiation</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high</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9 (6.9%)</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low</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29 (22%)</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mediate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93 (71%)</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eastAsia" w:ascii="Times New Roman" w:hAnsi="Times New Roman"/>
                <w:lang w:val="en-US" w:eastAsia="zh-CN"/>
              </w:rPr>
              <w:t>T</w:t>
            </w:r>
            <w:r>
              <w:rPr>
                <w:rFonts w:hint="default" w:ascii="Times New Roman" w:hAnsi="Times New Roman"/>
                <w:lang w:val="en-US" w:eastAsia="zh-CN"/>
              </w:rPr>
              <w:t>umor</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T1</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57 (44%)</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T2</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65 (50%)</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T3</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9 (6.9%)</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eastAsia" w:ascii="Times New Roman" w:hAnsi="Times New Roman"/>
                <w:lang w:val="en-US" w:eastAsia="zh-CN"/>
              </w:rPr>
              <w:t>P</w:t>
            </w:r>
            <w:r>
              <w:rPr>
                <w:rFonts w:hint="default" w:ascii="Times New Roman" w:hAnsi="Times New Roman"/>
                <w:lang w:val="en-US" w:eastAsia="zh-CN"/>
              </w:rPr>
              <w:t>ositive lymph nodes</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N0</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70 (53%)</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N1</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42 (32%)</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N2</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13 (9.9%)</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N3</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6 (4.6%)</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eastAsia" w:ascii="Times New Roman" w:hAnsi="Times New Roman"/>
                <w:lang w:val="en-US" w:eastAsia="zh-CN"/>
              </w:rPr>
              <w:t>P</w:t>
            </w:r>
            <w:r>
              <w:rPr>
                <w:rFonts w:hint="default" w:ascii="Times New Roman" w:hAnsi="Times New Roman"/>
                <w:lang w:val="en-US" w:eastAsia="zh-CN"/>
              </w:rPr>
              <w:t>athological staging</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ⅠA</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36 (27%)</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ⅡA</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43 (33%)</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ⅡB</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32 (24%)</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ⅢA</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13 (9.9%)</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ⅢC</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7 (5.3%)</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ER</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negative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25 (19%)</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positive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106 (81%)</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PR</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negative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38 (29%)</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positive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93 (71%)</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HER2</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0</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43 (33%)</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1+</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43 (33%)</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2+</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29 (22%)</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3+</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16 (12%)</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eastAsia" w:ascii="Times New Roman" w:hAnsi="Times New Roman"/>
                <w:lang w:val="en-US" w:eastAsia="zh-CN"/>
              </w:rPr>
              <w:t>K</w:t>
            </w:r>
            <w:r>
              <w:rPr>
                <w:rFonts w:hint="default" w:ascii="Times New Roman" w:hAnsi="Times New Roman"/>
                <w:lang w:val="en-US" w:eastAsia="zh-CN"/>
              </w:rPr>
              <w:t>i</w:t>
            </w:r>
            <w:r>
              <w:rPr>
                <w:rFonts w:hint="eastAsia" w:ascii="Times New Roman" w:hAnsi="Times New Roman"/>
                <w:lang w:val="en-US" w:eastAsia="zh-CN"/>
              </w:rPr>
              <w:t>-</w:t>
            </w:r>
            <w:r>
              <w:rPr>
                <w:rFonts w:hint="default" w:ascii="Times New Roman" w:hAnsi="Times New Roman"/>
                <w:lang w:val="en-US" w:eastAsia="zh-CN"/>
              </w:rPr>
              <w:t>67</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&lt;20</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65 (50%)</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&gt;=20</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66 (50%)</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eastAsia" w:ascii="Times New Roman" w:hAnsi="Times New Roman"/>
                <w:lang w:val="en-US" w:eastAsia="zh-CN"/>
              </w:rPr>
              <w:t>M</w:t>
            </w:r>
            <w:r>
              <w:rPr>
                <w:rFonts w:hint="default" w:ascii="Times New Roman" w:hAnsi="Times New Roman"/>
                <w:lang w:val="en-US" w:eastAsia="zh-CN"/>
              </w:rPr>
              <w:t xml:space="preserve">olecular </w:t>
            </w:r>
            <w:r>
              <w:rPr>
                <w:rFonts w:hint="eastAsia" w:ascii="Times New Roman" w:hAnsi="Times New Roman"/>
                <w:lang w:val="en-US" w:eastAsia="zh-CN"/>
              </w:rPr>
              <w:t>T</w:t>
            </w:r>
            <w:r>
              <w:rPr>
                <w:rFonts w:hint="default" w:ascii="Times New Roman" w:hAnsi="Times New Roman"/>
                <w:lang w:val="en-US" w:eastAsia="zh-CN"/>
              </w:rPr>
              <w:t>yping</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HER</w:t>
            </w:r>
            <w:r>
              <w:rPr>
                <w:rFonts w:hint="eastAsia" w:ascii="Times New Roman" w:hAnsi="Times New Roman"/>
                <w:lang w:val="en-US" w:eastAsia="zh-CN"/>
              </w:rPr>
              <w:t>-</w:t>
            </w:r>
            <w:r>
              <w:rPr>
                <w:rFonts w:hint="default" w:ascii="Times New Roman" w:hAnsi="Times New Roman"/>
                <w:lang w:val="en-US" w:eastAsia="zh-CN"/>
              </w:rPr>
              <w:t>2</w:t>
            </w:r>
            <w:r>
              <w:rPr>
                <w:rFonts w:hint="eastAsia" w:ascii="Times New Roman" w:hAnsi="Times New Roman"/>
                <w:lang w:val="en-US" w:eastAsia="zh-CN"/>
              </w:rPr>
              <w:t xml:space="preserve"> </w:t>
            </w:r>
            <w:r>
              <w:rPr>
                <w:rFonts w:hint="default" w:ascii="Times New Roman" w:hAnsi="Times New Roman"/>
                <w:lang w:val="en-US" w:eastAsia="zh-CN"/>
              </w:rPr>
              <w:t>positive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6 (4.6%)</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LuminalA</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34 (26%)</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LuminalB</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73 (56%)</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TNBC</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18 (14%)</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AR</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negative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20 (15%)</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positive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111 (85%)</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eastAsia" w:ascii="Times New Roman" w:hAnsi="Times New Roman"/>
                <w:lang w:val="en-US" w:eastAsia="zh-CN"/>
              </w:rPr>
              <w:t>B</w:t>
            </w:r>
            <w:r>
              <w:rPr>
                <w:rFonts w:hint="default" w:ascii="Times New Roman" w:hAnsi="Times New Roman"/>
                <w:lang w:val="en-US" w:eastAsia="zh-CN"/>
              </w:rPr>
              <w:t xml:space="preserve">lood </w:t>
            </w:r>
            <w:r>
              <w:rPr>
                <w:rFonts w:hint="eastAsia" w:ascii="Times New Roman" w:hAnsi="Times New Roman"/>
                <w:lang w:val="en-US" w:eastAsia="zh-CN"/>
              </w:rPr>
              <w:t>V</w:t>
            </w:r>
            <w:r>
              <w:rPr>
                <w:rFonts w:hint="default" w:ascii="Times New Roman" w:hAnsi="Times New Roman"/>
                <w:lang w:val="en-US" w:eastAsia="zh-CN"/>
              </w:rPr>
              <w:t>essel</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negative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45 (34%)</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    positive</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86 (66%)</w:t>
            </w: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GZMK</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p>
        </w:tc>
      </w:tr>
      <w:tr>
        <w:trPr>
          <w:jc w:val="center"/>
        </w:trPr>
        <w:tc>
          <w:tcPr>
            <w:tcW w:w="2207"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lang w:val="en-US"/>
              </w:rPr>
            </w:pPr>
            <w:r>
              <w:rPr>
                <w:rFonts w:hint="default" w:ascii="Times New Roman" w:hAnsi="Times New Roman"/>
                <w:lang w:val="en-US" w:eastAsia="zh-CN"/>
              </w:rPr>
              <w:t>    </w:t>
            </w:r>
            <w:r>
              <w:rPr>
                <w:rFonts w:hint="eastAsia" w:ascii="Times New Roman" w:hAnsi="Times New Roman"/>
                <w:lang w:val="en-US" w:eastAsia="zh-CN"/>
              </w:rPr>
              <w:t>Low</w:t>
            </w:r>
          </w:p>
        </w:tc>
        <w:tc>
          <w:tcPr>
            <w:tcW w:w="1472" w:type="dxa"/>
            <w:tcBorders>
              <w:top w:val="single" w:color="D3D3D3" w:sz="8" w:space="0"/>
              <w:left w:val="nil"/>
              <w:bottom w:val="nil"/>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80 (61%)</w:t>
            </w:r>
          </w:p>
        </w:tc>
      </w:tr>
      <w:tr>
        <w:trPr>
          <w:jc w:val="center"/>
        </w:trPr>
        <w:tc>
          <w:tcPr>
            <w:tcW w:w="2207" w:type="dxa"/>
            <w:tcBorders>
              <w:top w:val="single" w:color="D3D3D3" w:sz="8" w:space="0"/>
              <w:left w:val="nil"/>
              <w:bottom w:val="single" w:color="auto" w:sz="4" w:space="0"/>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lang w:val="en-US"/>
              </w:rPr>
            </w:pPr>
            <w:r>
              <w:rPr>
                <w:rFonts w:hint="default" w:ascii="Times New Roman" w:hAnsi="Times New Roman"/>
                <w:lang w:val="en-US" w:eastAsia="zh-CN"/>
              </w:rPr>
              <w:t>    </w:t>
            </w:r>
            <w:r>
              <w:rPr>
                <w:rFonts w:hint="eastAsia" w:ascii="Times New Roman" w:hAnsi="Times New Roman"/>
                <w:lang w:val="en-US" w:eastAsia="zh-CN"/>
              </w:rPr>
              <w:t>High</w:t>
            </w:r>
          </w:p>
        </w:tc>
        <w:tc>
          <w:tcPr>
            <w:tcW w:w="1472" w:type="dxa"/>
            <w:tcBorders>
              <w:top w:val="single" w:color="D3D3D3" w:sz="8" w:space="0"/>
              <w:left w:val="nil"/>
              <w:bottom w:val="single" w:color="auto" w:sz="4" w:space="0"/>
              <w:right w:val="nil"/>
            </w:tcBorders>
            <w:shd w:val="clear" w:color="auto" w:fill="FFFFFF"/>
            <w:tcMar>
              <w:top w:w="160" w:type="dxa"/>
              <w:left w:w="100" w:type="dxa"/>
              <w:bottom w:w="160" w:type="dxa"/>
              <w:right w:w="100" w:type="dxa"/>
            </w:tcMar>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rPr>
            </w:pPr>
            <w:r>
              <w:rPr>
                <w:rFonts w:hint="default" w:ascii="Times New Roman" w:hAnsi="Times New Roman"/>
                <w:lang w:val="en-US" w:eastAsia="zh-CN"/>
              </w:rPr>
              <w:t>51 (39%)</w:t>
            </w:r>
          </w:p>
        </w:tc>
      </w:tr>
    </w:tbl>
    <w:p>
      <w:pPr>
        <w:rPr>
          <w:rFonts w:hint="eastAsia" w:ascii="Times New Roman" w:hAnsi="Times New Roman"/>
        </w:rPr>
      </w:pPr>
    </w:p>
    <w:p>
      <w:pPr>
        <w:rPr>
          <w:rFonts w:hint="eastAsia" w:ascii="Times New Roman" w:hAnsi="Times New Roman"/>
        </w:rPr>
      </w:pPr>
    </w:p>
    <w:p/>
    <w:p>
      <w:pPr>
        <w:jc w:val="center"/>
        <w:rPr>
          <w:rFonts w:hint="default"/>
          <w:lang w:val="en-US" w:eastAsia="zh-CN"/>
        </w:rPr>
      </w:pPr>
      <w:r>
        <w:rPr>
          <w:rFonts w:hint="eastAsia" w:ascii="Times New Roman" w:hAnsi="Times New Roman"/>
          <w:lang w:val="en-US" w:eastAsia="zh-CN"/>
        </w:rPr>
        <w:t>Table</w:t>
      </w:r>
      <w:r>
        <w:rPr>
          <w:rFonts w:hint="eastAsia"/>
          <w:lang w:val="en-US" w:eastAsia="zh-CN"/>
        </w:rPr>
        <w:t xml:space="preserve"> S3</w:t>
      </w:r>
      <w:r>
        <w:rPr>
          <w:rFonts w:hint="eastAsia" w:ascii="Times New Roman" w:hAnsi="Times New Roman"/>
          <w:lang w:val="en-US" w:eastAsia="zh-CN"/>
        </w:rPr>
        <w:t xml:space="preserve"> Clinicopathologic characteristics of patients with breast cancer</w:t>
      </w:r>
      <w:r>
        <w:rPr>
          <w:rFonts w:hint="eastAsia"/>
          <w:lang w:val="en-US" w:eastAsia="zh-CN"/>
        </w:rPr>
        <w:t xml:space="preserve"> from TCGA</w:t>
      </w:r>
    </w:p>
    <w:tbl>
      <w:tblPr>
        <w:tblStyle w:val="2"/>
        <w:tblW w:w="3643"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2550"/>
        <w:gridCol w:w="1093"/>
      </w:tblGrid>
      <w:tr>
        <w:trPr>
          <w:tblHeader/>
          <w:jc w:val="center"/>
        </w:trPr>
        <w:tc>
          <w:tcPr>
            <w:tcW w:w="0" w:type="auto"/>
            <w:tcBorders>
              <w:bottom w:val="single" w:color="auto" w:sz="4" w:space="0"/>
            </w:tcBorders>
            <w:shd w:val="clear" w:color="auto" w:fill="FFFFFF"/>
            <w:tcMar>
              <w:top w:w="100" w:type="dxa"/>
              <w:left w:w="100" w:type="dxa"/>
              <w:bottom w:w="120" w:type="dxa"/>
              <w:right w:w="100" w:type="dxa"/>
            </w:tcMar>
            <w:vAlign w:val="bottom"/>
          </w:tcPr>
          <w:p>
            <w:pPr>
              <w:rPr>
                <w:rFonts w:hint="default"/>
                <w:lang w:val="en-US" w:eastAsia="zh-CN"/>
              </w:rPr>
            </w:pPr>
            <w:r>
              <w:rPr>
                <w:rFonts w:hint="default"/>
                <w:lang w:val="en-US" w:eastAsia="zh-CN"/>
              </w:rPr>
              <w:t>Characteristic</w:t>
            </w:r>
          </w:p>
        </w:tc>
        <w:tc>
          <w:tcPr>
            <w:tcW w:w="0" w:type="auto"/>
            <w:tcBorders>
              <w:bottom w:val="single" w:color="auto" w:sz="4" w:space="0"/>
            </w:tcBorders>
            <w:shd w:val="clear" w:color="auto" w:fill="FFFFFF"/>
            <w:tcMar>
              <w:top w:w="100" w:type="dxa"/>
              <w:left w:w="100" w:type="dxa"/>
              <w:bottom w:w="120" w:type="dxa"/>
              <w:right w:w="100" w:type="dxa"/>
            </w:tcMar>
            <w:vAlign w:val="bottom"/>
          </w:tcPr>
          <w:p>
            <w:pPr>
              <w:rPr>
                <w:rFonts w:hint="default"/>
                <w:lang w:val="en-US" w:eastAsia="zh-CN"/>
              </w:rPr>
            </w:pPr>
            <w:r>
              <w:rPr>
                <w:rFonts w:hint="default"/>
                <w:lang w:val="en-US" w:eastAsia="zh-CN"/>
              </w:rPr>
              <w:t>N = 530</w:t>
            </w:r>
          </w:p>
        </w:tc>
      </w:tr>
      <w:tr>
        <w:trPr>
          <w:jc w:val="center"/>
        </w:trPr>
        <w:tc>
          <w:tcPr>
            <w:tcW w:w="0" w:type="auto"/>
            <w:tcBorders>
              <w:top w:val="single" w:color="auto" w:sz="4" w:space="0"/>
            </w:tcBorders>
            <w:shd w:val="clear" w:color="auto" w:fill="FFFFFF"/>
            <w:tcMar>
              <w:top w:w="160" w:type="dxa"/>
              <w:left w:w="100" w:type="dxa"/>
              <w:bottom w:w="160" w:type="dxa"/>
              <w:right w:w="100" w:type="dxa"/>
            </w:tcMar>
            <w:vAlign w:val="center"/>
          </w:tcPr>
          <w:p>
            <w:pPr>
              <w:rPr>
                <w:rFonts w:hint="default"/>
                <w:lang w:val="en-US" w:eastAsia="zh-CN"/>
              </w:rPr>
            </w:pPr>
            <w:r>
              <w:rPr>
                <w:rFonts w:hint="eastAsia"/>
                <w:lang w:val="en-US" w:eastAsia="zh-CN"/>
              </w:rPr>
              <w:t>A</w:t>
            </w:r>
            <w:r>
              <w:rPr>
                <w:rFonts w:hint="default"/>
                <w:lang w:val="en-US" w:eastAsia="zh-CN"/>
              </w:rPr>
              <w:t>ge</w:t>
            </w:r>
          </w:p>
        </w:tc>
        <w:tc>
          <w:tcPr>
            <w:tcW w:w="0" w:type="auto"/>
            <w:tcBorders>
              <w:top w:val="single" w:color="auto" w:sz="4" w:space="0"/>
            </w:tcBorders>
            <w:shd w:val="clear" w:color="auto" w:fill="FFFFFF"/>
            <w:tcMar>
              <w:top w:w="160" w:type="dxa"/>
              <w:left w:w="100" w:type="dxa"/>
              <w:bottom w:w="160" w:type="dxa"/>
              <w:right w:w="100" w:type="dxa"/>
            </w:tcMar>
            <w:vAlign w:val="center"/>
          </w:tcPr>
          <w:p>
            <w:pPr>
              <w:rPr>
                <w:rFonts w:hint="default"/>
                <w:lang w:val="en-US" w:eastAsia="zh-CN"/>
              </w:rPr>
            </w:pP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&lt;58</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271 (51%)</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&gt;=58</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259 (49%)</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eastAsia"/>
                <w:lang w:val="en-US" w:eastAsia="zh-CN"/>
              </w:rPr>
              <w:t>P</w:t>
            </w:r>
            <w:r>
              <w:rPr>
                <w:rFonts w:hint="default"/>
                <w:lang w:val="en-US" w:eastAsia="zh-CN"/>
              </w:rPr>
              <w:t>athologic_T</w:t>
            </w:r>
          </w:p>
        </w:tc>
        <w:tc>
          <w:tcPr>
            <w:tcW w:w="0" w:type="auto"/>
            <w:shd w:val="clear" w:color="auto" w:fill="FFFFFF"/>
            <w:tcMar>
              <w:top w:w="160" w:type="dxa"/>
              <w:left w:w="100" w:type="dxa"/>
              <w:bottom w:w="160" w:type="dxa"/>
              <w:right w:w="100" w:type="dxa"/>
            </w:tcMar>
            <w:vAlign w:val="center"/>
          </w:tcPr>
          <w:p>
            <w:pPr>
              <w:rPr>
                <w:rFonts w:hint="default"/>
                <w:lang w:val="en-US" w:eastAsia="zh-CN"/>
              </w:rPr>
            </w:pP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T1</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132 (25%)</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T2</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332 (63%)</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T3</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48 (9.1%)</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T4</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18 (3.4%)</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eastAsia"/>
                <w:lang w:val="en-US" w:eastAsia="zh-CN"/>
              </w:rPr>
              <w:t>P</w:t>
            </w:r>
            <w:r>
              <w:rPr>
                <w:rFonts w:hint="default"/>
                <w:lang w:val="en-US" w:eastAsia="zh-CN"/>
              </w:rPr>
              <w:t>athologic_N</w:t>
            </w:r>
          </w:p>
        </w:tc>
        <w:tc>
          <w:tcPr>
            <w:tcW w:w="0" w:type="auto"/>
            <w:shd w:val="clear" w:color="auto" w:fill="FFFFFF"/>
            <w:tcMar>
              <w:top w:w="160" w:type="dxa"/>
              <w:left w:w="100" w:type="dxa"/>
              <w:bottom w:w="160" w:type="dxa"/>
              <w:right w:w="100" w:type="dxa"/>
            </w:tcMar>
            <w:vAlign w:val="center"/>
          </w:tcPr>
          <w:p>
            <w:pPr>
              <w:rPr>
                <w:rFonts w:hint="default"/>
                <w:lang w:val="en-US" w:eastAsia="zh-CN"/>
              </w:rPr>
            </w:pP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N0</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222 (42%)</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N1</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218 (41%)</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N2</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90 (17%)</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eastAsia"/>
                <w:lang w:val="en-US" w:eastAsia="zh-CN"/>
              </w:rPr>
              <w:t>P</w:t>
            </w:r>
            <w:r>
              <w:rPr>
                <w:rFonts w:hint="default"/>
                <w:lang w:val="en-US" w:eastAsia="zh-CN"/>
              </w:rPr>
              <w:t>athologic_M</w:t>
            </w:r>
          </w:p>
        </w:tc>
        <w:tc>
          <w:tcPr>
            <w:tcW w:w="0" w:type="auto"/>
            <w:shd w:val="clear" w:color="auto" w:fill="FFFFFF"/>
            <w:tcMar>
              <w:top w:w="160" w:type="dxa"/>
              <w:left w:w="100" w:type="dxa"/>
              <w:bottom w:w="160" w:type="dxa"/>
              <w:right w:w="100" w:type="dxa"/>
            </w:tcMar>
            <w:vAlign w:val="center"/>
          </w:tcPr>
          <w:p>
            <w:pPr>
              <w:rPr>
                <w:rFonts w:hint="default"/>
                <w:lang w:val="en-US" w:eastAsia="zh-CN"/>
              </w:rPr>
            </w:pP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M0</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522 (98%)</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M1</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8 (1.5%)</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eastAsia"/>
                <w:lang w:val="en-US" w:eastAsia="zh-CN"/>
              </w:rPr>
              <w:t>G</w:t>
            </w:r>
            <w:r>
              <w:rPr>
                <w:rFonts w:hint="default"/>
                <w:lang w:val="en-US" w:eastAsia="zh-CN"/>
              </w:rPr>
              <w:t>ender</w:t>
            </w:r>
          </w:p>
        </w:tc>
        <w:tc>
          <w:tcPr>
            <w:tcW w:w="0" w:type="auto"/>
            <w:shd w:val="clear" w:color="auto" w:fill="FFFFFF"/>
            <w:tcMar>
              <w:top w:w="160" w:type="dxa"/>
              <w:left w:w="100" w:type="dxa"/>
              <w:bottom w:w="160" w:type="dxa"/>
              <w:right w:w="100" w:type="dxa"/>
            </w:tcMar>
            <w:vAlign w:val="center"/>
          </w:tcPr>
          <w:p>
            <w:pPr>
              <w:rPr>
                <w:rFonts w:hint="default"/>
                <w:lang w:val="en-US" w:eastAsia="zh-CN"/>
              </w:rPr>
            </w:pP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female</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521 (98%)</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male</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9 (1.7%)</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eastAsia"/>
                <w:lang w:val="en-US" w:eastAsia="zh-CN"/>
              </w:rPr>
              <w:t>R</w:t>
            </w:r>
            <w:r>
              <w:rPr>
                <w:rFonts w:hint="default"/>
                <w:lang w:val="en-US" w:eastAsia="zh-CN"/>
              </w:rPr>
              <w:t>ace</w:t>
            </w:r>
          </w:p>
        </w:tc>
        <w:tc>
          <w:tcPr>
            <w:tcW w:w="0" w:type="auto"/>
            <w:shd w:val="clear" w:color="auto" w:fill="FFFFFF"/>
            <w:tcMar>
              <w:top w:w="160" w:type="dxa"/>
              <w:left w:w="100" w:type="dxa"/>
              <w:bottom w:w="160" w:type="dxa"/>
              <w:right w:w="100" w:type="dxa"/>
            </w:tcMar>
            <w:vAlign w:val="center"/>
          </w:tcPr>
          <w:p>
            <w:pPr>
              <w:rPr>
                <w:rFonts w:hint="default"/>
                <w:lang w:val="en-US" w:eastAsia="zh-CN"/>
              </w:rPr>
            </w:pP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asian</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45 (8.5%)</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black or african american</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68 (13%)</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not reported</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61 (12%)</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white</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356 (67%)</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eastAsia"/>
                <w:lang w:val="en-US" w:eastAsia="zh-CN"/>
              </w:rPr>
              <w:t>S</w:t>
            </w:r>
            <w:r>
              <w:rPr>
                <w:rFonts w:hint="default"/>
                <w:lang w:val="en-US" w:eastAsia="zh-CN"/>
              </w:rPr>
              <w:t>tage</w:t>
            </w:r>
          </w:p>
        </w:tc>
        <w:tc>
          <w:tcPr>
            <w:tcW w:w="0" w:type="auto"/>
            <w:shd w:val="clear" w:color="auto" w:fill="FFFFFF"/>
            <w:tcMar>
              <w:top w:w="160" w:type="dxa"/>
              <w:left w:w="100" w:type="dxa"/>
              <w:bottom w:w="160" w:type="dxa"/>
              <w:right w:w="100" w:type="dxa"/>
            </w:tcMar>
            <w:vAlign w:val="center"/>
          </w:tcPr>
          <w:p>
            <w:pPr>
              <w:rPr>
                <w:rFonts w:hint="default"/>
                <w:lang w:val="en-US" w:eastAsia="zh-CN"/>
              </w:rPr>
            </w:pP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xml:space="preserve">    stage </w:t>
            </w:r>
            <w:r>
              <w:rPr>
                <w:rFonts w:hint="eastAsia"/>
                <w:lang w:val="en-US" w:eastAsia="zh-CN"/>
              </w:rPr>
              <w:t>Ⅰ</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73 (14%)</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xml:space="preserve">    stage </w:t>
            </w:r>
            <w:r>
              <w:rPr>
                <w:rFonts w:hint="eastAsia"/>
                <w:lang w:val="en-US" w:eastAsia="zh-CN"/>
              </w:rPr>
              <w:t>Ⅱ</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328 (62%)</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xml:space="preserve">    stage </w:t>
            </w:r>
            <w:r>
              <w:rPr>
                <w:rFonts w:hint="eastAsia"/>
                <w:lang w:val="en-US" w:eastAsia="zh-CN"/>
              </w:rPr>
              <w:t>Ⅲ</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121 (23%)</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xml:space="preserve">    stage </w:t>
            </w:r>
            <w:r>
              <w:rPr>
                <w:rFonts w:hint="eastAsia"/>
                <w:lang w:val="en-US" w:eastAsia="zh-CN"/>
              </w:rPr>
              <w:t>Ⅳ</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8 (1.5%)</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Subtype</w:t>
            </w:r>
          </w:p>
        </w:tc>
        <w:tc>
          <w:tcPr>
            <w:tcW w:w="0" w:type="auto"/>
            <w:shd w:val="clear" w:color="auto" w:fill="FFFFFF"/>
            <w:tcMar>
              <w:top w:w="160" w:type="dxa"/>
              <w:left w:w="100" w:type="dxa"/>
              <w:bottom w:w="160" w:type="dxa"/>
              <w:right w:w="100" w:type="dxa"/>
            </w:tcMar>
            <w:vAlign w:val="center"/>
          </w:tcPr>
          <w:p>
            <w:pPr>
              <w:rPr>
                <w:rFonts w:hint="default"/>
                <w:lang w:val="en-US" w:eastAsia="zh-CN"/>
              </w:rPr>
            </w:pP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Basal</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99 (19%)</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Her2</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38 (7.2%)</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LumA</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267 (50%)</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    LumB</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126 (24%)</w:t>
            </w:r>
          </w:p>
        </w:tc>
      </w:tr>
      <w:tr>
        <w:trPr>
          <w:jc w:val="center"/>
        </w:trPr>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GZMK</w:t>
            </w:r>
          </w:p>
        </w:tc>
        <w:tc>
          <w:tcPr>
            <w:tcW w:w="0" w:type="auto"/>
            <w:shd w:val="clear" w:color="auto" w:fill="FFFFFF"/>
            <w:tcMar>
              <w:top w:w="160" w:type="dxa"/>
              <w:left w:w="100" w:type="dxa"/>
              <w:bottom w:w="160" w:type="dxa"/>
              <w:right w:w="100" w:type="dxa"/>
            </w:tcMar>
            <w:vAlign w:val="center"/>
          </w:tcPr>
          <w:p>
            <w:pPr>
              <w:rPr>
                <w:rFonts w:hint="default"/>
                <w:lang w:val="en-US" w:eastAsia="zh-CN"/>
              </w:rPr>
            </w:pPr>
          </w:p>
        </w:tc>
      </w:tr>
      <w:tr>
        <w:trPr>
          <w:jc w:val="center"/>
        </w:trPr>
        <w:tc>
          <w:tcPr>
            <w:tcW w:w="0" w:type="auto"/>
            <w:shd w:val="clear" w:color="auto" w:fill="FFFFFF"/>
            <w:tcMar>
              <w:top w:w="160" w:type="dxa"/>
              <w:left w:w="100" w:type="dxa"/>
              <w:bottom w:w="160" w:type="dxa"/>
              <w:right w:w="100" w:type="dxa"/>
            </w:tcMar>
            <w:vAlign w:val="center"/>
          </w:tcPr>
          <w:p>
            <w:pPr>
              <w:ind w:firstLine="210" w:firstLineChars="100"/>
              <w:rPr>
                <w:rFonts w:hint="default"/>
                <w:lang w:val="en-US" w:eastAsia="zh-CN"/>
              </w:rPr>
            </w:pPr>
            <w:r>
              <w:rPr>
                <w:rFonts w:hint="eastAsia"/>
                <w:lang w:val="en-US" w:eastAsia="zh-CN"/>
              </w:rPr>
              <w:t>Low</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265 (50%)</w:t>
            </w:r>
          </w:p>
        </w:tc>
      </w:tr>
      <w:tr>
        <w:trPr>
          <w:jc w:val="center"/>
        </w:trPr>
        <w:tc>
          <w:tcPr>
            <w:tcW w:w="0" w:type="auto"/>
            <w:shd w:val="clear" w:color="auto" w:fill="FFFFFF"/>
            <w:tcMar>
              <w:top w:w="160" w:type="dxa"/>
              <w:left w:w="100" w:type="dxa"/>
              <w:bottom w:w="160" w:type="dxa"/>
              <w:right w:w="100" w:type="dxa"/>
            </w:tcMar>
            <w:vAlign w:val="center"/>
          </w:tcPr>
          <w:p>
            <w:pPr>
              <w:ind w:firstLine="210" w:firstLineChars="100"/>
              <w:rPr>
                <w:rFonts w:hint="default"/>
                <w:lang w:val="en-US" w:eastAsia="zh-CN"/>
              </w:rPr>
            </w:pPr>
            <w:r>
              <w:rPr>
                <w:rFonts w:hint="eastAsia"/>
                <w:lang w:val="en-US" w:eastAsia="zh-CN"/>
              </w:rPr>
              <w:t>High</w:t>
            </w:r>
          </w:p>
        </w:tc>
        <w:tc>
          <w:tcPr>
            <w:tcW w:w="0" w:type="auto"/>
            <w:shd w:val="clear" w:color="auto" w:fill="FFFFFF"/>
            <w:tcMar>
              <w:top w:w="160" w:type="dxa"/>
              <w:left w:w="100" w:type="dxa"/>
              <w:bottom w:w="160" w:type="dxa"/>
              <w:right w:w="100" w:type="dxa"/>
            </w:tcMar>
            <w:vAlign w:val="center"/>
          </w:tcPr>
          <w:p>
            <w:pPr>
              <w:rPr>
                <w:rFonts w:hint="default"/>
                <w:lang w:val="en-US" w:eastAsia="zh-CN"/>
              </w:rPr>
            </w:pPr>
            <w:r>
              <w:rPr>
                <w:rFonts w:hint="default"/>
                <w:lang w:val="en-US" w:eastAsia="zh-CN"/>
              </w:rPr>
              <w:t>265 (50%)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ongti SC">
    <w:panose1 w:val="02010800040101010101"/>
    <w:charset w:val="86"/>
    <w:family w:val="auto"/>
    <w:pitch w:val="default"/>
    <w:sig w:usb0="00000001" w:usb1="080F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Times New Roman Bold">
    <w:panose1 w:val="02020503050405090304"/>
    <w:charset w:val="00"/>
    <w:family w:val="auto"/>
    <w:pitch w:val="default"/>
    <w:sig w:usb0="E0000AFF" w:usb1="00007843" w:usb2="00000001" w:usb3="00000000" w:csb0="400001BF" w:csb1="DFF70000"/>
  </w:font>
  <w:font w:name="Times New Roman Bold Italic">
    <w:panose1 w:val="02020503050405090304"/>
    <w:charset w:val="00"/>
    <w:family w:val="auto"/>
    <w:pitch w:val="default"/>
    <w:sig w:usb0="E0000AFF" w:usb1="00007843" w:usb2="00000001" w:usb3="00000000" w:csb0="400001BF" w:csb1="DFF70000"/>
  </w:font>
  <w:font w:name="Times New Roman Italic">
    <w:panose1 w:val="02020503050405090304"/>
    <w:charset w:val="00"/>
    <w:family w:val="auto"/>
    <w:pitch w:val="default"/>
    <w:sig w:usb0="E0000AFF" w:usb1="00007843" w:usb2="00000001" w:usb3="00000000" w:csb0="400001BF" w:csb1="DFF7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AE5A83"/>
    <w:rsid w:val="587FBE75"/>
    <w:rsid w:val="EFAE5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ongti SC"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tiff"/><Relationship Id="rId11" Type="http://schemas.openxmlformats.org/officeDocument/2006/relationships/image" Target="media/image8.tiff"/><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2024-03-01T22:44:00Z</dcterms:created>
  <dc:creator>浪涛涛</dc:creator>
  <cp:lastModifiedBy>浪涛涛</cp:lastModifiedBy>
  <dcterms:modified xsi:type="dcterms:W3CDTF">2024-03-01T22:45:31Z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3813C4CD698E21F0E8E9E1651E8F1515_41</vt:lpwstr>
  </property>
</Properties>
</file>