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9B74" w14:textId="2A7C4F35" w:rsidR="00BE6071" w:rsidRPr="00CE79FA" w:rsidRDefault="00011B78" w:rsidP="00BE6071">
      <w:pPr>
        <w:pStyle w:val="Ttulo2"/>
        <w:spacing w:before="0" w:after="240" w:line="360" w:lineRule="auto"/>
        <w:rPr>
          <w:rFonts w:ascii="Times New Roman" w:hAnsi="Times New Roman" w:cs="Times New Roman"/>
          <w:sz w:val="24"/>
          <w:szCs w:val="24"/>
          <w:lang w:val="en-US"/>
        </w:rPr>
      </w:pPr>
      <w:r w:rsidRPr="00CE79FA">
        <w:rPr>
          <w:rFonts w:ascii="Times New Roman" w:hAnsi="Times New Roman" w:cs="Times New Roman"/>
          <w:color w:val="000000" w:themeColor="text1"/>
          <w:sz w:val="24"/>
          <w:szCs w:val="24"/>
          <w:lang w:val="en-US"/>
        </w:rPr>
        <w:t>Potential distribution maps of DD (Data deficient) species</w:t>
      </w:r>
    </w:p>
    <w:p w14:paraId="2B4CA342" w14:textId="78929280" w:rsidR="00BE6071" w:rsidRPr="00CE79FA" w:rsidRDefault="00BE6071" w:rsidP="00BE6071">
      <w:pPr>
        <w:spacing w:after="0" w:line="360" w:lineRule="auto"/>
        <w:ind w:firstLine="709"/>
        <w:jc w:val="both"/>
        <w:rPr>
          <w:rFonts w:ascii="Times New Roman" w:hAnsi="Times New Roman" w:cs="Times New Roman"/>
          <w:sz w:val="24"/>
          <w:szCs w:val="24"/>
          <w:lang w:val="en-US"/>
        </w:rPr>
      </w:pPr>
      <w:r w:rsidRPr="00CE79FA">
        <w:rPr>
          <w:rFonts w:ascii="Times New Roman" w:hAnsi="Times New Roman" w:cs="Times New Roman"/>
          <w:sz w:val="24"/>
          <w:szCs w:val="24"/>
          <w:lang w:val="en-US"/>
        </w:rPr>
        <w:t xml:space="preserve"> </w:t>
      </w:r>
      <w:r w:rsidR="00606C73" w:rsidRPr="00CE79FA">
        <w:rPr>
          <w:rFonts w:ascii="Times New Roman" w:hAnsi="Times New Roman" w:cs="Times New Roman"/>
          <w:sz w:val="24"/>
          <w:szCs w:val="24"/>
          <w:lang w:val="en-US"/>
        </w:rPr>
        <w:t xml:space="preserve">For the 21 species with potential occurrence classified as DD (Data Deficient), it is noted that some have a wide distribution, such as </w:t>
      </w:r>
      <w:r w:rsidR="00606C73" w:rsidRPr="00CE79FA">
        <w:rPr>
          <w:rFonts w:ascii="Times New Roman" w:hAnsi="Times New Roman" w:cs="Times New Roman"/>
          <w:i/>
          <w:iCs/>
          <w:sz w:val="24"/>
          <w:szCs w:val="24"/>
          <w:lang w:val="en-US"/>
        </w:rPr>
        <w:t>Aeroestes egregius</w:t>
      </w:r>
      <w:r w:rsidR="00606C73" w:rsidRPr="00CE79FA">
        <w:rPr>
          <w:rFonts w:ascii="Times New Roman" w:hAnsi="Times New Roman" w:cs="Times New Roman"/>
          <w:sz w:val="24"/>
          <w:szCs w:val="24"/>
          <w:lang w:val="en-US"/>
        </w:rPr>
        <w:t xml:space="preserve"> (Peters, 1870) (Figure S13) and </w:t>
      </w:r>
      <w:r w:rsidR="00606C73" w:rsidRPr="00CE79FA">
        <w:rPr>
          <w:rFonts w:ascii="Times New Roman" w:hAnsi="Times New Roman" w:cs="Times New Roman"/>
          <w:i/>
          <w:iCs/>
          <w:sz w:val="24"/>
          <w:szCs w:val="24"/>
          <w:lang w:val="en-US"/>
        </w:rPr>
        <w:t>Tonatia bidens</w:t>
      </w:r>
      <w:r w:rsidR="00606C73" w:rsidRPr="00CE79FA">
        <w:rPr>
          <w:rFonts w:ascii="Times New Roman" w:hAnsi="Times New Roman" w:cs="Times New Roman"/>
          <w:sz w:val="24"/>
          <w:szCs w:val="24"/>
          <w:lang w:val="en-US"/>
        </w:rPr>
        <w:t xml:space="preserve"> (Spix, 1823) (Figure S32), which have potential distribution throughout the Brazilian territory, as well as </w:t>
      </w:r>
      <w:r w:rsidR="00606C73" w:rsidRPr="00CE79FA">
        <w:rPr>
          <w:rFonts w:ascii="Times New Roman" w:hAnsi="Times New Roman" w:cs="Times New Roman"/>
          <w:i/>
          <w:iCs/>
          <w:sz w:val="24"/>
          <w:szCs w:val="24"/>
          <w:lang w:val="en-US"/>
        </w:rPr>
        <w:t>Eumops delticus</w:t>
      </w:r>
      <w:r w:rsidR="00606C73" w:rsidRPr="00CE79FA">
        <w:rPr>
          <w:rFonts w:ascii="Times New Roman" w:hAnsi="Times New Roman" w:cs="Times New Roman"/>
          <w:sz w:val="24"/>
          <w:szCs w:val="24"/>
          <w:lang w:val="en-US"/>
        </w:rPr>
        <w:t xml:space="preserve"> (Thomas, 1923) (Figure S19), which has a distribution area covering the Amazon, Cerrado, and Caatinga. Other species have restricted occurrence, such as </w:t>
      </w:r>
      <w:r w:rsidR="00606C73" w:rsidRPr="00CE79FA">
        <w:rPr>
          <w:rFonts w:ascii="Times New Roman" w:hAnsi="Times New Roman" w:cs="Times New Roman"/>
          <w:i/>
          <w:iCs/>
          <w:sz w:val="24"/>
          <w:szCs w:val="24"/>
          <w:lang w:val="en-US"/>
        </w:rPr>
        <w:t>Cynomops mastivus</w:t>
      </w:r>
      <w:r w:rsidR="00606C73" w:rsidRPr="00CE79FA">
        <w:rPr>
          <w:rFonts w:ascii="Times New Roman" w:hAnsi="Times New Roman" w:cs="Times New Roman"/>
          <w:sz w:val="24"/>
          <w:szCs w:val="24"/>
          <w:lang w:val="en-US"/>
        </w:rPr>
        <w:t xml:space="preserve"> (Thomas, 1911) (Figure S16), </w:t>
      </w:r>
      <w:r w:rsidR="00606C73" w:rsidRPr="00CE79FA">
        <w:rPr>
          <w:rFonts w:ascii="Times New Roman" w:hAnsi="Times New Roman" w:cs="Times New Roman"/>
          <w:i/>
          <w:iCs/>
          <w:sz w:val="24"/>
          <w:szCs w:val="24"/>
          <w:lang w:val="en-US"/>
        </w:rPr>
        <w:t>Diclidurus ingens</w:t>
      </w:r>
      <w:r w:rsidR="00606C73" w:rsidRPr="00CE79FA">
        <w:rPr>
          <w:rFonts w:ascii="Times New Roman" w:hAnsi="Times New Roman" w:cs="Times New Roman"/>
          <w:sz w:val="24"/>
          <w:szCs w:val="24"/>
          <w:lang w:val="en-US"/>
        </w:rPr>
        <w:t xml:space="preserve"> (Hernández-Camacho, 1955) (Figure S18), </w:t>
      </w:r>
      <w:r w:rsidR="00606C73" w:rsidRPr="00CE79FA">
        <w:rPr>
          <w:rFonts w:ascii="Times New Roman" w:hAnsi="Times New Roman" w:cs="Times New Roman"/>
          <w:i/>
          <w:iCs/>
          <w:sz w:val="24"/>
          <w:szCs w:val="24"/>
          <w:lang w:val="en-US"/>
        </w:rPr>
        <w:t>Lasiurus castanheus</w:t>
      </w:r>
      <w:r w:rsidR="00606C73" w:rsidRPr="00CE79FA">
        <w:rPr>
          <w:rFonts w:ascii="Times New Roman" w:hAnsi="Times New Roman" w:cs="Times New Roman"/>
          <w:sz w:val="24"/>
          <w:szCs w:val="24"/>
          <w:lang w:val="en-US"/>
        </w:rPr>
        <w:t xml:space="preserve"> (Handley, 1960) (Figure S22), </w:t>
      </w:r>
      <w:r w:rsidR="00606C73" w:rsidRPr="00CE79FA">
        <w:rPr>
          <w:rFonts w:ascii="Times New Roman" w:hAnsi="Times New Roman" w:cs="Times New Roman"/>
          <w:i/>
          <w:iCs/>
          <w:sz w:val="24"/>
          <w:szCs w:val="24"/>
          <w:lang w:val="en-US"/>
        </w:rPr>
        <w:t>Lonchorhina inusitata</w:t>
      </w:r>
      <w:r w:rsidR="00606C73" w:rsidRPr="00CE79FA">
        <w:rPr>
          <w:rFonts w:ascii="Times New Roman" w:hAnsi="Times New Roman" w:cs="Times New Roman"/>
          <w:sz w:val="24"/>
          <w:szCs w:val="24"/>
          <w:lang w:val="en-US"/>
        </w:rPr>
        <w:t xml:space="preserve"> (Handley and Ochoa, 1997) (Figure S23), </w:t>
      </w:r>
      <w:r w:rsidR="00606C73" w:rsidRPr="00CE79FA">
        <w:rPr>
          <w:rFonts w:ascii="Times New Roman" w:hAnsi="Times New Roman" w:cs="Times New Roman"/>
          <w:i/>
          <w:iCs/>
          <w:sz w:val="24"/>
          <w:szCs w:val="24"/>
          <w:lang w:val="en-US"/>
        </w:rPr>
        <w:t>Myotis simus</w:t>
      </w:r>
      <w:r w:rsidR="00606C73" w:rsidRPr="00CE79FA">
        <w:rPr>
          <w:rFonts w:ascii="Times New Roman" w:hAnsi="Times New Roman" w:cs="Times New Roman"/>
          <w:sz w:val="24"/>
          <w:szCs w:val="24"/>
          <w:lang w:val="en-US"/>
        </w:rPr>
        <w:t xml:space="preserve"> (Thomas, 1901) (Figure S25), </w:t>
      </w:r>
      <w:r w:rsidR="00606C73" w:rsidRPr="00CE79FA">
        <w:rPr>
          <w:rFonts w:ascii="Times New Roman" w:hAnsi="Times New Roman" w:cs="Times New Roman"/>
          <w:i/>
          <w:iCs/>
          <w:sz w:val="24"/>
          <w:szCs w:val="24"/>
          <w:lang w:val="en-US"/>
        </w:rPr>
        <w:t>Peropteryx trinitatis</w:t>
      </w:r>
      <w:r w:rsidR="00606C73" w:rsidRPr="00CE79FA">
        <w:rPr>
          <w:rFonts w:ascii="Times New Roman" w:hAnsi="Times New Roman" w:cs="Times New Roman"/>
          <w:sz w:val="24"/>
          <w:szCs w:val="24"/>
          <w:lang w:val="en-US"/>
        </w:rPr>
        <w:t xml:space="preserve"> (Miller, 1899) (Figure S26), </w:t>
      </w:r>
      <w:r w:rsidR="00606C73" w:rsidRPr="00CE79FA">
        <w:rPr>
          <w:rFonts w:ascii="Times New Roman" w:hAnsi="Times New Roman" w:cs="Times New Roman"/>
          <w:i/>
          <w:iCs/>
          <w:sz w:val="24"/>
          <w:szCs w:val="24"/>
          <w:lang w:val="en-US"/>
        </w:rPr>
        <w:t>Saccopteryx gimnura</w:t>
      </w:r>
      <w:r w:rsidR="00606C73" w:rsidRPr="00CE79FA">
        <w:rPr>
          <w:rFonts w:ascii="Times New Roman" w:hAnsi="Times New Roman" w:cs="Times New Roman"/>
          <w:sz w:val="24"/>
          <w:szCs w:val="24"/>
          <w:lang w:val="en-US"/>
        </w:rPr>
        <w:t xml:space="preserve"> (Thomas, 1901) (Figure S28), </w:t>
      </w:r>
      <w:r w:rsidR="00606C73" w:rsidRPr="00CE79FA">
        <w:rPr>
          <w:rFonts w:ascii="Times New Roman" w:hAnsi="Times New Roman" w:cs="Times New Roman"/>
          <w:i/>
          <w:iCs/>
          <w:sz w:val="24"/>
          <w:szCs w:val="24"/>
          <w:lang w:val="en-US"/>
        </w:rPr>
        <w:t>Thyroptera lavali</w:t>
      </w:r>
      <w:r w:rsidR="00606C73" w:rsidRPr="00CE79FA">
        <w:rPr>
          <w:rFonts w:ascii="Times New Roman" w:hAnsi="Times New Roman" w:cs="Times New Roman"/>
          <w:sz w:val="24"/>
          <w:szCs w:val="24"/>
          <w:lang w:val="en-US"/>
        </w:rPr>
        <w:t xml:space="preserve"> (Pine, 1993) (Figure S30), which have their potential distribution areas in the northern region of the country, in the Amazon.</w:t>
      </w:r>
    </w:p>
    <w:p w14:paraId="361FE6F4" w14:textId="32D204AD" w:rsidR="00BE6071" w:rsidRPr="00CE79FA" w:rsidRDefault="00A945FB" w:rsidP="00BE6071">
      <w:pPr>
        <w:spacing w:after="0" w:line="360" w:lineRule="auto"/>
        <w:ind w:firstLine="709"/>
        <w:jc w:val="both"/>
        <w:rPr>
          <w:rFonts w:ascii="Times New Roman" w:hAnsi="Times New Roman" w:cs="Times New Roman"/>
          <w:sz w:val="24"/>
          <w:szCs w:val="24"/>
          <w:lang w:val="en-US"/>
        </w:rPr>
      </w:pPr>
      <w:r w:rsidRPr="00CE79FA">
        <w:rPr>
          <w:rFonts w:ascii="Times New Roman" w:hAnsi="Times New Roman" w:cs="Times New Roman"/>
          <w:sz w:val="24"/>
          <w:szCs w:val="24"/>
          <w:lang w:val="en-US"/>
        </w:rPr>
        <w:t xml:space="preserve">The species </w:t>
      </w:r>
      <w:r w:rsidRPr="00CE79FA">
        <w:rPr>
          <w:rFonts w:ascii="Times New Roman" w:hAnsi="Times New Roman" w:cs="Times New Roman"/>
          <w:i/>
          <w:iCs/>
          <w:sz w:val="24"/>
          <w:szCs w:val="24"/>
          <w:lang w:val="en-US"/>
        </w:rPr>
        <w:t>Chiroderma doriae</w:t>
      </w:r>
      <w:r w:rsidRPr="00CE79FA">
        <w:rPr>
          <w:rFonts w:ascii="Times New Roman" w:hAnsi="Times New Roman" w:cs="Times New Roman"/>
          <w:sz w:val="24"/>
          <w:szCs w:val="24"/>
          <w:lang w:val="en-US"/>
        </w:rPr>
        <w:t xml:space="preserve"> (Thomas, 1891) has its potential distribution mainly in the Midwest and Southeast, comprising areas of the Cerrado and Atlantic Forest (Figure S14). The species </w:t>
      </w:r>
      <w:r w:rsidRPr="00CE79FA">
        <w:rPr>
          <w:rFonts w:ascii="Times New Roman" w:hAnsi="Times New Roman" w:cs="Times New Roman"/>
          <w:i/>
          <w:iCs/>
          <w:sz w:val="24"/>
          <w:szCs w:val="24"/>
          <w:lang w:val="en-US"/>
        </w:rPr>
        <w:t>Cynomops abrasus</w:t>
      </w:r>
      <w:r w:rsidRPr="00CE79FA">
        <w:rPr>
          <w:rFonts w:ascii="Times New Roman" w:hAnsi="Times New Roman" w:cs="Times New Roman"/>
          <w:sz w:val="24"/>
          <w:szCs w:val="24"/>
          <w:lang w:val="en-US"/>
        </w:rPr>
        <w:t xml:space="preserve"> (Temminck, 1826) places its potential distribution in areas in the Amazon, Cerrado, and the southern region of the country, including the Brazilian Pampas (Figure S15). The potential distribution of </w:t>
      </w:r>
      <w:r w:rsidRPr="00CE79FA">
        <w:rPr>
          <w:rFonts w:ascii="Times New Roman" w:hAnsi="Times New Roman" w:cs="Times New Roman"/>
          <w:i/>
          <w:iCs/>
          <w:sz w:val="24"/>
          <w:szCs w:val="24"/>
          <w:lang w:val="en-US"/>
        </w:rPr>
        <w:t>Cynomops planitostris</w:t>
      </w:r>
      <w:r w:rsidRPr="00CE79FA">
        <w:rPr>
          <w:rFonts w:ascii="Times New Roman" w:hAnsi="Times New Roman" w:cs="Times New Roman"/>
          <w:sz w:val="24"/>
          <w:szCs w:val="24"/>
          <w:lang w:val="en-US"/>
        </w:rPr>
        <w:t xml:space="preserve"> (Peters, 1866) occurs in areas in the Amazon, Caatinga, Cerrado, and the Atlantic Forest, along the Brazilian coast (Figure S17). Meanwhile, the species </w:t>
      </w:r>
      <w:r w:rsidRPr="00CE79FA">
        <w:rPr>
          <w:rFonts w:ascii="Times New Roman" w:hAnsi="Times New Roman" w:cs="Times New Roman"/>
          <w:i/>
          <w:iCs/>
          <w:sz w:val="24"/>
          <w:szCs w:val="24"/>
          <w:lang w:val="en-US"/>
        </w:rPr>
        <w:t>Eumops mauru</w:t>
      </w:r>
      <w:r w:rsidRPr="00CE79FA">
        <w:rPr>
          <w:rFonts w:ascii="Times New Roman" w:hAnsi="Times New Roman" w:cs="Times New Roman"/>
          <w:sz w:val="24"/>
          <w:szCs w:val="24"/>
          <w:lang w:val="en-US"/>
        </w:rPr>
        <w:t xml:space="preserve">s (Thomas, 1901) occurs in the Amazon, extending to the Midwest in the Brazilian Cerrado (Figure S20). The species </w:t>
      </w:r>
      <w:r w:rsidRPr="00CE79FA">
        <w:rPr>
          <w:rFonts w:ascii="Times New Roman" w:hAnsi="Times New Roman" w:cs="Times New Roman"/>
          <w:i/>
          <w:iCs/>
          <w:sz w:val="24"/>
          <w:szCs w:val="24"/>
          <w:lang w:val="en-US"/>
        </w:rPr>
        <w:t>Histiotus velatus</w:t>
      </w:r>
      <w:r w:rsidRPr="00CE79FA">
        <w:rPr>
          <w:rFonts w:ascii="Times New Roman" w:hAnsi="Times New Roman" w:cs="Times New Roman"/>
          <w:sz w:val="24"/>
          <w:szCs w:val="24"/>
          <w:lang w:val="en-US"/>
        </w:rPr>
        <w:t xml:space="preserve"> (I. Geoffroy, 1824) has potential distribution in areas in the Cerrado, Atlantic Forest, and Pampas in southern Brazil (Figure S21). On the other hand, the species </w:t>
      </w:r>
      <w:r w:rsidRPr="00CE79FA">
        <w:rPr>
          <w:rFonts w:ascii="Times New Roman" w:hAnsi="Times New Roman" w:cs="Times New Roman"/>
          <w:i/>
          <w:iCs/>
          <w:sz w:val="24"/>
          <w:szCs w:val="24"/>
          <w:lang w:val="en-US"/>
        </w:rPr>
        <w:t>Molossops neglectus</w:t>
      </w:r>
      <w:r w:rsidRPr="00CE79FA">
        <w:rPr>
          <w:rFonts w:ascii="Times New Roman" w:hAnsi="Times New Roman" w:cs="Times New Roman"/>
          <w:sz w:val="24"/>
          <w:szCs w:val="24"/>
          <w:lang w:val="en-US"/>
        </w:rPr>
        <w:t xml:space="preserve"> (Williams and Genoways, 1980) has potential occurrence mainly in the Atlantic Forest, also possibly occurring in the Caatinga (Figure S24).</w:t>
      </w:r>
    </w:p>
    <w:p w14:paraId="6C5A7698" w14:textId="06B09096" w:rsidR="00BE6071" w:rsidRPr="00CE79FA" w:rsidRDefault="002444EC" w:rsidP="00BE6071">
      <w:pPr>
        <w:spacing w:after="0" w:line="360" w:lineRule="auto"/>
        <w:ind w:firstLine="709"/>
        <w:jc w:val="both"/>
        <w:rPr>
          <w:rFonts w:ascii="Times New Roman" w:hAnsi="Times New Roman" w:cs="Times New Roman"/>
          <w:color w:val="000000" w:themeColor="text1"/>
          <w:sz w:val="24"/>
          <w:szCs w:val="24"/>
          <w:lang w:val="en-US"/>
        </w:rPr>
      </w:pPr>
      <w:r w:rsidRPr="00CE79FA">
        <w:rPr>
          <w:rFonts w:ascii="Times New Roman" w:hAnsi="Times New Roman" w:cs="Times New Roman"/>
          <w:sz w:val="24"/>
          <w:szCs w:val="24"/>
          <w:lang w:val="en-US"/>
        </w:rPr>
        <w:t xml:space="preserve">It is observed that the species </w:t>
      </w:r>
      <w:r w:rsidRPr="00CE79FA">
        <w:rPr>
          <w:rFonts w:ascii="Times New Roman" w:hAnsi="Times New Roman" w:cs="Times New Roman"/>
          <w:i/>
          <w:iCs/>
          <w:sz w:val="24"/>
          <w:szCs w:val="24"/>
          <w:lang w:val="en-US"/>
        </w:rPr>
        <w:t>Thyroptera wynneae</w:t>
      </w:r>
      <w:r w:rsidRPr="00CE79FA">
        <w:rPr>
          <w:rFonts w:ascii="Times New Roman" w:hAnsi="Times New Roman" w:cs="Times New Roman"/>
          <w:sz w:val="24"/>
          <w:szCs w:val="24"/>
          <w:lang w:val="en-US"/>
        </w:rPr>
        <w:t xml:space="preserve"> (Velazco, Gregorin, Voss, and Simmons, 2014) has potential distribution in the Amazon, Cerrado, extending to areas in the Atlantic Forest (Figure S31). Areas with potential occurrence of </w:t>
      </w:r>
      <w:r w:rsidRPr="00CE79FA">
        <w:rPr>
          <w:rFonts w:ascii="Times New Roman" w:hAnsi="Times New Roman" w:cs="Times New Roman"/>
          <w:i/>
          <w:iCs/>
          <w:sz w:val="24"/>
          <w:szCs w:val="24"/>
          <w:lang w:val="en-US"/>
        </w:rPr>
        <w:t>Vampyressa pusilla</w:t>
      </w:r>
      <w:r w:rsidRPr="00CE79FA">
        <w:rPr>
          <w:rFonts w:ascii="Times New Roman" w:hAnsi="Times New Roman" w:cs="Times New Roman"/>
          <w:sz w:val="24"/>
          <w:szCs w:val="24"/>
          <w:lang w:val="en-US"/>
        </w:rPr>
        <w:t xml:space="preserve"> (Wagner, 1843) are noted in the Amazon, areas in the Cerrado, and Atlantic Forest (Figure S33). Meanwhile, the distribution of the species </w:t>
      </w:r>
      <w:r w:rsidRPr="00CE79FA">
        <w:rPr>
          <w:rFonts w:ascii="Times New Roman" w:hAnsi="Times New Roman" w:cs="Times New Roman"/>
          <w:i/>
          <w:iCs/>
          <w:sz w:val="24"/>
          <w:szCs w:val="24"/>
          <w:lang w:val="en-US"/>
        </w:rPr>
        <w:t>Rhogeessa hussoni</w:t>
      </w:r>
      <w:r w:rsidRPr="00CE79FA">
        <w:rPr>
          <w:rFonts w:ascii="Times New Roman" w:hAnsi="Times New Roman" w:cs="Times New Roman"/>
          <w:sz w:val="24"/>
          <w:szCs w:val="24"/>
          <w:lang w:val="en-US"/>
        </w:rPr>
        <w:t xml:space="preserve"> (Genoways and Baker, 1996) and </w:t>
      </w:r>
      <w:r w:rsidRPr="00CE79FA">
        <w:rPr>
          <w:rFonts w:ascii="Times New Roman" w:hAnsi="Times New Roman" w:cs="Times New Roman"/>
          <w:i/>
          <w:iCs/>
          <w:sz w:val="24"/>
          <w:szCs w:val="24"/>
          <w:lang w:val="en-US"/>
        </w:rPr>
        <w:t>Thyroptera devivoi</w:t>
      </w:r>
      <w:r w:rsidRPr="00CE79FA">
        <w:rPr>
          <w:rFonts w:ascii="Times New Roman" w:hAnsi="Times New Roman" w:cs="Times New Roman"/>
          <w:sz w:val="24"/>
          <w:szCs w:val="24"/>
          <w:lang w:val="en-US"/>
        </w:rPr>
        <w:t xml:space="preserve"> (Gregorin, Goncalves, Lim, and Engstrom, 2006) occurs in areas in the Cerrado, Amazon, and Caatinga (Figure S27 and S29).</w:t>
      </w:r>
    </w:p>
    <w:p w14:paraId="20CD2456" w14:textId="74C059C2" w:rsidR="00FA2F63" w:rsidRPr="00CE79FA" w:rsidRDefault="00AF3D8D" w:rsidP="00BE6071">
      <w:pPr>
        <w:spacing w:after="0" w:line="360" w:lineRule="auto"/>
        <w:ind w:firstLine="709"/>
        <w:jc w:val="both"/>
        <w:rPr>
          <w:rFonts w:ascii="Times New Roman" w:hAnsi="Times New Roman" w:cs="Times New Roman"/>
          <w:b/>
          <w:bCs/>
          <w:sz w:val="24"/>
          <w:szCs w:val="24"/>
          <w:lang w:val="en-US"/>
        </w:rPr>
      </w:pPr>
      <w:r w:rsidRPr="00CE79FA">
        <w:rPr>
          <w:rFonts w:ascii="Times New Roman" w:hAnsi="Times New Roman" w:cs="Times New Roman"/>
          <w:b/>
          <w:bCs/>
          <w:color w:val="000000" w:themeColor="text1"/>
          <w:sz w:val="24"/>
          <w:szCs w:val="24"/>
          <w:lang w:val="en-US"/>
        </w:rPr>
        <w:lastRenderedPageBreak/>
        <w:t>Methodology</w:t>
      </w:r>
    </w:p>
    <w:p w14:paraId="5F4B65EA" w14:textId="43D152C6" w:rsidR="008367CC" w:rsidRPr="00CE79FA" w:rsidRDefault="002B48C1" w:rsidP="00BE6071">
      <w:pPr>
        <w:pStyle w:val="Ttulo2"/>
        <w:spacing w:after="240" w:line="360" w:lineRule="auto"/>
        <w:rPr>
          <w:rFonts w:ascii="Times New Roman" w:eastAsia="Times New Roman" w:hAnsi="Times New Roman" w:cs="Times New Roman"/>
          <w:color w:val="000000"/>
          <w:sz w:val="24"/>
          <w:szCs w:val="24"/>
          <w:lang w:val="en-US" w:eastAsia="pt-BR"/>
        </w:rPr>
      </w:pPr>
      <w:r w:rsidRPr="00CE79FA">
        <w:rPr>
          <w:rFonts w:ascii="Times New Roman" w:eastAsia="Times New Roman" w:hAnsi="Times New Roman" w:cs="Times New Roman"/>
          <w:color w:val="000000"/>
          <w:sz w:val="24"/>
          <w:szCs w:val="24"/>
          <w:lang w:val="en-US" w:eastAsia="pt-BR"/>
        </w:rPr>
        <w:t>Environmental variables</w:t>
      </w:r>
    </w:p>
    <w:p w14:paraId="6A91AC67" w14:textId="313EA411" w:rsidR="008367CC" w:rsidRPr="00CE79FA" w:rsidRDefault="00213C4D" w:rsidP="00EA61D2">
      <w:pPr>
        <w:spacing w:before="240" w:after="0" w:line="360" w:lineRule="auto"/>
        <w:ind w:firstLine="709"/>
        <w:jc w:val="both"/>
        <w:rPr>
          <w:rFonts w:ascii="Times New Roman" w:hAnsi="Times New Roman" w:cs="Times New Roman"/>
          <w:sz w:val="24"/>
          <w:szCs w:val="24"/>
          <w:lang w:val="en-US"/>
        </w:rPr>
      </w:pPr>
      <w:r w:rsidRPr="00CE79FA">
        <w:rPr>
          <w:rFonts w:ascii="Times New Roman" w:eastAsia="Times New Roman" w:hAnsi="Times New Roman" w:cs="Times New Roman"/>
          <w:color w:val="000000"/>
          <w:sz w:val="24"/>
          <w:szCs w:val="24"/>
          <w:lang w:val="en-US" w:eastAsia="pt-BR"/>
        </w:rPr>
        <w:t>We used 19 bioclimatic variables (resolution of 9.4 x 9.4 km) for the Neotropical region, obtained from the WorldClim database (http://www.worldclim.org/). The data obtained are included in the group of monthly climatic variables sampled between 1970-2000 from WorldClim 2.1 version</w:t>
      </w:r>
      <w:r w:rsidR="006531BB">
        <w:rPr>
          <w:rFonts w:ascii="Times New Roman" w:eastAsia="Times New Roman" w:hAnsi="Times New Roman" w:cs="Times New Roman"/>
          <w:color w:val="000000"/>
          <w:sz w:val="24"/>
          <w:szCs w:val="24"/>
          <w:lang w:val="en-US" w:eastAsia="pt-BR"/>
        </w:rPr>
        <w:fldChar w:fldCharType="begin" w:fldLock="1"/>
      </w:r>
      <w:r w:rsidR="006531BB">
        <w:rPr>
          <w:rFonts w:ascii="Times New Roman" w:eastAsia="Times New Roman" w:hAnsi="Times New Roman" w:cs="Times New Roman"/>
          <w:color w:val="000000"/>
          <w:sz w:val="24"/>
          <w:szCs w:val="24"/>
          <w:lang w:val="en-US" w:eastAsia="pt-BR"/>
        </w:rPr>
        <w:instrText>ADDIN CSL_CITATION {"citationItems":[{"id":"ITEM-1","itemData":{"DOI":"10.1002/joc.5086","ISSN":"10970088","abstract":"We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data.","author":[{"dropping-particle":"","family":"Fick","given":"Stephen E.","non-dropping-particle":"","parse-names":false,"suffix":""},{"dropping-particle":"","family":"Hijmans","given":"Robert J.","non-dropping-particle":"","parse-names":false,"suffix":""}],"container-title":"International Journal of Climatology","id":"ITEM-1","issue":"12","issued":{"date-parts":[["2017"]]},"page":"4302-4315","title":"WorldClim 2: new 1-km spatial resolution climate surfaces for global land areas","type":"article-journal","volume":"37"},"uris":["http://www.mendeley.com/documents/?uuid=30d054cf-a5d8-43ae-85d1-268df8f2a2c6"]}],"mendeley":{"formattedCitation":"&lt;sup&gt;1&lt;/sup&gt;","plainTextFormattedCitation":"1"},"properties":{"noteIndex":0},"schema":"https://github.com/citation-style-language/schema/raw/master/csl-citation.json"}</w:instrText>
      </w:r>
      <w:r w:rsidR="006531BB">
        <w:rPr>
          <w:rFonts w:ascii="Times New Roman" w:eastAsia="Times New Roman" w:hAnsi="Times New Roman" w:cs="Times New Roman"/>
          <w:color w:val="000000"/>
          <w:sz w:val="24"/>
          <w:szCs w:val="24"/>
          <w:lang w:val="en-US" w:eastAsia="pt-BR"/>
        </w:rPr>
        <w:fldChar w:fldCharType="separate"/>
      </w:r>
      <w:r w:rsidR="006531BB" w:rsidRPr="006531BB">
        <w:rPr>
          <w:rFonts w:ascii="Times New Roman" w:eastAsia="Times New Roman" w:hAnsi="Times New Roman" w:cs="Times New Roman"/>
          <w:noProof/>
          <w:color w:val="000000"/>
          <w:sz w:val="24"/>
          <w:szCs w:val="24"/>
          <w:vertAlign w:val="superscript"/>
          <w:lang w:val="en-US" w:eastAsia="pt-BR"/>
        </w:rPr>
        <w:t>1</w:t>
      </w:r>
      <w:r w:rsidR="006531BB">
        <w:rPr>
          <w:rFonts w:ascii="Times New Roman" w:eastAsia="Times New Roman" w:hAnsi="Times New Roman" w:cs="Times New Roman"/>
          <w:color w:val="000000"/>
          <w:sz w:val="24"/>
          <w:szCs w:val="24"/>
          <w:lang w:val="en-US" w:eastAsia="pt-BR"/>
        </w:rPr>
        <w:fldChar w:fldCharType="end"/>
      </w:r>
      <w:r w:rsidRPr="00CE79FA">
        <w:rPr>
          <w:rFonts w:ascii="Times New Roman" w:eastAsia="Times New Roman" w:hAnsi="Times New Roman" w:cs="Times New Roman"/>
          <w:color w:val="000000"/>
          <w:sz w:val="24"/>
          <w:szCs w:val="24"/>
          <w:lang w:val="en-US" w:eastAsia="pt-BR"/>
        </w:rPr>
        <w:t>. These data are frequently used for Species Distribution Modeling (SDM) to assess the potential distribution of species</w:t>
      </w:r>
      <w:r w:rsidR="00B84944" w:rsidRPr="00CE79FA">
        <w:rPr>
          <w:rFonts w:ascii="Times New Roman" w:eastAsia="Microsoft YaHei" w:hAnsi="Times New Roman" w:cs="Times New Roman"/>
          <w:color w:val="000000" w:themeColor="text1"/>
          <w:sz w:val="24"/>
          <w:szCs w:val="24"/>
        </w:rPr>
        <w:fldChar w:fldCharType="begin" w:fldLock="1"/>
      </w:r>
      <w:r w:rsidR="006531BB">
        <w:rPr>
          <w:rFonts w:ascii="Times New Roman" w:eastAsia="Microsoft YaHei" w:hAnsi="Times New Roman" w:cs="Times New Roman"/>
          <w:color w:val="000000" w:themeColor="text1"/>
          <w:sz w:val="24"/>
          <w:szCs w:val="24"/>
          <w:lang w:val="en-US"/>
        </w:rPr>
        <w:instrText>ADDIN CSL_CITATION {"citationItems":[{"id":"ITEM-1","itemData":{"DOI":"10.1371/journal.pone.0042466","ISSN":"19326203","PMID":"22900023","abstract":"Success of the cattle industry in Latin America is impeded by the common vampire bat, Desmodus rotundus, through decreases in milk production and mass gain and increased risk of secondary infection and rabies. We used ecological niche modeling to predict the current potential distribution of D. rotundus and the future distribution of the species for the years 2030, 2050, and 2080 based on the A2, A1B, and B1 climate scenarios from the Intergovernmental Panel on Climate Change. We then combined the present day potential distribution with cattle density estimates to identify areas where cattle are at higher risk for the negative impacts due to D. rotundus. We evaluated our risk prediction by plotting 17 documented outbreaks of cattle rabies. Our results indicated highly suitable habitat for D. rotundus occurs throughout most of Mexico and Central America as well as portions of Venezuela, Guyana, the Brazilian highlands, western Ecuador, northern Argentina, and east of the Andes in Peru, Bolivia, and Paraguay. With future climate projections suitable habitat for D. rotundus is predicted in these same areas and additional areas in French Guyana, Suriname, Venezuela and Columbia; however D. rotundus are not likely to expand into the U.S. because of inadequate 'temperature seasonality.' Areas with large portions of cattle at risk include Mexico, Central America, Paraguay, and Brazil. Twelve of 17 documented cattle rabies outbreaks were represented in regions predicted at risk. Our present day and future predictions can help authorities focus rabies prevention efforts and inform cattle ranchers which areas are at an increased risk of cattle rabies because it has suitable habitat for D. rotundus. © 2012 Lee et al.","author":[{"dropping-particle":"","family":"Lee","given":"Dana N.","non-dropping-particle":"","parse-names":false,"suffix":""},{"dropping-particle":"","family":"Papeş","given":"Monica","non-dropping-particle":"","parse-names":false,"suffix":""},{"dropping-particle":"","family":"Bussche","given":"Ronald A.","non-dropping-particle":"van Den","parse-names":false,"suffix":""}],"container-title":"PLoS ONE","id":"ITEM-1","issue":"8","issued":{"date-parts":[["2012"]]},"page":"1-9","title":"Present and potential future distribution of common Vampire bats in the Americas and the associated risk to cattle","type":"article-journal","volume":"7"},"uris":["http://www.mendeley.com/documents/?uuid=a15b0aa1-5a43-46a0-a456-6ce910a4718a"]}],"mendeley":{"formattedCitation":"&lt;sup&gt;2&lt;/sup&gt;","plainTextFormattedCitation":"2","previouslyFormattedCitation":"&lt;sup&gt;1&lt;/sup&gt;"},"properties":{"noteIndex":0},"schema":"https://github.com/citation-style-language/schema/raw/master/csl-citation.json"}</w:instrText>
      </w:r>
      <w:r w:rsidR="00B84944" w:rsidRPr="00CE79FA">
        <w:rPr>
          <w:rFonts w:ascii="Times New Roman" w:eastAsia="Microsoft YaHei" w:hAnsi="Times New Roman" w:cs="Times New Roman"/>
          <w:color w:val="000000" w:themeColor="text1"/>
          <w:sz w:val="24"/>
          <w:szCs w:val="24"/>
        </w:rPr>
        <w:fldChar w:fldCharType="separate"/>
      </w:r>
      <w:r w:rsidR="006531BB" w:rsidRPr="006531BB">
        <w:rPr>
          <w:rFonts w:ascii="Times New Roman" w:eastAsia="Microsoft YaHei" w:hAnsi="Times New Roman" w:cs="Times New Roman"/>
          <w:noProof/>
          <w:color w:val="000000" w:themeColor="text1"/>
          <w:sz w:val="24"/>
          <w:szCs w:val="24"/>
          <w:vertAlign w:val="superscript"/>
          <w:lang w:val="en-US"/>
        </w:rPr>
        <w:t>2</w:t>
      </w:r>
      <w:r w:rsidR="00B84944" w:rsidRPr="00CE79FA">
        <w:rPr>
          <w:rFonts w:ascii="Times New Roman" w:eastAsia="Microsoft YaHei" w:hAnsi="Times New Roman" w:cs="Times New Roman"/>
          <w:color w:val="000000" w:themeColor="text1"/>
          <w:sz w:val="24"/>
          <w:szCs w:val="24"/>
        </w:rPr>
        <w:fldChar w:fldCharType="end"/>
      </w:r>
      <w:r w:rsidR="008367CC" w:rsidRPr="006531BB">
        <w:rPr>
          <w:rFonts w:ascii="Times New Roman" w:hAnsi="Times New Roman" w:cs="Times New Roman"/>
          <w:sz w:val="24"/>
          <w:szCs w:val="24"/>
          <w:lang w:val="en-US"/>
        </w:rPr>
        <w:t xml:space="preserve">. </w:t>
      </w:r>
      <w:r w:rsidR="003A001E" w:rsidRPr="00CE79FA">
        <w:rPr>
          <w:rFonts w:ascii="Times New Roman" w:hAnsi="Times New Roman" w:cs="Times New Roman"/>
          <w:sz w:val="24"/>
          <w:szCs w:val="24"/>
          <w:lang w:val="en-US"/>
        </w:rPr>
        <w:t>To reduce multicollinearity in our dataset, we performed a Principal Component Analysis (PCA)</w:t>
      </w:r>
      <w:r w:rsidR="005E525A"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lang w:val="en-US"/>
        </w:rPr>
        <w:instrText>ADDIN CSL_CITATION {"citationItems":[{"id":"ITEM-1","itemData":{"ISBN":"9780444538697","abstract":"Legendre &amp; Legendre 2012 Numerical Ecology, 3ed. Elsevier. (isbn: 9780444538680 )","author":[{"dropping-particle":"","family":"Legendre","given":"P","non-dropping-particle":"","parse-names":false,"suffix":""},{"dropping-particle":"","family":"Legendre","given":"L.","non-dropping-particle":"","parse-names":false,"suffix":""}],"container-title":"Elsevier","id":"ITEM-1","issued":{"date-parts":[["2012"]]},"title":"Numerical ecology. In Developments in Environmental Modelling series","type":"book","volume":"24"},"uris":["http://www.mendeley.com/documents/?uuid=83b2af97-d322-34c8-95e8-663b5248ed0f"]}],"mendeley":{"formattedCitation":"&lt;sup&gt;3&lt;/sup&gt;","plainTextFormattedCitation":"3","previouslyFormattedCitation":"&lt;sup&gt;2&lt;/sup&gt;"},"properties":{"noteIndex":0},"schema":"https://github.com/citation-style-language/schema/raw/master/csl-citation.json"}</w:instrText>
      </w:r>
      <w:r w:rsidR="005E525A"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lang w:val="en-US"/>
        </w:rPr>
        <w:t>3</w:t>
      </w:r>
      <w:r w:rsidR="005E525A" w:rsidRPr="00CE79FA">
        <w:rPr>
          <w:rFonts w:ascii="Times New Roman" w:hAnsi="Times New Roman" w:cs="Times New Roman"/>
          <w:sz w:val="24"/>
          <w:szCs w:val="24"/>
        </w:rPr>
        <w:fldChar w:fldCharType="end"/>
      </w:r>
      <w:r w:rsidR="008367CC" w:rsidRPr="00CE79FA">
        <w:rPr>
          <w:rFonts w:ascii="Times New Roman" w:hAnsi="Times New Roman" w:cs="Times New Roman"/>
          <w:sz w:val="24"/>
          <w:szCs w:val="24"/>
          <w:lang w:val="en-US"/>
        </w:rPr>
        <w:t xml:space="preserve"> </w:t>
      </w:r>
      <w:r w:rsidR="003A001E" w:rsidRPr="00CE79FA">
        <w:rPr>
          <w:rFonts w:ascii="Times New Roman" w:hAnsi="Times New Roman" w:cs="Times New Roman"/>
          <w:sz w:val="24"/>
          <w:szCs w:val="24"/>
          <w:lang w:val="en-US"/>
        </w:rPr>
        <w:t>and used the eigenvalues as environmental variables. Then, we selected only the axes that represent an explanation equal to or greater than 95%</w:t>
      </w:r>
      <w:r w:rsidR="005417F1"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lang w:val="en-US"/>
        </w:rPr>
        <w:instrText>ADDIN CSL_CITATION {"citationItems":[{"id":"ITEM-1","itemData":{"DOI":"10.1371/journal.pone.0202403","ISBN":"1111111111","ISSN":"19326203","PMID":"30204749","abstract":"The increasing use of species distribution modeling (SDM) has raised new concerns regarding the inaccuracies, misunderstanding, and misuses of this important tool. One of those possible pitfalls − collinearity among environmental predictors − is assumed as an important source of model uncertainty, although it has not been subjected to a detailed evaluation in recent SDM studies. It is expected that collinearity will increase uncertainty in model parameters and decrease statistical power. Here we use a virtual species approach to compare models built using subsets of PCA-derived variables with models based on the original highly correlated climate variables. Moreover, we evaluated whether modelling algorithms and species data characteristics generate models with varying sensitivity to collinearity. As expected, collinearity among predictors decreases the efficiency and increases the uncertainty of species distribution models. Nevertheless, the intensity of the effect varied according to the algorithm properties: more complex procedures behaved better than simple envelope models. This may support the claim that complex models such as Maxent take advantage of existing collinearity in finding the best set of parameters. The interaction of the different factors with species characteristics (centroid and tolerance in environmental space) highlighted the importance of the so-called “idiosyncrasy in species responses” to model efficiency, but differences in prevalence may represent a better explanation. However, even models with low accuracy to predict suitability of individual cells may provide meaningful information on the estimation of range-size, a key species-trait for macroecological studies. We concluded that the use of PCA-derived variables is advised both to control the negative effects of collinearity and as a more objective solution for the problem of variable selection in studies dealing with large number of species with heterogeneous responses to environmental variables.","author":[{"dropping-particle":"","family":"Marco","given":"Paulo","non-dropping-particle":"De","parse-names":false,"suffix":""},{"dropping-particle":"","family":"Nóbrega","given":"Caroline Corrêa","non-dropping-particle":"","parse-names":false,"suffix":""}],"container-title":"PLoS ONE","id":"ITEM-1","issue":"9","issued":{"date-parts":[["2018"]]},"title":"Evaluating collinearity effects on species distribution models: An approach based on virtual species simulation","type":"article-journal","volume":"13"},"uris":["http://www.mendeley.com/documents/?uuid=e6de7cd3-2917-434b-bfb1-108742ac3ce6"]}],"mendeley":{"formattedCitation":"&lt;sup&gt;4&lt;/sup&gt;","plainTextFormattedCitation":"4","previouslyFormattedCitation":"&lt;sup&gt;3&lt;/sup&gt;"},"properties":{"noteIndex":0},"schema":"https://github.com/citation-style-language/schema/raw/master/csl-citation.json"}</w:instrText>
      </w:r>
      <w:r w:rsidR="005417F1"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lang w:val="en-US"/>
        </w:rPr>
        <w:t>4</w:t>
      </w:r>
      <w:r w:rsidR="005417F1" w:rsidRPr="00CE79FA">
        <w:rPr>
          <w:rFonts w:ascii="Times New Roman" w:hAnsi="Times New Roman" w:cs="Times New Roman"/>
          <w:sz w:val="24"/>
          <w:szCs w:val="24"/>
        </w:rPr>
        <w:fldChar w:fldCharType="end"/>
      </w:r>
      <w:r w:rsidR="008367CC" w:rsidRPr="00CE79FA">
        <w:rPr>
          <w:rFonts w:ascii="Times New Roman" w:hAnsi="Times New Roman" w:cs="Times New Roman"/>
          <w:sz w:val="24"/>
          <w:szCs w:val="24"/>
          <w:lang w:val="en-US"/>
        </w:rPr>
        <w:t xml:space="preserve">, </w:t>
      </w:r>
      <w:r w:rsidR="003452AE" w:rsidRPr="00CE79FA">
        <w:rPr>
          <w:rFonts w:ascii="Times New Roman" w:hAnsi="Times New Roman" w:cs="Times New Roman"/>
          <w:sz w:val="24"/>
          <w:szCs w:val="24"/>
          <w:lang w:val="en-US"/>
        </w:rPr>
        <w:t>using these axes as model variables.</w:t>
      </w:r>
    </w:p>
    <w:p w14:paraId="718FE8EC" w14:textId="11F75BCF" w:rsidR="008367CC" w:rsidRPr="00CE79FA" w:rsidRDefault="008367CC" w:rsidP="00EA61D2">
      <w:pPr>
        <w:pStyle w:val="Ttulo2"/>
        <w:spacing w:before="240" w:after="240" w:line="360" w:lineRule="auto"/>
        <w:rPr>
          <w:rFonts w:ascii="Times New Roman" w:hAnsi="Times New Roman" w:cs="Times New Roman"/>
          <w:color w:val="0D0D0D" w:themeColor="text1" w:themeTint="F2"/>
          <w:sz w:val="24"/>
          <w:szCs w:val="24"/>
          <w:lang w:val="en-US"/>
        </w:rPr>
      </w:pPr>
      <w:bookmarkStart w:id="0" w:name="_Toc129879751"/>
      <w:r w:rsidRPr="00CE79FA">
        <w:rPr>
          <w:rFonts w:ascii="Times New Roman" w:hAnsi="Times New Roman" w:cs="Times New Roman"/>
          <w:color w:val="0D0D0D" w:themeColor="text1" w:themeTint="F2"/>
          <w:sz w:val="24"/>
          <w:szCs w:val="24"/>
          <w:lang w:val="en-US"/>
        </w:rPr>
        <w:t>Algorit</w:t>
      </w:r>
      <w:r w:rsidR="00376EC5" w:rsidRPr="00CE79FA">
        <w:rPr>
          <w:rFonts w:ascii="Times New Roman" w:hAnsi="Times New Roman" w:cs="Times New Roman"/>
          <w:color w:val="0D0D0D" w:themeColor="text1" w:themeTint="F2"/>
          <w:sz w:val="24"/>
          <w:szCs w:val="24"/>
          <w:lang w:val="en-US"/>
        </w:rPr>
        <w:t>h</w:t>
      </w:r>
      <w:r w:rsidRPr="00CE79FA">
        <w:rPr>
          <w:rFonts w:ascii="Times New Roman" w:hAnsi="Times New Roman" w:cs="Times New Roman"/>
          <w:color w:val="0D0D0D" w:themeColor="text1" w:themeTint="F2"/>
          <w:sz w:val="24"/>
          <w:szCs w:val="24"/>
          <w:lang w:val="en-US"/>
        </w:rPr>
        <w:t>ms</w:t>
      </w:r>
      <w:bookmarkEnd w:id="0"/>
    </w:p>
    <w:p w14:paraId="38E78917" w14:textId="70D725AD" w:rsidR="008367CC" w:rsidRPr="00CE79FA" w:rsidRDefault="000F693B" w:rsidP="00EA61D2">
      <w:pPr>
        <w:pStyle w:val="PargrafodaLista"/>
        <w:spacing w:before="240" w:after="0" w:line="360" w:lineRule="auto"/>
        <w:ind w:left="0" w:firstLine="709"/>
        <w:jc w:val="both"/>
        <w:rPr>
          <w:rFonts w:ascii="Times New Roman" w:eastAsia="Times New Roman" w:hAnsi="Times New Roman" w:cs="Times New Roman"/>
          <w:sz w:val="24"/>
          <w:szCs w:val="24"/>
          <w:lang w:val="en-US" w:eastAsia="pt-BR"/>
        </w:rPr>
      </w:pPr>
      <w:r w:rsidRPr="00CE79FA">
        <w:rPr>
          <w:rFonts w:ascii="Times New Roman" w:hAnsi="Times New Roman" w:cs="Times New Roman"/>
          <w:sz w:val="24"/>
          <w:szCs w:val="24"/>
          <w:lang w:val="en-US"/>
        </w:rPr>
        <w:t>For the creation of the SDMs, four algorithms were used: Maxent (MXE)</w:t>
      </w:r>
      <w:r w:rsidR="006E3A1B"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lang w:val="en-US"/>
        </w:rPr>
        <w:instrText>ADDIN CSL_CITATION {"citationItems":[{"id":"ITEM-1","itemData":{"DOI":"10.1111/ecog.03049","ISSN":"16000587","abstract":"This software note announces a new open-source release of the Maxent software for modeling species distributions from occurrence records and environmental data, and describes a new R package for fitting such models. The new release (ver. 3.4.0) will be hosted online by the American Museum of Natural History, along with future versions. It contains small functional changes, most notably use of a complementary log-log (cloglog) transform to produce an estimate of occurrence probability. The cloglog transform derives from the recently-published interpretation of Maxent as an inhomogeneous Poisson process (IPP), giving it a stronger theoretical justification than the logistic transform which it replaces by default. In addition, the new R package, maxnet, fits Maxent models using the glmnet package for regularized generalized linear models. We discuss the implications of the IPP formulation in terms of model inputs and outputs, treating occurrence records as points rather than grid cells and interpreting the exponential Maxent model (raw output) as as an estimate of relative abundance. With these two open-source developments, we invite others to freely use and contribute to the software.","author":[{"dropping-particle":"","family":"Phillips","given":"Steven J.","non-dropping-particle":"","parse-names":false,"suffix":""},{"dropping-particle":"","family":"Anderson","given":"Robert P.","non-dropping-particle":"","parse-names":false,"suffix":""},{"dropping-particle":"","family":"Dudík","given":"Miroslav","non-dropping-particle":"","parse-names":false,"suffix":""},{"dropping-particle":"","family":"Schapire","given":"Robert E.","non-dropping-particle":"","parse-names":false,"suffix":""},{"dropping-particle":"","family":"Blair","given":"Mary E.","non-dropping-particle":"","parse-names":false,"suffix":""}],"container-title":"Ecography","id":"ITEM-1","issue":"7","issued":{"date-parts":[["2017"]]},"page":"887-893","title":"Opening the black box: an open-source release of Maxent","type":"article-journal","volume":"40"},"uris":["http://www.mendeley.com/documents/?uuid=a17a8c4f-d874-418c-91d5-266b82a7c34f"]}],"mendeley":{"formattedCitation":"&lt;sup&gt;5&lt;/sup&gt;","plainTextFormattedCitation":"5","previouslyFormattedCitation":"&lt;sup&gt;4&lt;/sup&gt;"},"properties":{"noteIndex":0},"schema":"https://github.com/citation-style-language/schema/raw/master/csl-citation.json"}</w:instrText>
      </w:r>
      <w:r w:rsidR="006E3A1B"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lang w:val="en-US"/>
        </w:rPr>
        <w:t>5</w:t>
      </w:r>
      <w:r w:rsidR="006E3A1B" w:rsidRPr="00CE79FA">
        <w:rPr>
          <w:rFonts w:ascii="Times New Roman" w:hAnsi="Times New Roman" w:cs="Times New Roman"/>
          <w:sz w:val="24"/>
          <w:szCs w:val="24"/>
        </w:rPr>
        <w:fldChar w:fldCharType="end"/>
      </w:r>
      <w:r w:rsidR="008367CC" w:rsidRPr="00CE79FA">
        <w:rPr>
          <w:rFonts w:ascii="Times New Roman" w:hAnsi="Times New Roman" w:cs="Times New Roman"/>
          <w:sz w:val="24"/>
          <w:szCs w:val="24"/>
          <w:lang w:val="en-US"/>
        </w:rPr>
        <w:t xml:space="preserve">, </w:t>
      </w:r>
      <w:r w:rsidR="0012785F" w:rsidRPr="00CE79FA">
        <w:rPr>
          <w:rFonts w:ascii="Times New Roman" w:hAnsi="Times New Roman" w:cs="Times New Roman"/>
          <w:sz w:val="24"/>
          <w:szCs w:val="24"/>
          <w:lang w:val="en-US"/>
        </w:rPr>
        <w:t>Random Forest (RDF)</w:t>
      </w:r>
      <w:r w:rsidR="001F7A5F"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lang w:val="en-US"/>
        </w:rPr>
        <w:instrText>ADDIN CSL_CITATION {"citationItems":[{"id":"ITEM-1","itemData":{"DOI":"10.1007/s10021-005-0054-1","ISSN":"14329840","abstract":"The task of modeling the distribution of a large number of tree species under future climate scenarios presents unique challenges. First, the model must be robust enough to handle climate data outside the current range without producing unacceptable instability in the output. In addition, the technique should have automatic search mechanisms built in to select the most appropriate values for input model parameters for each species so that minimal effort is required when these parameters are fine-tuned for individual tree species. We evaluated four statistical models - Regression Tree Analysis (RTA), Bagging Trees (BT), Random Forests (RF), and Multivariate Adaptive Regression Splines (MARS) - for predictive vegetation mapping under current and future climate scenarios according to the Canadian Climate Centre global circulation model. To test, we applied these techniques to four tree species common in the eastern United States: loblolly pine (Pinus taeda), sugar maple (Acer saccharum), American beech (Fagus grandifolia), and white oak (Quercus alba). When the four techniques were assessed with Kappa and fuzzy Kappa statistics, RF and BT were superior in reproducing current importance value (a measure of basal area in addition to abundance) distributions for the four tree species, as derived from approximately 100,000 USDA Forest Service's Forest Inventory and Analysis plots. Future estimates of suitable habitat after climate change were visually more reasonable with BT and RF, with slightly better performance by RF as assessed by Kappa statistics, correlation estimates, and spatial distribution of importance values. Although RTA did not perform as well as BT and RF, it provided interpretive models for species whose distributions were captured well by our current set of predictors. MARS was adequate for predicting current distributions but unacceptable for future climate. We consider RTA, BT, and RF modeling approaches, especially when used together to take advantage of their individual strengths, to be robust for predictive mapping and recommend their inclusion in the ecological toolbox. © 2006 Springer Science+Business Media, Inc.","author":[{"dropping-particle":"","family":"Prasad","given":"Anantha M.","non-dropping-particle":"","parse-names":false,"suffix":""},{"dropping-particle":"","family":"Iverson","given":"Louis R.","non-dropping-particle":"","parse-names":false,"suffix":""},{"dropping-particle":"","family":"Liaw","given":"Andy","non-dropping-particle":"","parse-names":false,"suffix":""}],"container-title":"Ecosystems","id":"ITEM-1","issue":"2","issued":{"date-parts":[["2006"]]},"page":"181-199","title":"Newer classification and regression tree techniques: Bagging and random forests for ecological prediction","type":"article-journal","volume":"9"},"uris":["http://www.mendeley.com/documents/?uuid=780c040b-e854-4bde-81a5-59934ec81e47"]}],"mendeley":{"formattedCitation":"&lt;sup&gt;6&lt;/sup&gt;","plainTextFormattedCitation":"6","previouslyFormattedCitation":"&lt;sup&gt;5&lt;/sup&gt;"},"properties":{"noteIndex":0},"schema":"https://github.com/citation-style-language/schema/raw/master/csl-citation.json"}</w:instrText>
      </w:r>
      <w:r w:rsidR="001F7A5F"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rPr>
        <w:t>6</w:t>
      </w:r>
      <w:r w:rsidR="001F7A5F" w:rsidRPr="00CE79FA">
        <w:rPr>
          <w:rFonts w:ascii="Times New Roman" w:hAnsi="Times New Roman" w:cs="Times New Roman"/>
          <w:sz w:val="24"/>
          <w:szCs w:val="24"/>
        </w:rPr>
        <w:fldChar w:fldCharType="end"/>
      </w:r>
      <w:r w:rsidR="008367CC" w:rsidRPr="00CE79FA">
        <w:rPr>
          <w:rFonts w:ascii="Times New Roman" w:hAnsi="Times New Roman" w:cs="Times New Roman"/>
          <w:sz w:val="24"/>
          <w:szCs w:val="24"/>
        </w:rPr>
        <w:t>, Support Vector Machine (SVM)</w:t>
      </w:r>
      <w:r w:rsidR="008B14F2"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rPr>
        <w:instrText>ADDIN CSL_CITATION {"citationItems":[{"id":"ITEM-1","itemData":{"DOI":"10.1016/j.ecolmodel.2004.07.012","ISSN":"03043800","abstract":"In the central California coastal forests, a newly discovered virulent pathogen (Phytophthora ramorum) has killed hundreds of thousands of native oak trees. Predicting the potential distribution of the disease in California remains an urgent demand of regulators and scientists. Most methods used to map potential ranges of species (e.g. multivariate or logistic regression) require both presence and absence data, the latter of which are not always feasibly collected, and thus the methods often require the generation of 'pseudo' absence data. Other methods (e.g. BIOCLIM and DOMAIN) seek to model the presence-only data directly. In this study, we present alternative methods to conventional approaches to modeling by developing support vector machines (SVMs), which are the new generation of machine learning algorithms used to find optimal separability between classes within datasets, to predict the potential distribution of Sudden Oak Death in California. We compared the performances of two types of SVMs models: two-class SVMs with 'pseudo' absence data and one-class SVMs. Both models performed well. The one-class SVMs have a slightly better true-positive rate (0.9272 ± 0.0460 S.D.) than the two-class SVMs (0.9105 ± 0.0712 S.D.). However, the area predicted to be at risk for the disease using the one-class SVMs (18,441 km 2) is much larger than that of the two-class SVMs (13,828 km 2). Both models show that the majority of disease risk will occur in coastal areas. Compared with the results of two-class SVMs, the one-class SVMs predict a potential risk in the foothills of the Sierra Nevada mountain ranges; much greater risks are also found in Los Angles and Humboldt Counties. We believe the support vector machines when coupled with geographic information system (GIS) will be a useful method to deal with presence-only data in ecological analysis over a range of scales. © 2004 Elsevier B.V. All rights reserved.","author":[{"dropping-particle":"","family":"Guo","given":"Qinghua","non-dropping-particle":"","parse-names":false,"suffix":""},{"dropping-particle":"","family":"Kelly","given":"Maggi","non-dropping-particle":"","parse-names":false,"suffix":""},{"dropping-particle":"","family":"Graham","given":"Catherine H.","non-dropping-particle":"","parse-names":false,"suffix":""}],"container-title":"Ecological Modelling","id":"ITEM-1","issue":"1","issued":{"date-parts":[["2005"]]},"page":"75-90","title":"Support vector machines for predicting distribution of Sudden Oak Death in California","type":"article-journal","volume":"182"},"uris":["http://www.mendeley.com/documents/?uuid=01828a72-3e86-4160-ab8b-91bf069a507c"]}],"mendeley":{"formattedCitation":"&lt;sup&gt;7&lt;/sup&gt;","plainTextFormattedCitation":"7","previouslyFormattedCitation":"&lt;sup&gt;6&lt;/sup&gt;"},"properties":{"noteIndex":0},"schema":"https://github.com/citation-style-language/schema/raw/master/csl-citation.json"}</w:instrText>
      </w:r>
      <w:r w:rsidR="008B14F2"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rPr>
        <w:t>7</w:t>
      </w:r>
      <w:r w:rsidR="008B14F2" w:rsidRPr="00CE79FA">
        <w:rPr>
          <w:rFonts w:ascii="Times New Roman" w:hAnsi="Times New Roman" w:cs="Times New Roman"/>
          <w:sz w:val="24"/>
          <w:szCs w:val="24"/>
        </w:rPr>
        <w:fldChar w:fldCharType="end"/>
      </w:r>
      <w:r w:rsidR="008367CC" w:rsidRPr="00CE79FA">
        <w:rPr>
          <w:rFonts w:ascii="Times New Roman" w:hAnsi="Times New Roman" w:cs="Times New Roman"/>
          <w:sz w:val="24"/>
          <w:szCs w:val="24"/>
        </w:rPr>
        <w:t xml:space="preserve"> </w:t>
      </w:r>
      <w:r w:rsidR="0012785F" w:rsidRPr="00CE79FA">
        <w:rPr>
          <w:rFonts w:ascii="Times New Roman" w:hAnsi="Times New Roman" w:cs="Times New Roman"/>
          <w:sz w:val="24"/>
          <w:szCs w:val="24"/>
        </w:rPr>
        <w:t>and Gaussian-Bayesian</w:t>
      </w:r>
      <w:r w:rsidR="008367CC" w:rsidRPr="00CE79FA">
        <w:rPr>
          <w:rFonts w:ascii="Times New Roman" w:hAnsi="Times New Roman" w:cs="Times New Roman"/>
          <w:sz w:val="24"/>
          <w:szCs w:val="24"/>
        </w:rPr>
        <w:t xml:space="preserve"> (GAU)</w:t>
      </w:r>
      <w:r w:rsidR="008D424D"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rPr>
        <w:instrText>ADDIN CSL_CITATION {"citationItems":[{"id":"ITEM-1","itemData":{"DOI":"10.1111/2041-210X.12523","ISSN":"2041210X","abstract":"Species distribution modelling (SDM) is widely used in ecology, and predictions of species distributions inform both policy and ecological debates. Therefore, methods with high predictive accuracy and those that enable biological interpretation are preferable. Gaussian processes (GPs) are a highly flexible approach to statistical modelling and have recently been proposed for SDM. GP models fit smooth, but potentially complex response functions that can account for high-dimensional interactions between predictors. We propose fitting GP SDMs using deterministic numerical approximations, rather than Markov chain Monte Carlo methods in order to make GPs more computationally efficient and easy to use. We introduce GP models and their application to SDM, illustrate how ecological knowledge can be incorporated into GP SDMs via Bayesian priors and formulate a simple GP SDM that can be fitted efficiently. This model can be fitted either by learning the hyperparameters or by using a fixed approximation to them. Using a subset of the North American Breeding Bird Survey data set, we compare the out-of-sample predictive accuracy of these models with several commonly used SDM approaches for both presence/absence and presence-only data. Predictive accuracy of GP SDMs fitted by Laplace approximation was greater than boosted regression trees, generalized additive models (GAMs) and logistic regression when trained on prese</w:instrText>
      </w:r>
      <w:r w:rsidR="006531BB" w:rsidRPr="006531BB">
        <w:rPr>
          <w:rFonts w:ascii="Times New Roman" w:hAnsi="Times New Roman" w:cs="Times New Roman"/>
          <w:sz w:val="24"/>
          <w:szCs w:val="24"/>
          <w:lang w:val="en-US"/>
        </w:rPr>
        <w:instrText>nce/absence data and greater than all of these models plus MaxEnt when trained on presence-only data. GP SDMs fitted using a fixed approximation to hyperparameters were no less accurate than those with MAP estimation and on average 70 times faster, equivalent in speed to GAMs. As well as having strong predictive power for this data set, GP SDMs offer a convenient method for incorporating prior knowledge of the species' ecology. By fitting these methods using efficient numerical approximations, they may easily be applied to large data sets and automatically for many species. An r package, GRaF, is provided to enable SDM users to fit GP models.","author":[{"dropping-particle":"","family":"Golding","given":"Nick","non-dropping-particle":"","parse-names":false,"suffix":""},{"dropping-particle":"V.","family":"Purse","given":"Bethan","non-dropping-particle":"","parse-names":false,"suffix":""}],"container-title":"Methods in Ecology and Evolution","id":"ITEM-1","issue":"5","issued":{"date-parts":[["2016"]]},"page":"598-608","title":"Fast and flexible Bayesian species distribution modelling using Gaussian processes","type":"article-journal","volume":"7"},"uris":["http://www.mendeley.com/documents/?uuid=5d7253ac-7a1e-4d49-9831-98f47c3a7824"]}],"mendeley":{"formattedCitation":"&lt;sup&gt;8&lt;/sup&gt;","plainTextFormattedCitation":"8","previouslyFormattedCitation":"&lt;sup&gt;7&lt;/sup&gt;"},"properties":{"noteIndex":0},"schema":"https://github.com/citation-style-language/schema/raw/master/csl-citation.json"}</w:instrText>
      </w:r>
      <w:r w:rsidR="008D424D"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lang w:val="en-US"/>
        </w:rPr>
        <w:t>8</w:t>
      </w:r>
      <w:r w:rsidR="008D424D" w:rsidRPr="00CE79FA">
        <w:rPr>
          <w:rFonts w:ascii="Times New Roman" w:hAnsi="Times New Roman" w:cs="Times New Roman"/>
          <w:sz w:val="24"/>
          <w:szCs w:val="24"/>
        </w:rPr>
        <w:fldChar w:fldCharType="end"/>
      </w:r>
      <w:r w:rsidR="008367CC" w:rsidRPr="00CE79FA">
        <w:rPr>
          <w:rFonts w:ascii="Times New Roman" w:hAnsi="Times New Roman" w:cs="Times New Roman"/>
          <w:color w:val="000000" w:themeColor="text1"/>
          <w:sz w:val="24"/>
          <w:szCs w:val="24"/>
          <w:lang w:val="en-US"/>
        </w:rPr>
        <w:t xml:space="preserve">, </w:t>
      </w:r>
      <w:r w:rsidR="00C74132" w:rsidRPr="00CE79FA">
        <w:rPr>
          <w:rFonts w:ascii="Times New Roman" w:hAnsi="Times New Roman" w:cs="Times New Roman"/>
          <w:color w:val="000000" w:themeColor="text1"/>
          <w:sz w:val="24"/>
          <w:szCs w:val="24"/>
          <w:lang w:val="en-US"/>
        </w:rPr>
        <w:t xml:space="preserve">so that an </w:t>
      </w:r>
      <w:r w:rsidR="00C74132" w:rsidRPr="00CE79FA">
        <w:rPr>
          <w:rFonts w:ascii="Times New Roman" w:hAnsi="Times New Roman" w:cs="Times New Roman"/>
          <w:i/>
          <w:iCs/>
          <w:color w:val="000000" w:themeColor="text1"/>
          <w:sz w:val="24"/>
          <w:szCs w:val="24"/>
          <w:lang w:val="en-US"/>
        </w:rPr>
        <w:t>ensemble</w:t>
      </w:r>
      <w:r w:rsidR="00C74132" w:rsidRPr="00CE79FA">
        <w:rPr>
          <w:rFonts w:ascii="Times New Roman" w:hAnsi="Times New Roman" w:cs="Times New Roman"/>
          <w:color w:val="000000" w:themeColor="text1"/>
          <w:sz w:val="24"/>
          <w:szCs w:val="24"/>
          <w:lang w:val="en-US"/>
        </w:rPr>
        <w:t xml:space="preserve"> combining the final suitability maps was generated by the four algorithms</w:t>
      </w:r>
      <w:r w:rsidR="000F3919"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lang w:val="en-US"/>
        </w:rPr>
        <w:instrText>ADDIN CSL_CITATION {"citationItems":[{"id":"ITEM-1","itemData":{"author":[{"dropping-particle":"","family":"Diniz-Filho","given":"Jose Alexandre Felizola","non-dropping-particle":"","parse-names":false,"suffix":""},{"dropping-particle":"","family":"JR","given":"PAULO DE MARCO","non-dropping-particle":"","parse-names":false,"suffix":""},{"dropping-particle":"","family":"HAWKINS","given":"BRADFORD A.","non-dropping-particle":"","parse-names":false,"suffix":""}],"container-title":"Insect Conservation and Diversity","id":"ITEM-1","issued":{"date-parts":[["2010"]]},"page":"172-179","title":"Defying the curse of ignorance: perspectives in insect macroecology and conservation biogeography","type":"article-journal","volume":"3"},"uris":["http://www.mendeley.com/documents/?uuid=d414557a-7bca-4e0f-a349-5ea76eebab68"]}],"mendeley":{"formattedCitation":"&lt;sup&gt;9&lt;/sup&gt;","plainTextFormattedCitation":"9","previouslyFormattedCitation":"&lt;sup&gt;8&lt;/sup&gt;"},"properties":{"noteIndex":0},"schema":"https://github.com/citation-style-language/schema/raw/master/csl-citation.json"}</w:instrText>
      </w:r>
      <w:r w:rsidR="000F3919"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lang w:val="en-US"/>
        </w:rPr>
        <w:t>9</w:t>
      </w:r>
      <w:r w:rsidR="000F3919" w:rsidRPr="00CE79FA">
        <w:rPr>
          <w:rFonts w:ascii="Times New Roman" w:hAnsi="Times New Roman" w:cs="Times New Roman"/>
          <w:sz w:val="24"/>
          <w:szCs w:val="24"/>
        </w:rPr>
        <w:fldChar w:fldCharType="end"/>
      </w:r>
      <w:r w:rsidR="008367CC" w:rsidRPr="00CE79FA">
        <w:rPr>
          <w:rFonts w:ascii="Times New Roman" w:eastAsia="Times New Roman" w:hAnsi="Times New Roman" w:cs="Times New Roman"/>
          <w:sz w:val="24"/>
          <w:szCs w:val="24"/>
          <w:lang w:val="en-US" w:eastAsia="pt-BR"/>
        </w:rPr>
        <w:t>.</w:t>
      </w:r>
      <w:r w:rsidR="008367CC" w:rsidRPr="00CE79FA">
        <w:rPr>
          <w:rFonts w:ascii="Times New Roman" w:hAnsi="Times New Roman" w:cs="Times New Roman"/>
          <w:sz w:val="24"/>
          <w:szCs w:val="24"/>
          <w:lang w:val="en-US"/>
        </w:rPr>
        <w:t xml:space="preserve"> </w:t>
      </w:r>
      <w:r w:rsidR="00A116B0" w:rsidRPr="00CE79FA">
        <w:rPr>
          <w:rFonts w:ascii="Times New Roman" w:hAnsi="Times New Roman" w:cs="Times New Roman"/>
          <w:sz w:val="24"/>
          <w:szCs w:val="24"/>
          <w:lang w:val="en-US"/>
        </w:rPr>
        <w:t>To minimize model uncertainties, we considered an ensemble as the final model</w:t>
      </w:r>
      <w:r w:rsidR="00E317E6" w:rsidRPr="00CE79FA">
        <w:rPr>
          <w:rFonts w:ascii="Times New Roman" w:hAnsi="Times New Roman" w:cs="Times New Roman"/>
          <w:sz w:val="24"/>
          <w:szCs w:val="24"/>
        </w:rPr>
        <w:fldChar w:fldCharType="begin" w:fldLock="1"/>
      </w:r>
      <w:r w:rsidR="006531BB">
        <w:rPr>
          <w:rFonts w:ascii="Times New Roman" w:hAnsi="Times New Roman" w:cs="Times New Roman"/>
          <w:sz w:val="24"/>
          <w:szCs w:val="24"/>
          <w:lang w:val="en-US"/>
        </w:rPr>
        <w:instrText>ADDIN CSL_CITATION {"citationItems":[{"id":"ITEM-1","itemData":{"DOI":"10.1111/ddi.12886","ISSN":"14724642","abstract":"Aim: The anthropogenic climate change and land use change are considered two of the main factors that are altering biodiversity at the global scale. An evaluation that combined both factors can be relevant to detect which species could be the most vulnerable and reveal the regions of highest stability or susceptibility to biodiversity. We aimed to: (a) assess the effect of climate change and land use on the distribution of Cerrado plant species for different countries where they occur, (b) evaluate the effectiveness of the current network of protected areas (PAs) to safeguards species under different greenhouse–gas (GHG) emissions and land use scenarios, and (c) estimate the vulnerability of species based on protection effectiveness and habitat loss. Location: Bolivia, Brazil and Paraguay. Methods: We modelled the distribution of 1,553 plant species of Cerrado and evaluated species range loss caused by present and future land use and two GHG for 2050 and 2080. We assessed species vulnerability combining the representativeness of species within conservation units with the loss of species’ ranges outside PAs. Results: We found that climate change and land use will cause great damage to Cerrado flora by 2050 and 2080, even under optimistic conditions. The greatest impacts of land use will occur in the regions where the greatest richness will be harboured. The conservation of the species will be seriously affected since the PA network is not as effective in safeguarding them under current or future conditions. Main conclusions: The low level of protection together with the losses caused by the advance of agricultural lands will lead most species being highly vulnerable. Due to the distinct impacts of climate and land use over the three countries, conservation strategies should be implemented at transboundary and national levels.","author":[{"dropping-particle":"","family":"Velazco","given":"Santiago José Elías","non-dropping-particle":"","parse-names":false,"suffix":""},{"dropping-particle":"","family":"Villalobos","given":"Fabricio","non-dropping-particle":"","parse-names":false,"suffix":""},{"dropping-particle":"","family":"Galvão","given":"Franklin","non-dropping-particle":"","parse-names":false,"suffix":""},{"dropping-particle":"","family":"Marco Júnior","given":"Paulo","non-dropping-particle":"De","parse-names":false,"suffix":""}],"container-title":"Diversity and Distributions","id":"ITEM-1","issue":"4","issued":{"date-parts":[["2019"]]},"page":"660-673","title":"A dark scenario for Cerrado plant species: Effects of future climate, land use and protected areas ineffectiveness","type":"article-journal","volume":"25"},"uris":["http://www.mendeley.com/documents/?uuid=7b1331e4-ee71-4db2-b023-6a8b3f1aeeb3"]},{"id":"ITEM-2","itemData":{"DOI":"10.1016/j.ecolmodel.2022.110013","ISSN":"03043800","abstract":"Recently, much effort has been expended to improve Species Distribution Models (SDMs), particularly for use in systematic conservation planning, as they affect the arrangement and effectiveness of spatial prioritization. Protocol definition to create SMDs is a real and complex problem faced to protect threatened environments in large megadiverse areas, such as the Amazon basin. We compare spatial prioritizations based on different protocols to generate general and specific models of multiple taxa. While in general protocols we use only bioclimatic variables, in specific protocols we also added different environmental variables that are more appropriate to the sets of related species. Our results show greater precision and less commission error in the final models adjusted with specific protocols, especially for aquatic species with the inclusion of hydrological variables. We also demonstrate that modeling choices can play an important role in determining the priority of a region, with prioritization of different areas depending on the models adjusted based on general and specific protocols. We argue that niche models for multi-taxon prioritization studies should be more efficient when based on choices that capture the ecological requirements of different taxonomic groups.","author":[{"dropping-particle":"","family":"Pimenta","given":"Mayra","non-dropping-particle":"","parse-names":false,"suffix":""},{"dropping-particle":"de","family":"Andrade","given":"André Felipe Alves","non-dropping-particle":"","parse-names":false,"suffix":""},{"dropping-particle":"","family":"Fernandes","given":"Fernando Hiago Souza","non-dropping-particle":"","parse-names":false,"suffix":""},{"dropping-particle":"","family":"Amboni","given":"Mayra Pereira de Melo","non-dropping-particle":"","parse-names":false,"suffix":""},{"dropping-particle":"","family":"Almeida","given":"Renata Silva","non-dropping-particle":"","parse-names":false,"suffix":""},{"dropping-particle":"","family":"Soares","given":"Ana Hermínia Simões de Bello","non-dropping-particle":"","parse-names":false,"suffix":""},{"dropping-particle":"","family":"Falcon","given":"Guth Berger","non-dropping-particle":"","parse-names":false,"suffix":""},{"dropping-particle":"","family":"Raíces","given":"Daniel Santana Lorenzo","non-dropping-particle":"","parse-names":false,"suffix":""},{"dropping-particle":"","family":"Marco Júnior","given":"Paulo","non-dropping-particle":"De","parse-names":false,"suffix":""}],"container-title":"Ecological Modelling","id":"ITEM-2","issue":"May","issued":{"date-parts":[["2022"]]},"page":"110013","title":"One size does not fit all: Priority areas for real world problems","type":"article-journal","volume":"470"},"uris":["http://www.mendeley.com/documents/?uuid=4b4e298a-e389-476b-a029-2f6572bac460"]}],"mendeley":{"formattedCitation":"&lt;sup&gt;10,11&lt;/sup&gt;","plainTextFormattedCitation":"10,11","previouslyFormattedCitation":"&lt;sup&gt;9,10&lt;/sup&gt;"},"properties":{"noteIndex":0},"schema":"https://github.com/citation-style-language/schema/raw/master/csl-citation.json"}</w:instrText>
      </w:r>
      <w:r w:rsidR="00E317E6" w:rsidRPr="00CE79FA">
        <w:rPr>
          <w:rFonts w:ascii="Times New Roman" w:hAnsi="Times New Roman" w:cs="Times New Roman"/>
          <w:sz w:val="24"/>
          <w:szCs w:val="24"/>
        </w:rPr>
        <w:fldChar w:fldCharType="separate"/>
      </w:r>
      <w:r w:rsidR="006531BB" w:rsidRPr="006531BB">
        <w:rPr>
          <w:rFonts w:ascii="Times New Roman" w:hAnsi="Times New Roman" w:cs="Times New Roman"/>
          <w:noProof/>
          <w:sz w:val="24"/>
          <w:szCs w:val="24"/>
          <w:vertAlign w:val="superscript"/>
          <w:lang w:val="en-US"/>
        </w:rPr>
        <w:t>10,11</w:t>
      </w:r>
      <w:r w:rsidR="00E317E6" w:rsidRPr="00CE79FA">
        <w:rPr>
          <w:rFonts w:ascii="Times New Roman" w:hAnsi="Times New Roman" w:cs="Times New Roman"/>
          <w:sz w:val="24"/>
          <w:szCs w:val="24"/>
        </w:rPr>
        <w:fldChar w:fldCharType="end"/>
      </w:r>
      <w:r w:rsidR="00E317E6" w:rsidRPr="00CE79FA">
        <w:rPr>
          <w:rFonts w:ascii="Times New Roman" w:hAnsi="Times New Roman" w:cs="Times New Roman"/>
          <w:sz w:val="24"/>
          <w:szCs w:val="24"/>
          <w:lang w:val="en-US"/>
        </w:rPr>
        <w:t>.</w:t>
      </w:r>
    </w:p>
    <w:p w14:paraId="25830BCD" w14:textId="71429A57" w:rsidR="008367CC" w:rsidRPr="00CE79FA" w:rsidRDefault="00466E45" w:rsidP="00EA61D2">
      <w:pPr>
        <w:pStyle w:val="Ttulo2"/>
        <w:spacing w:before="240" w:line="360" w:lineRule="auto"/>
        <w:rPr>
          <w:rFonts w:ascii="Times New Roman" w:hAnsi="Times New Roman" w:cs="Times New Roman"/>
          <w:color w:val="0D0D0D" w:themeColor="text1" w:themeTint="F2"/>
          <w:sz w:val="24"/>
          <w:szCs w:val="24"/>
          <w:lang w:val="en-US"/>
        </w:rPr>
      </w:pPr>
      <w:bookmarkStart w:id="1" w:name="_Toc103788177"/>
      <w:r w:rsidRPr="00CE79FA">
        <w:rPr>
          <w:rFonts w:ascii="Times New Roman" w:hAnsi="Times New Roman" w:cs="Times New Roman"/>
          <w:color w:val="0D0D0D" w:themeColor="text1" w:themeTint="F2"/>
          <w:sz w:val="24"/>
          <w:szCs w:val="24"/>
          <w:lang w:val="en-US"/>
        </w:rPr>
        <w:t>Maps of wealth and potential distribution</w:t>
      </w:r>
    </w:p>
    <w:p w14:paraId="54B95150" w14:textId="33BAAD86" w:rsidR="00B10FA5" w:rsidRPr="00CE79FA" w:rsidRDefault="00B10FA5" w:rsidP="00EA61D2">
      <w:pPr>
        <w:spacing w:before="240" w:after="0" w:line="360" w:lineRule="auto"/>
        <w:ind w:firstLine="709"/>
        <w:jc w:val="both"/>
        <w:rPr>
          <w:rFonts w:ascii="Times New Roman" w:hAnsi="Times New Roman" w:cs="Times New Roman"/>
          <w:sz w:val="24"/>
          <w:szCs w:val="24"/>
          <w:lang w:val="en-US"/>
        </w:rPr>
      </w:pPr>
      <w:r w:rsidRPr="00CE79FA">
        <w:rPr>
          <w:rFonts w:ascii="Times New Roman" w:hAnsi="Times New Roman" w:cs="Times New Roman"/>
          <w:sz w:val="24"/>
          <w:szCs w:val="24"/>
          <w:lang w:val="en-US"/>
        </w:rPr>
        <w:t xml:space="preserve">The species richness values of bats were considered as the sum of all binary occurrence maps generated by the SDM procedure. These maps were summed considering all species, species by trophic guild, and species grouped by conservation status according to the IUCN. Finally, occurrences of species classified as DD by the IUCN were spatialized and presented. All maps were constructed using the QGIS software (http://www.qgis.org/pt_PT/site/ forusers/download.html). For this analysis, the omnivorous and carnivorous trophic guilds were analyzed together, and the insectivorous guild was analyzed in three ways: (i) All insectivores, regardless of foraging type; (ii) </w:t>
      </w:r>
      <w:r w:rsidRPr="00CE79FA">
        <w:rPr>
          <w:rFonts w:ascii="Times New Roman" w:hAnsi="Times New Roman" w:cs="Times New Roman"/>
          <w:i/>
          <w:iCs/>
          <w:sz w:val="24"/>
          <w:szCs w:val="24"/>
          <w:lang w:val="en-US"/>
        </w:rPr>
        <w:t>Gleaning insectivores</w:t>
      </w:r>
      <w:r w:rsidRPr="00CE79FA">
        <w:rPr>
          <w:rFonts w:ascii="Times New Roman" w:hAnsi="Times New Roman" w:cs="Times New Roman"/>
          <w:sz w:val="24"/>
          <w:szCs w:val="24"/>
          <w:lang w:val="en-US"/>
        </w:rPr>
        <w:t xml:space="preserve">; and (iii) all insectivores except for </w:t>
      </w:r>
      <w:r w:rsidRPr="00CE79FA">
        <w:rPr>
          <w:rFonts w:ascii="Times New Roman" w:hAnsi="Times New Roman" w:cs="Times New Roman"/>
          <w:i/>
          <w:iCs/>
          <w:sz w:val="24"/>
          <w:szCs w:val="24"/>
          <w:lang w:val="en-US"/>
        </w:rPr>
        <w:t>Gleaners</w:t>
      </w:r>
      <w:r w:rsidRPr="00CE79FA">
        <w:rPr>
          <w:rFonts w:ascii="Times New Roman" w:hAnsi="Times New Roman" w:cs="Times New Roman"/>
          <w:sz w:val="24"/>
          <w:szCs w:val="24"/>
          <w:lang w:val="en-US"/>
        </w:rPr>
        <w:t>.</w:t>
      </w:r>
    </w:p>
    <w:bookmarkEnd w:id="1"/>
    <w:p w14:paraId="57EF2F01" w14:textId="535F85B4" w:rsidR="008367CC" w:rsidRPr="00CE79FA" w:rsidRDefault="001C4534" w:rsidP="00EA61D2">
      <w:pPr>
        <w:pStyle w:val="Ttulo2"/>
        <w:spacing w:before="240" w:after="240" w:line="360" w:lineRule="auto"/>
        <w:rPr>
          <w:rFonts w:ascii="Times New Roman" w:hAnsi="Times New Roman" w:cs="Times New Roman"/>
          <w:color w:val="auto"/>
          <w:sz w:val="24"/>
          <w:szCs w:val="24"/>
          <w:lang w:val="en-US"/>
        </w:rPr>
      </w:pPr>
      <w:r w:rsidRPr="00CE79FA">
        <w:rPr>
          <w:rFonts w:ascii="Times New Roman" w:hAnsi="Times New Roman" w:cs="Times New Roman"/>
          <w:color w:val="auto"/>
          <w:sz w:val="24"/>
          <w:szCs w:val="24"/>
          <w:lang w:val="en-US"/>
        </w:rPr>
        <w:t>Identification of the contribution of each type of unit</w:t>
      </w:r>
    </w:p>
    <w:p w14:paraId="0DEB12FB" w14:textId="4690F8BB" w:rsidR="008367CC" w:rsidRPr="00CE79FA" w:rsidRDefault="00781020" w:rsidP="008367CC">
      <w:pPr>
        <w:spacing w:after="0" w:line="360" w:lineRule="auto"/>
        <w:ind w:firstLine="709"/>
        <w:jc w:val="both"/>
        <w:rPr>
          <w:rFonts w:ascii="Times New Roman" w:hAnsi="Times New Roman" w:cs="Times New Roman"/>
          <w:sz w:val="24"/>
          <w:szCs w:val="24"/>
          <w:lang w:val="en-US"/>
        </w:rPr>
      </w:pPr>
      <w:r w:rsidRPr="00CE79FA">
        <w:rPr>
          <w:rFonts w:ascii="Times New Roman" w:hAnsi="Times New Roman" w:cs="Times New Roman"/>
          <w:sz w:val="24"/>
          <w:szCs w:val="24"/>
          <w:lang w:val="en-US"/>
        </w:rPr>
        <w:t xml:space="preserve">To identify the contribution of UCs and TIs to the conservation of bat species, a grid of 0.05° was created, considering the territorial extent of Brazil as the boundary. This </w:t>
      </w:r>
      <w:r w:rsidRPr="00CE79FA">
        <w:rPr>
          <w:rFonts w:ascii="Times New Roman" w:hAnsi="Times New Roman" w:cs="Times New Roman"/>
          <w:sz w:val="24"/>
          <w:szCs w:val="24"/>
          <w:lang w:val="en-US"/>
        </w:rPr>
        <w:lastRenderedPageBreak/>
        <w:t>grid was overlaid on the distribution maps of the species, and the presence and absence values of the species were extracted for this grid. Subsequently, the grid cells were overlaid on the map of UCs and TIs, and each cell was classified as UPI, UUS, or TI.</w:t>
      </w:r>
    </w:p>
    <w:p w14:paraId="0E43E3F4" w14:textId="10998FB8" w:rsidR="008367CC" w:rsidRPr="00CE79FA" w:rsidRDefault="001A1B22" w:rsidP="008367CC">
      <w:pPr>
        <w:spacing w:after="0" w:line="360" w:lineRule="auto"/>
        <w:ind w:firstLine="709"/>
        <w:jc w:val="both"/>
        <w:rPr>
          <w:rFonts w:ascii="Times New Roman" w:hAnsi="Times New Roman" w:cs="Times New Roman"/>
          <w:sz w:val="24"/>
          <w:szCs w:val="24"/>
          <w:lang w:val="en-US"/>
        </w:rPr>
      </w:pPr>
      <w:r w:rsidRPr="00CE79FA">
        <w:rPr>
          <w:rFonts w:ascii="Times New Roman" w:hAnsi="Times New Roman" w:cs="Times New Roman"/>
          <w:sz w:val="24"/>
          <w:szCs w:val="24"/>
          <w:lang w:val="en-US"/>
        </w:rPr>
        <w:t>To be considered in any of these categories, a cell needs to have at least 75% of its area within a UC or TI. Cells that did not meet this criterion or were entirely outside UCs or TIs were classified as "unprotected." Additionally, pixels were classified according to the historical distribution of Brazilian biomes (Amazon, Cerrado, Caatinga, Atlantic Forest, Pampas, and Pantanal). Following these procedures, the percentage of distribution area in UPI, UUS, TI, and "unprotected" areas (outside these protected areas) was calculated.</w:t>
      </w:r>
      <w:r w:rsidR="008367CC" w:rsidRPr="00CE79FA">
        <w:rPr>
          <w:rFonts w:ascii="Times New Roman" w:hAnsi="Times New Roman" w:cs="Times New Roman"/>
          <w:sz w:val="24"/>
          <w:szCs w:val="24"/>
          <w:lang w:val="en-US"/>
        </w:rPr>
        <w:t xml:space="preserve"> </w:t>
      </w:r>
    </w:p>
    <w:p w14:paraId="7FAA3393" w14:textId="77777777" w:rsidR="00793421" w:rsidRPr="00CE79FA" w:rsidRDefault="00793421" w:rsidP="00793421">
      <w:pPr>
        <w:spacing w:line="360" w:lineRule="auto"/>
        <w:ind w:firstLine="709"/>
        <w:jc w:val="both"/>
        <w:rPr>
          <w:rFonts w:ascii="Times New Roman" w:hAnsi="Times New Roman" w:cs="Times New Roman"/>
          <w:sz w:val="24"/>
          <w:szCs w:val="24"/>
          <w:lang w:val="en-US"/>
        </w:rPr>
      </w:pPr>
      <w:r w:rsidRPr="00CE79FA">
        <w:rPr>
          <w:rFonts w:ascii="Times New Roman" w:hAnsi="Times New Roman" w:cs="Times New Roman"/>
          <w:sz w:val="24"/>
          <w:szCs w:val="24"/>
          <w:lang w:val="en-US"/>
        </w:rPr>
        <w:t>With these data, a factorial Analysis of Variance (ANOVA) was performed with the percentage of distribution area per species as a function of the Type of Protection (Outside, UPI, UUS, and TI), using the Biomes (Amazon, Cerrado, Caatinga, Atlantic Forest, Pampas, and Pantanal) as covariates, as well as Trophic Guilds (insectivores, carnivores, nectarivores, omnivores, and hematophagous). Additionally, a second factorial ANOVA was conducted with the percentage of distribution area per species as a function of the Type of Protection (Outside, UPI, UUS, and TI), using the Biomes (Amazon, Cerrado, Caatinga, Atlantic Forest, Pampas, and Pantanal), and the threat level according to the IUCN as covariates. Data on UCs and the historical distribution of Brazilian biomes were obtained from the Ministry of the Environment (MMA) (http://mapas.mma.gov.br/i3geo/datadownload.htm), and the TIs from the National Indian Foundation (FUNAI, http://www.funai.gov.br/index.php/shape).</w:t>
      </w:r>
    </w:p>
    <w:p w14:paraId="6FA38749" w14:textId="679FFC98" w:rsidR="008367CC" w:rsidRPr="00CE79FA" w:rsidRDefault="008367CC" w:rsidP="008367CC">
      <w:pPr>
        <w:spacing w:line="360" w:lineRule="auto"/>
        <w:ind w:firstLine="709"/>
        <w:jc w:val="both"/>
        <w:rPr>
          <w:rFonts w:ascii="Times New Roman" w:hAnsi="Times New Roman" w:cs="Times New Roman"/>
          <w:sz w:val="24"/>
          <w:szCs w:val="24"/>
          <w:lang w:val="en-US"/>
        </w:rPr>
      </w:pPr>
    </w:p>
    <w:p w14:paraId="5CF3E776" w14:textId="00966A4A" w:rsidR="003F2AA8" w:rsidRPr="00CE79FA" w:rsidRDefault="00087014" w:rsidP="003F2AA8">
      <w:pPr>
        <w:spacing w:line="360" w:lineRule="auto"/>
        <w:jc w:val="both"/>
        <w:rPr>
          <w:rFonts w:ascii="Times New Roman" w:hAnsi="Times New Roman" w:cs="Times New Roman"/>
          <w:b/>
          <w:bCs/>
          <w:sz w:val="24"/>
          <w:szCs w:val="24"/>
          <w:lang w:val="en-US"/>
        </w:rPr>
      </w:pPr>
      <w:r w:rsidRPr="00CE79FA">
        <w:rPr>
          <w:rFonts w:ascii="Times New Roman" w:hAnsi="Times New Roman" w:cs="Times New Roman"/>
          <w:b/>
          <w:bCs/>
          <w:sz w:val="24"/>
          <w:szCs w:val="24"/>
          <w:lang w:val="en-US"/>
        </w:rPr>
        <w:t>References</w:t>
      </w:r>
    </w:p>
    <w:p w14:paraId="45A62846" w14:textId="51227065" w:rsidR="006531BB" w:rsidRPr="006531BB" w:rsidRDefault="003F2AA8" w:rsidP="006531BB">
      <w:pPr>
        <w:widowControl w:val="0"/>
        <w:autoSpaceDE w:val="0"/>
        <w:autoSpaceDN w:val="0"/>
        <w:adjustRightInd w:val="0"/>
        <w:spacing w:line="360" w:lineRule="auto"/>
        <w:ind w:left="640" w:hanging="640"/>
        <w:rPr>
          <w:rFonts w:ascii="Times New Roman" w:hAnsi="Times New Roman" w:cs="Times New Roman"/>
          <w:noProof/>
          <w:kern w:val="0"/>
        </w:rPr>
      </w:pPr>
      <w:r>
        <w:rPr>
          <w:rFonts w:ascii="Times New Roman" w:hAnsi="Times New Roman" w:cs="Times New Roman"/>
        </w:rPr>
        <w:fldChar w:fldCharType="begin" w:fldLock="1"/>
      </w:r>
      <w:r w:rsidRPr="0094263E">
        <w:rPr>
          <w:rFonts w:ascii="Times New Roman" w:hAnsi="Times New Roman" w:cs="Times New Roman"/>
          <w:lang w:val="en-US"/>
        </w:rPr>
        <w:instrText xml:space="preserve">ADDIN Mendeley Bibliography CSL_BIBLIOGRAPHY </w:instrText>
      </w:r>
      <w:r>
        <w:rPr>
          <w:rFonts w:ascii="Times New Roman" w:hAnsi="Times New Roman" w:cs="Times New Roman"/>
        </w:rPr>
        <w:fldChar w:fldCharType="separate"/>
      </w:r>
      <w:r w:rsidR="006531BB" w:rsidRPr="006531BB">
        <w:rPr>
          <w:rFonts w:ascii="Times New Roman" w:hAnsi="Times New Roman" w:cs="Times New Roman"/>
          <w:noProof/>
          <w:kern w:val="0"/>
        </w:rPr>
        <w:t>1.</w:t>
      </w:r>
      <w:r w:rsidR="006531BB" w:rsidRPr="006531BB">
        <w:rPr>
          <w:rFonts w:ascii="Times New Roman" w:hAnsi="Times New Roman" w:cs="Times New Roman"/>
          <w:noProof/>
          <w:kern w:val="0"/>
        </w:rPr>
        <w:tab/>
        <w:t xml:space="preserve">Fick, S. E. &amp; Hijmans, R. J. WorldClim 2: new 1-km spatial resolution climate surfaces for global land areas. </w:t>
      </w:r>
      <w:r w:rsidR="006531BB" w:rsidRPr="006531BB">
        <w:rPr>
          <w:rFonts w:ascii="Times New Roman" w:hAnsi="Times New Roman" w:cs="Times New Roman"/>
          <w:i/>
          <w:iCs/>
          <w:noProof/>
          <w:kern w:val="0"/>
        </w:rPr>
        <w:t>Int. J. Climatol.</w:t>
      </w:r>
      <w:r w:rsidR="006531BB" w:rsidRPr="006531BB">
        <w:rPr>
          <w:rFonts w:ascii="Times New Roman" w:hAnsi="Times New Roman" w:cs="Times New Roman"/>
          <w:noProof/>
          <w:kern w:val="0"/>
        </w:rPr>
        <w:t xml:space="preserve"> </w:t>
      </w:r>
      <w:r w:rsidR="006531BB" w:rsidRPr="006531BB">
        <w:rPr>
          <w:rFonts w:ascii="Times New Roman" w:hAnsi="Times New Roman" w:cs="Times New Roman"/>
          <w:b/>
          <w:bCs/>
          <w:noProof/>
          <w:kern w:val="0"/>
        </w:rPr>
        <w:t>37</w:t>
      </w:r>
      <w:r w:rsidR="006531BB" w:rsidRPr="006531BB">
        <w:rPr>
          <w:rFonts w:ascii="Times New Roman" w:hAnsi="Times New Roman" w:cs="Times New Roman"/>
          <w:noProof/>
          <w:kern w:val="0"/>
        </w:rPr>
        <w:t>, 4302–4315 (2017).</w:t>
      </w:r>
    </w:p>
    <w:p w14:paraId="1263D4AB"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2.</w:t>
      </w:r>
      <w:r w:rsidRPr="006531BB">
        <w:rPr>
          <w:rFonts w:ascii="Times New Roman" w:hAnsi="Times New Roman" w:cs="Times New Roman"/>
          <w:noProof/>
          <w:kern w:val="0"/>
        </w:rPr>
        <w:tab/>
        <w:t xml:space="preserve">Lee, D. N., Papeş, M. &amp; van Den Bussche, R. A. Present and potential future distribution of common Vampire bats in the Americas and the associated risk to cattle. </w:t>
      </w:r>
      <w:r w:rsidRPr="006531BB">
        <w:rPr>
          <w:rFonts w:ascii="Times New Roman" w:hAnsi="Times New Roman" w:cs="Times New Roman"/>
          <w:i/>
          <w:iCs/>
          <w:noProof/>
          <w:kern w:val="0"/>
        </w:rPr>
        <w:t>PLoS One</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7</w:t>
      </w:r>
      <w:r w:rsidRPr="006531BB">
        <w:rPr>
          <w:rFonts w:ascii="Times New Roman" w:hAnsi="Times New Roman" w:cs="Times New Roman"/>
          <w:noProof/>
          <w:kern w:val="0"/>
        </w:rPr>
        <w:t>, 1–9 (2012).</w:t>
      </w:r>
    </w:p>
    <w:p w14:paraId="1AE26E01"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3.</w:t>
      </w:r>
      <w:r w:rsidRPr="006531BB">
        <w:rPr>
          <w:rFonts w:ascii="Times New Roman" w:hAnsi="Times New Roman" w:cs="Times New Roman"/>
          <w:noProof/>
          <w:kern w:val="0"/>
        </w:rPr>
        <w:tab/>
        <w:t xml:space="preserve">Legendre, P. &amp; Legendre, L. </w:t>
      </w:r>
      <w:r w:rsidRPr="006531BB">
        <w:rPr>
          <w:rFonts w:ascii="Times New Roman" w:hAnsi="Times New Roman" w:cs="Times New Roman"/>
          <w:i/>
          <w:iCs/>
          <w:noProof/>
          <w:kern w:val="0"/>
        </w:rPr>
        <w:t>Numerical ecology. In Developments in Environmental Modelling series</w:t>
      </w:r>
      <w:r w:rsidRPr="006531BB">
        <w:rPr>
          <w:rFonts w:ascii="Times New Roman" w:hAnsi="Times New Roman" w:cs="Times New Roman"/>
          <w:noProof/>
          <w:kern w:val="0"/>
        </w:rPr>
        <w:t xml:space="preserve">. </w:t>
      </w:r>
      <w:r w:rsidRPr="006531BB">
        <w:rPr>
          <w:rFonts w:ascii="Times New Roman" w:hAnsi="Times New Roman" w:cs="Times New Roman"/>
          <w:i/>
          <w:iCs/>
          <w:noProof/>
          <w:kern w:val="0"/>
        </w:rPr>
        <w:t>Elsevier</w:t>
      </w:r>
      <w:r w:rsidRPr="006531BB">
        <w:rPr>
          <w:rFonts w:ascii="Times New Roman" w:hAnsi="Times New Roman" w:cs="Times New Roman"/>
          <w:noProof/>
          <w:kern w:val="0"/>
        </w:rPr>
        <w:t xml:space="preserve"> vol. 24 (2012).</w:t>
      </w:r>
    </w:p>
    <w:p w14:paraId="7BA2D395"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4.</w:t>
      </w:r>
      <w:r w:rsidRPr="006531BB">
        <w:rPr>
          <w:rFonts w:ascii="Times New Roman" w:hAnsi="Times New Roman" w:cs="Times New Roman"/>
          <w:noProof/>
          <w:kern w:val="0"/>
        </w:rPr>
        <w:tab/>
        <w:t xml:space="preserve">De Marco, P. &amp; Nóbrega, C. C. Evaluating collinearity effects on species distribution </w:t>
      </w:r>
      <w:r w:rsidRPr="006531BB">
        <w:rPr>
          <w:rFonts w:ascii="Times New Roman" w:hAnsi="Times New Roman" w:cs="Times New Roman"/>
          <w:noProof/>
          <w:kern w:val="0"/>
        </w:rPr>
        <w:lastRenderedPageBreak/>
        <w:t xml:space="preserve">models: An approach based on virtual species simulation. </w:t>
      </w:r>
      <w:r w:rsidRPr="006531BB">
        <w:rPr>
          <w:rFonts w:ascii="Times New Roman" w:hAnsi="Times New Roman" w:cs="Times New Roman"/>
          <w:i/>
          <w:iCs/>
          <w:noProof/>
          <w:kern w:val="0"/>
        </w:rPr>
        <w:t>PLoS One</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13</w:t>
      </w:r>
      <w:r w:rsidRPr="006531BB">
        <w:rPr>
          <w:rFonts w:ascii="Times New Roman" w:hAnsi="Times New Roman" w:cs="Times New Roman"/>
          <w:noProof/>
          <w:kern w:val="0"/>
        </w:rPr>
        <w:t>, (2018).</w:t>
      </w:r>
    </w:p>
    <w:p w14:paraId="309BF650"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5.</w:t>
      </w:r>
      <w:r w:rsidRPr="006531BB">
        <w:rPr>
          <w:rFonts w:ascii="Times New Roman" w:hAnsi="Times New Roman" w:cs="Times New Roman"/>
          <w:noProof/>
          <w:kern w:val="0"/>
        </w:rPr>
        <w:tab/>
        <w:t xml:space="preserve">Phillips, S. J., Anderson, R. P., Dudík, M., Schapire, R. E. &amp; Blair, M. E. Opening the black box: an open-source release of Maxent. </w:t>
      </w:r>
      <w:r w:rsidRPr="006531BB">
        <w:rPr>
          <w:rFonts w:ascii="Times New Roman" w:hAnsi="Times New Roman" w:cs="Times New Roman"/>
          <w:i/>
          <w:iCs/>
          <w:noProof/>
          <w:kern w:val="0"/>
        </w:rPr>
        <w:t>Ecography (Cop.).</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40</w:t>
      </w:r>
      <w:r w:rsidRPr="006531BB">
        <w:rPr>
          <w:rFonts w:ascii="Times New Roman" w:hAnsi="Times New Roman" w:cs="Times New Roman"/>
          <w:noProof/>
          <w:kern w:val="0"/>
        </w:rPr>
        <w:t>, 887–893 (2017).</w:t>
      </w:r>
    </w:p>
    <w:p w14:paraId="6A452637"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6.</w:t>
      </w:r>
      <w:r w:rsidRPr="006531BB">
        <w:rPr>
          <w:rFonts w:ascii="Times New Roman" w:hAnsi="Times New Roman" w:cs="Times New Roman"/>
          <w:noProof/>
          <w:kern w:val="0"/>
        </w:rPr>
        <w:tab/>
        <w:t xml:space="preserve">Prasad, A. M., Iverson, L. R. &amp; Liaw, A. Newer classification and regression tree techniques: Bagging and random forests for ecological prediction. </w:t>
      </w:r>
      <w:r w:rsidRPr="006531BB">
        <w:rPr>
          <w:rFonts w:ascii="Times New Roman" w:hAnsi="Times New Roman" w:cs="Times New Roman"/>
          <w:i/>
          <w:iCs/>
          <w:noProof/>
          <w:kern w:val="0"/>
        </w:rPr>
        <w:t>Ecosystems</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9</w:t>
      </w:r>
      <w:r w:rsidRPr="006531BB">
        <w:rPr>
          <w:rFonts w:ascii="Times New Roman" w:hAnsi="Times New Roman" w:cs="Times New Roman"/>
          <w:noProof/>
          <w:kern w:val="0"/>
        </w:rPr>
        <w:t>, 181–199 (2006).</w:t>
      </w:r>
    </w:p>
    <w:p w14:paraId="79D7ECEF"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7.</w:t>
      </w:r>
      <w:r w:rsidRPr="006531BB">
        <w:rPr>
          <w:rFonts w:ascii="Times New Roman" w:hAnsi="Times New Roman" w:cs="Times New Roman"/>
          <w:noProof/>
          <w:kern w:val="0"/>
        </w:rPr>
        <w:tab/>
        <w:t xml:space="preserve">Guo, Q., Kelly, M. &amp; Graham, C. H. Support vector machines for predicting distribution of Sudden Oak Death in California. </w:t>
      </w:r>
      <w:r w:rsidRPr="006531BB">
        <w:rPr>
          <w:rFonts w:ascii="Times New Roman" w:hAnsi="Times New Roman" w:cs="Times New Roman"/>
          <w:i/>
          <w:iCs/>
          <w:noProof/>
          <w:kern w:val="0"/>
        </w:rPr>
        <w:t>Ecol. Modell.</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182</w:t>
      </w:r>
      <w:r w:rsidRPr="006531BB">
        <w:rPr>
          <w:rFonts w:ascii="Times New Roman" w:hAnsi="Times New Roman" w:cs="Times New Roman"/>
          <w:noProof/>
          <w:kern w:val="0"/>
        </w:rPr>
        <w:t>, 75–90 (2005).</w:t>
      </w:r>
    </w:p>
    <w:p w14:paraId="6BA98EAC"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8.</w:t>
      </w:r>
      <w:r w:rsidRPr="006531BB">
        <w:rPr>
          <w:rFonts w:ascii="Times New Roman" w:hAnsi="Times New Roman" w:cs="Times New Roman"/>
          <w:noProof/>
          <w:kern w:val="0"/>
        </w:rPr>
        <w:tab/>
        <w:t xml:space="preserve">Golding, N. &amp; Purse, B. V. Fast and flexible Bayesian species distribution modelling using Gaussian processes. </w:t>
      </w:r>
      <w:r w:rsidRPr="006531BB">
        <w:rPr>
          <w:rFonts w:ascii="Times New Roman" w:hAnsi="Times New Roman" w:cs="Times New Roman"/>
          <w:i/>
          <w:iCs/>
          <w:noProof/>
          <w:kern w:val="0"/>
        </w:rPr>
        <w:t>Methods Ecol. Evol.</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7</w:t>
      </w:r>
      <w:r w:rsidRPr="006531BB">
        <w:rPr>
          <w:rFonts w:ascii="Times New Roman" w:hAnsi="Times New Roman" w:cs="Times New Roman"/>
          <w:noProof/>
          <w:kern w:val="0"/>
        </w:rPr>
        <w:t>, 598–608 (2016).</w:t>
      </w:r>
    </w:p>
    <w:p w14:paraId="62D35471"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9.</w:t>
      </w:r>
      <w:r w:rsidRPr="006531BB">
        <w:rPr>
          <w:rFonts w:ascii="Times New Roman" w:hAnsi="Times New Roman" w:cs="Times New Roman"/>
          <w:noProof/>
          <w:kern w:val="0"/>
        </w:rPr>
        <w:tab/>
        <w:t xml:space="preserve">Diniz-Filho, J. A. F., JR, P. D. M. &amp; HAWKINS, B. A. Defying the curse of ignorance: perspectives in insect macroecology and conservation biogeography. </w:t>
      </w:r>
      <w:r w:rsidRPr="006531BB">
        <w:rPr>
          <w:rFonts w:ascii="Times New Roman" w:hAnsi="Times New Roman" w:cs="Times New Roman"/>
          <w:i/>
          <w:iCs/>
          <w:noProof/>
          <w:kern w:val="0"/>
        </w:rPr>
        <w:t>Insect Conserv. Divers.</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3</w:t>
      </w:r>
      <w:r w:rsidRPr="006531BB">
        <w:rPr>
          <w:rFonts w:ascii="Times New Roman" w:hAnsi="Times New Roman" w:cs="Times New Roman"/>
          <w:noProof/>
          <w:kern w:val="0"/>
        </w:rPr>
        <w:t>, 172–179 (2010).</w:t>
      </w:r>
    </w:p>
    <w:p w14:paraId="605B6BE9"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kern w:val="0"/>
        </w:rPr>
      </w:pPr>
      <w:r w:rsidRPr="006531BB">
        <w:rPr>
          <w:rFonts w:ascii="Times New Roman" w:hAnsi="Times New Roman" w:cs="Times New Roman"/>
          <w:noProof/>
          <w:kern w:val="0"/>
        </w:rPr>
        <w:t>10.</w:t>
      </w:r>
      <w:r w:rsidRPr="006531BB">
        <w:rPr>
          <w:rFonts w:ascii="Times New Roman" w:hAnsi="Times New Roman" w:cs="Times New Roman"/>
          <w:noProof/>
          <w:kern w:val="0"/>
        </w:rPr>
        <w:tab/>
        <w:t xml:space="preserve">Velazco, S. J. E., Villalobos, F., Galvão, F. &amp; De Marco Júnior, P. A dark scenario for Cerrado plant species: Effects of future climate, land use and protected areas ineffectiveness. </w:t>
      </w:r>
      <w:r w:rsidRPr="006531BB">
        <w:rPr>
          <w:rFonts w:ascii="Times New Roman" w:hAnsi="Times New Roman" w:cs="Times New Roman"/>
          <w:i/>
          <w:iCs/>
          <w:noProof/>
          <w:kern w:val="0"/>
        </w:rPr>
        <w:t>Divers. Distrib.</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25</w:t>
      </w:r>
      <w:r w:rsidRPr="006531BB">
        <w:rPr>
          <w:rFonts w:ascii="Times New Roman" w:hAnsi="Times New Roman" w:cs="Times New Roman"/>
          <w:noProof/>
          <w:kern w:val="0"/>
        </w:rPr>
        <w:t>, 660–673 (2019).</w:t>
      </w:r>
    </w:p>
    <w:p w14:paraId="2E47A2F6" w14:textId="77777777" w:rsidR="006531BB" w:rsidRPr="006531BB" w:rsidRDefault="006531BB" w:rsidP="006531BB">
      <w:pPr>
        <w:widowControl w:val="0"/>
        <w:autoSpaceDE w:val="0"/>
        <w:autoSpaceDN w:val="0"/>
        <w:adjustRightInd w:val="0"/>
        <w:spacing w:line="360" w:lineRule="auto"/>
        <w:ind w:left="640" w:hanging="640"/>
        <w:rPr>
          <w:rFonts w:ascii="Times New Roman" w:hAnsi="Times New Roman" w:cs="Times New Roman"/>
          <w:noProof/>
        </w:rPr>
      </w:pPr>
      <w:r w:rsidRPr="006531BB">
        <w:rPr>
          <w:rFonts w:ascii="Times New Roman" w:hAnsi="Times New Roman" w:cs="Times New Roman"/>
          <w:noProof/>
          <w:kern w:val="0"/>
        </w:rPr>
        <w:t>11.</w:t>
      </w:r>
      <w:r w:rsidRPr="006531BB">
        <w:rPr>
          <w:rFonts w:ascii="Times New Roman" w:hAnsi="Times New Roman" w:cs="Times New Roman"/>
          <w:noProof/>
          <w:kern w:val="0"/>
        </w:rPr>
        <w:tab/>
        <w:t xml:space="preserve">Pimenta, M. </w:t>
      </w:r>
      <w:r w:rsidRPr="006531BB">
        <w:rPr>
          <w:rFonts w:ascii="Times New Roman" w:hAnsi="Times New Roman" w:cs="Times New Roman"/>
          <w:i/>
          <w:iCs/>
          <w:noProof/>
          <w:kern w:val="0"/>
        </w:rPr>
        <w:t>et al.</w:t>
      </w:r>
      <w:r w:rsidRPr="006531BB">
        <w:rPr>
          <w:rFonts w:ascii="Times New Roman" w:hAnsi="Times New Roman" w:cs="Times New Roman"/>
          <w:noProof/>
          <w:kern w:val="0"/>
        </w:rPr>
        <w:t xml:space="preserve"> One size does not fit all: Priority areas for real world problems. </w:t>
      </w:r>
      <w:r w:rsidRPr="006531BB">
        <w:rPr>
          <w:rFonts w:ascii="Times New Roman" w:hAnsi="Times New Roman" w:cs="Times New Roman"/>
          <w:i/>
          <w:iCs/>
          <w:noProof/>
          <w:kern w:val="0"/>
        </w:rPr>
        <w:t>Ecol. Modell.</w:t>
      </w:r>
      <w:r w:rsidRPr="006531BB">
        <w:rPr>
          <w:rFonts w:ascii="Times New Roman" w:hAnsi="Times New Roman" w:cs="Times New Roman"/>
          <w:noProof/>
          <w:kern w:val="0"/>
        </w:rPr>
        <w:t xml:space="preserve"> </w:t>
      </w:r>
      <w:r w:rsidRPr="006531BB">
        <w:rPr>
          <w:rFonts w:ascii="Times New Roman" w:hAnsi="Times New Roman" w:cs="Times New Roman"/>
          <w:b/>
          <w:bCs/>
          <w:noProof/>
          <w:kern w:val="0"/>
        </w:rPr>
        <w:t>470</w:t>
      </w:r>
      <w:r w:rsidRPr="006531BB">
        <w:rPr>
          <w:rFonts w:ascii="Times New Roman" w:hAnsi="Times New Roman" w:cs="Times New Roman"/>
          <w:noProof/>
          <w:kern w:val="0"/>
        </w:rPr>
        <w:t>, 110013 (2022).</w:t>
      </w:r>
    </w:p>
    <w:p w14:paraId="4B148A96" w14:textId="069EB3C1" w:rsidR="003F2AA8" w:rsidRPr="008367CC" w:rsidRDefault="003F2AA8" w:rsidP="003F2AA8">
      <w:pPr>
        <w:spacing w:line="360" w:lineRule="auto"/>
        <w:jc w:val="both"/>
        <w:rPr>
          <w:rFonts w:ascii="Times New Roman" w:hAnsi="Times New Roman" w:cs="Times New Roman"/>
        </w:rPr>
      </w:pPr>
      <w:r>
        <w:rPr>
          <w:rFonts w:ascii="Times New Roman" w:hAnsi="Times New Roman" w:cs="Times New Roman"/>
        </w:rPr>
        <w:fldChar w:fldCharType="end"/>
      </w:r>
    </w:p>
    <w:sectPr w:rsidR="003F2AA8" w:rsidRPr="008367CC" w:rsidSect="003C3A2F">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CC"/>
    <w:rsid w:val="00011B78"/>
    <w:rsid w:val="00076523"/>
    <w:rsid w:val="00081C51"/>
    <w:rsid w:val="00087014"/>
    <w:rsid w:val="000F3919"/>
    <w:rsid w:val="000F693B"/>
    <w:rsid w:val="0012785F"/>
    <w:rsid w:val="001A1B22"/>
    <w:rsid w:val="001C4534"/>
    <w:rsid w:val="001F7A5F"/>
    <w:rsid w:val="00213C4D"/>
    <w:rsid w:val="002444EC"/>
    <w:rsid w:val="00270FF8"/>
    <w:rsid w:val="002B48C1"/>
    <w:rsid w:val="0033640E"/>
    <w:rsid w:val="003452AE"/>
    <w:rsid w:val="00376EC5"/>
    <w:rsid w:val="003A001E"/>
    <w:rsid w:val="003A5238"/>
    <w:rsid w:val="003C3A2F"/>
    <w:rsid w:val="003F2AA8"/>
    <w:rsid w:val="00454C1A"/>
    <w:rsid w:val="00466E45"/>
    <w:rsid w:val="004E2848"/>
    <w:rsid w:val="005417F1"/>
    <w:rsid w:val="00556661"/>
    <w:rsid w:val="00561264"/>
    <w:rsid w:val="005E525A"/>
    <w:rsid w:val="00606C73"/>
    <w:rsid w:val="006531BB"/>
    <w:rsid w:val="006E3A1B"/>
    <w:rsid w:val="00735860"/>
    <w:rsid w:val="00781020"/>
    <w:rsid w:val="00793421"/>
    <w:rsid w:val="008367CC"/>
    <w:rsid w:val="00847D35"/>
    <w:rsid w:val="008B14F2"/>
    <w:rsid w:val="008D424D"/>
    <w:rsid w:val="0094263E"/>
    <w:rsid w:val="00982DC1"/>
    <w:rsid w:val="009B703A"/>
    <w:rsid w:val="00A116B0"/>
    <w:rsid w:val="00A20433"/>
    <w:rsid w:val="00A77FEA"/>
    <w:rsid w:val="00A945FB"/>
    <w:rsid w:val="00AC3653"/>
    <w:rsid w:val="00AF3D8D"/>
    <w:rsid w:val="00B10FA5"/>
    <w:rsid w:val="00B84944"/>
    <w:rsid w:val="00B8752C"/>
    <w:rsid w:val="00B93B03"/>
    <w:rsid w:val="00BA5272"/>
    <w:rsid w:val="00BB3A42"/>
    <w:rsid w:val="00BE6071"/>
    <w:rsid w:val="00C74132"/>
    <w:rsid w:val="00CE79FA"/>
    <w:rsid w:val="00E317E6"/>
    <w:rsid w:val="00EA61D2"/>
    <w:rsid w:val="00EF5E7C"/>
    <w:rsid w:val="00F26325"/>
    <w:rsid w:val="00F67743"/>
    <w:rsid w:val="00FA2F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79E9"/>
  <w15:chartTrackingRefBased/>
  <w15:docId w15:val="{56F00495-8D66-4B86-B580-3A499C13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CC"/>
  </w:style>
  <w:style w:type="paragraph" w:styleId="Ttulo2">
    <w:name w:val="heading 2"/>
    <w:basedOn w:val="Normal"/>
    <w:next w:val="Normal"/>
    <w:link w:val="Ttulo2Char"/>
    <w:uiPriority w:val="9"/>
    <w:semiHidden/>
    <w:unhideWhenUsed/>
    <w:qFormat/>
    <w:rsid w:val="008367CC"/>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8367CC"/>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Fontepargpadro"/>
    <w:uiPriority w:val="99"/>
    <w:unhideWhenUsed/>
    <w:rsid w:val="008367CC"/>
    <w:rPr>
      <w:color w:val="0563C1" w:themeColor="hyperlink"/>
      <w:u w:val="single"/>
    </w:rPr>
  </w:style>
  <w:style w:type="paragraph" w:styleId="PargrafodaLista">
    <w:name w:val="List Paragraph"/>
    <w:basedOn w:val="Normal"/>
    <w:uiPriority w:val="34"/>
    <w:qFormat/>
    <w:rsid w:val="008367CC"/>
    <w:pPr>
      <w:ind w:left="720"/>
      <w:contextualSpacing/>
    </w:pPr>
    <w:rPr>
      <w:kern w:val="0"/>
      <w14:ligatures w14:val="none"/>
    </w:rPr>
  </w:style>
  <w:style w:type="character" w:styleId="MenoPendente">
    <w:name w:val="Unresolved Mention"/>
    <w:basedOn w:val="Fontepargpadro"/>
    <w:uiPriority w:val="99"/>
    <w:semiHidden/>
    <w:unhideWhenUsed/>
    <w:rsid w:val="003F2AA8"/>
    <w:rPr>
      <w:color w:val="605E5C"/>
      <w:shd w:val="clear" w:color="auto" w:fill="E1DFDD"/>
    </w:rPr>
  </w:style>
  <w:style w:type="character" w:styleId="Nmerodelinha">
    <w:name w:val="line number"/>
    <w:basedOn w:val="Fontepargpadro"/>
    <w:uiPriority w:val="99"/>
    <w:semiHidden/>
    <w:unhideWhenUsed/>
    <w:rsid w:val="003C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970752">
      <w:bodyDiv w:val="1"/>
      <w:marLeft w:val="0"/>
      <w:marRight w:val="0"/>
      <w:marTop w:val="0"/>
      <w:marBottom w:val="0"/>
      <w:divBdr>
        <w:top w:val="none" w:sz="0" w:space="0" w:color="auto"/>
        <w:left w:val="none" w:sz="0" w:space="0" w:color="auto"/>
        <w:bottom w:val="none" w:sz="0" w:space="0" w:color="auto"/>
        <w:right w:val="none" w:sz="0" w:space="0" w:color="auto"/>
      </w:divBdr>
      <w:divsChild>
        <w:div w:id="348334081">
          <w:marLeft w:val="0"/>
          <w:marRight w:val="0"/>
          <w:marTop w:val="0"/>
          <w:marBottom w:val="0"/>
          <w:divBdr>
            <w:top w:val="single" w:sz="2" w:space="0" w:color="E3E3E3"/>
            <w:left w:val="single" w:sz="2" w:space="0" w:color="E3E3E3"/>
            <w:bottom w:val="single" w:sz="2" w:space="0" w:color="E3E3E3"/>
            <w:right w:val="single" w:sz="2" w:space="0" w:color="E3E3E3"/>
          </w:divBdr>
          <w:divsChild>
            <w:div w:id="1295015920">
              <w:marLeft w:val="0"/>
              <w:marRight w:val="0"/>
              <w:marTop w:val="0"/>
              <w:marBottom w:val="0"/>
              <w:divBdr>
                <w:top w:val="single" w:sz="2" w:space="0" w:color="E3E3E3"/>
                <w:left w:val="single" w:sz="2" w:space="0" w:color="E3E3E3"/>
                <w:bottom w:val="single" w:sz="2" w:space="0" w:color="E3E3E3"/>
                <w:right w:val="single" w:sz="2" w:space="0" w:color="E3E3E3"/>
              </w:divBdr>
              <w:divsChild>
                <w:div w:id="1021081003">
                  <w:marLeft w:val="0"/>
                  <w:marRight w:val="0"/>
                  <w:marTop w:val="0"/>
                  <w:marBottom w:val="0"/>
                  <w:divBdr>
                    <w:top w:val="single" w:sz="2" w:space="0" w:color="E3E3E3"/>
                    <w:left w:val="single" w:sz="2" w:space="0" w:color="E3E3E3"/>
                    <w:bottom w:val="single" w:sz="2" w:space="0" w:color="E3E3E3"/>
                    <w:right w:val="single" w:sz="2" w:space="0" w:color="E3E3E3"/>
                  </w:divBdr>
                  <w:divsChild>
                    <w:div w:id="771902060">
                      <w:marLeft w:val="0"/>
                      <w:marRight w:val="0"/>
                      <w:marTop w:val="0"/>
                      <w:marBottom w:val="0"/>
                      <w:divBdr>
                        <w:top w:val="single" w:sz="2" w:space="0" w:color="E3E3E3"/>
                        <w:left w:val="single" w:sz="2" w:space="0" w:color="E3E3E3"/>
                        <w:bottom w:val="single" w:sz="2" w:space="0" w:color="E3E3E3"/>
                        <w:right w:val="single" w:sz="2" w:space="0" w:color="E3E3E3"/>
                      </w:divBdr>
                      <w:divsChild>
                        <w:div w:id="69163923">
                          <w:marLeft w:val="0"/>
                          <w:marRight w:val="0"/>
                          <w:marTop w:val="0"/>
                          <w:marBottom w:val="0"/>
                          <w:divBdr>
                            <w:top w:val="single" w:sz="2" w:space="0" w:color="E3E3E3"/>
                            <w:left w:val="single" w:sz="2" w:space="0" w:color="E3E3E3"/>
                            <w:bottom w:val="single" w:sz="2" w:space="0" w:color="E3E3E3"/>
                            <w:right w:val="single" w:sz="2" w:space="0" w:color="E3E3E3"/>
                          </w:divBdr>
                          <w:divsChild>
                            <w:div w:id="1057438727">
                              <w:marLeft w:val="0"/>
                              <w:marRight w:val="0"/>
                              <w:marTop w:val="100"/>
                              <w:marBottom w:val="100"/>
                              <w:divBdr>
                                <w:top w:val="single" w:sz="2" w:space="0" w:color="E3E3E3"/>
                                <w:left w:val="single" w:sz="2" w:space="0" w:color="E3E3E3"/>
                                <w:bottom w:val="single" w:sz="2" w:space="0" w:color="E3E3E3"/>
                                <w:right w:val="single" w:sz="2" w:space="0" w:color="E3E3E3"/>
                              </w:divBdr>
                              <w:divsChild>
                                <w:div w:id="946931674">
                                  <w:marLeft w:val="0"/>
                                  <w:marRight w:val="0"/>
                                  <w:marTop w:val="0"/>
                                  <w:marBottom w:val="0"/>
                                  <w:divBdr>
                                    <w:top w:val="single" w:sz="2" w:space="0" w:color="E3E3E3"/>
                                    <w:left w:val="single" w:sz="2" w:space="0" w:color="E3E3E3"/>
                                    <w:bottom w:val="single" w:sz="2" w:space="0" w:color="E3E3E3"/>
                                    <w:right w:val="single" w:sz="2" w:space="0" w:color="E3E3E3"/>
                                  </w:divBdr>
                                  <w:divsChild>
                                    <w:div w:id="1269847424">
                                      <w:marLeft w:val="0"/>
                                      <w:marRight w:val="0"/>
                                      <w:marTop w:val="0"/>
                                      <w:marBottom w:val="0"/>
                                      <w:divBdr>
                                        <w:top w:val="single" w:sz="2" w:space="0" w:color="E3E3E3"/>
                                        <w:left w:val="single" w:sz="2" w:space="0" w:color="E3E3E3"/>
                                        <w:bottom w:val="single" w:sz="2" w:space="0" w:color="E3E3E3"/>
                                        <w:right w:val="single" w:sz="2" w:space="0" w:color="E3E3E3"/>
                                      </w:divBdr>
                                      <w:divsChild>
                                        <w:div w:id="117571619">
                                          <w:marLeft w:val="0"/>
                                          <w:marRight w:val="0"/>
                                          <w:marTop w:val="0"/>
                                          <w:marBottom w:val="0"/>
                                          <w:divBdr>
                                            <w:top w:val="single" w:sz="2" w:space="0" w:color="E3E3E3"/>
                                            <w:left w:val="single" w:sz="2" w:space="0" w:color="E3E3E3"/>
                                            <w:bottom w:val="single" w:sz="2" w:space="0" w:color="E3E3E3"/>
                                            <w:right w:val="single" w:sz="2" w:space="0" w:color="E3E3E3"/>
                                          </w:divBdr>
                                          <w:divsChild>
                                            <w:div w:id="1470171480">
                                              <w:marLeft w:val="0"/>
                                              <w:marRight w:val="0"/>
                                              <w:marTop w:val="0"/>
                                              <w:marBottom w:val="0"/>
                                              <w:divBdr>
                                                <w:top w:val="single" w:sz="2" w:space="0" w:color="E3E3E3"/>
                                                <w:left w:val="single" w:sz="2" w:space="0" w:color="E3E3E3"/>
                                                <w:bottom w:val="single" w:sz="2" w:space="0" w:color="E3E3E3"/>
                                                <w:right w:val="single" w:sz="2" w:space="0" w:color="E3E3E3"/>
                                              </w:divBdr>
                                              <w:divsChild>
                                                <w:div w:id="1286426879">
                                                  <w:marLeft w:val="0"/>
                                                  <w:marRight w:val="0"/>
                                                  <w:marTop w:val="0"/>
                                                  <w:marBottom w:val="0"/>
                                                  <w:divBdr>
                                                    <w:top w:val="single" w:sz="2" w:space="0" w:color="E3E3E3"/>
                                                    <w:left w:val="single" w:sz="2" w:space="0" w:color="E3E3E3"/>
                                                    <w:bottom w:val="single" w:sz="2" w:space="0" w:color="E3E3E3"/>
                                                    <w:right w:val="single" w:sz="2" w:space="0" w:color="E3E3E3"/>
                                                  </w:divBdr>
                                                  <w:divsChild>
                                                    <w:div w:id="118628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081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265D-DEEE-4398-995E-ED483B5D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5753</Words>
  <Characters>31067</Characters>
  <Application>Microsoft Office Word</Application>
  <DocSecurity>0</DocSecurity>
  <Lines>258</Lines>
  <Paragraphs>73</Paragraphs>
  <ScaleCrop>false</ScaleCrop>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Bernardi Vieira</dc:creator>
  <cp:keywords/>
  <dc:description/>
  <cp:lastModifiedBy>Thiago Bernardi Vieira</cp:lastModifiedBy>
  <cp:revision>64</cp:revision>
  <dcterms:created xsi:type="dcterms:W3CDTF">2023-12-12T18:07:00Z</dcterms:created>
  <dcterms:modified xsi:type="dcterms:W3CDTF">2024-02-29T21:00:00Z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0f11c246-708a-365d-a65e-5bfa8a58ade0</vt:lpwstr>
  </property>
  <property fmtid="{D5CDD505-2E9C-101B-9397-08002B2CF9AE}" pid="4" name="Mendeley Citation Style_1">
    <vt:lpwstr>http://www.zotero.org/styles/scientific-reports</vt:lpwstr>
  </property>
  <property fmtid="{D5CDD505-2E9C-101B-9397-08002B2CF9AE}" pid="5" name="Mendeley Recent Style Id 0_1">
    <vt:lpwstr>http://www.zotero.org/styles/elsevier-with-titles</vt:lpwstr>
  </property>
  <property fmtid="{D5CDD505-2E9C-101B-9397-08002B2CF9AE}" pid="6" name="Mendeley Recent Style Name 0_1">
    <vt:lpwstr>Elsevier (numeric, with titles)</vt:lpwstr>
  </property>
  <property fmtid="{D5CDD505-2E9C-101B-9397-08002B2CF9AE}" pid="7" name="Mendeley Recent Style Id 1_1">
    <vt:lpwstr>http://www.zotero.org/styles/elsevier-with-titles-alphabetical</vt:lpwstr>
  </property>
  <property fmtid="{D5CDD505-2E9C-101B-9397-08002B2CF9AE}" pid="8" name="Mendeley Recent Style Name 1_1">
    <vt:lpwstr>Elsevier (numeric, with titles, sorted alphabetically)</vt:lpwstr>
  </property>
  <property fmtid="{D5CDD505-2E9C-101B-9397-08002B2CF9AE}" pid="9" name="Mendeley Recent Style Id 2_1">
    <vt:lpwstr>http://www.zotero.org/styles/elsevier-without-titles</vt:lpwstr>
  </property>
  <property fmtid="{D5CDD505-2E9C-101B-9397-08002B2CF9AE}" pid="10" name="Mendeley Recent Style Name 2_1">
    <vt:lpwstr>Elsevier (numeric, without titles)</vt:lpwstr>
  </property>
  <property fmtid="{D5CDD505-2E9C-101B-9397-08002B2CF9AE}" pid="11" name="Mendeley Recent Style Id 3_1">
    <vt:lpwstr>http://www.zotero.org/styles/elsevier-american-chemical-society</vt:lpwstr>
  </property>
  <property fmtid="{D5CDD505-2E9C-101B-9397-08002B2CF9AE}" pid="12" name="Mendeley Recent Style Name 3_1">
    <vt:lpwstr>Elsevier - American Chemical Society</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http://www.zotero.org/styles/elsevier-harvard-without-titles</vt:lpwstr>
  </property>
  <property fmtid="{D5CDD505-2E9C-101B-9397-08002B2CF9AE}" pid="16" name="Mendeley Recent Style Name 5_1">
    <vt:lpwstr>Elsevier - Harvard (without titles)</vt:lpwstr>
  </property>
  <property fmtid="{D5CDD505-2E9C-101B-9397-08002B2CF9AE}" pid="17" name="Mendeley Recent Style Id 6_1">
    <vt:lpwstr>http://www.zotero.org/styles/elsevier-harvard2</vt:lpwstr>
  </property>
  <property fmtid="{D5CDD505-2E9C-101B-9397-08002B2CF9AE}" pid="18" name="Mendeley Recent Style Name 6_1">
    <vt:lpwstr>Elsevier - Harvard 2</vt:lpwstr>
  </property>
  <property fmtid="{D5CDD505-2E9C-101B-9397-08002B2CF9AE}" pid="19" name="Mendeley Recent Style Id 7_1">
    <vt:lpwstr>http://www.zotero.org/styles/elsevier-vancouver</vt:lpwstr>
  </property>
  <property fmtid="{D5CDD505-2E9C-101B-9397-08002B2CF9AE}" pid="20" name="Mendeley Recent Style Name 7_1">
    <vt:lpwstr>Elsevier - Vancouver</vt:lpwstr>
  </property>
  <property fmtid="{D5CDD505-2E9C-101B-9397-08002B2CF9AE}" pid="21" name="Mendeley Recent Style Id 8_1">
    <vt:lpwstr>http://www.zotero.org/styles/elsevier-vancouver-author-date</vt:lpwstr>
  </property>
  <property fmtid="{D5CDD505-2E9C-101B-9397-08002B2CF9AE}" pid="22" name="Mendeley Recent Style Name 8_1">
    <vt:lpwstr>Elsevier - Vancouver (author-date)</vt:lpwstr>
  </property>
  <property fmtid="{D5CDD505-2E9C-101B-9397-08002B2CF9AE}" pid="23" name="Mendeley Recent Style Id 9_1">
    <vt:lpwstr>http://www.zotero.org/styles/scientific-reports</vt:lpwstr>
  </property>
  <property fmtid="{D5CDD505-2E9C-101B-9397-08002B2CF9AE}" pid="24" name="Mendeley Recent Style Name 9_1">
    <vt:lpwstr>Scientific Reports</vt:lpwstr>
  </property>
</Properties>
</file>