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A3AAF" w14:textId="77777777" w:rsidR="00B874D8" w:rsidRDefault="00B874D8" w:rsidP="00B874D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48EC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5F48EC">
        <w:rPr>
          <w:rFonts w:ascii="Times New Roman" w:hAnsi="Times New Roman" w:cs="Times New Roman"/>
          <w:b/>
          <w:sz w:val="24"/>
          <w:szCs w:val="24"/>
        </w:rPr>
        <w:t>nformation</w:t>
      </w:r>
    </w:p>
    <w:p w14:paraId="3AAA068B" w14:textId="77777777" w:rsidR="00B874D8" w:rsidRPr="001145EE" w:rsidRDefault="00B874D8" w:rsidP="00B874D8">
      <w:pPr>
        <w:spacing w:after="0" w:line="36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1145EE"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 w:rsidRPr="001145EE">
        <w:rPr>
          <w:rFonts w:ascii="Times New Roman" w:hAnsi="Times New Roman" w:cs="Times New Roman"/>
          <w:color w:val="1F1F1F"/>
          <w:sz w:val="24"/>
          <w:szCs w:val="24"/>
        </w:rPr>
        <w:t xml:space="preserve">Comparison of model selection indexes (AIC and AICc) and goodness-of-fit tests for pollen dispersal kernels. Only outcrossing mating events were included in the analysis. The number of mating events is indicated in parentheses. </w:t>
      </w:r>
    </w:p>
    <w:p w14:paraId="27C9DA77" w14:textId="77777777" w:rsidR="00B874D8" w:rsidRPr="001145EE" w:rsidRDefault="00B874D8" w:rsidP="00B874D8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145EE">
        <w:rPr>
          <w:rFonts w:ascii="Times New Roman" w:hAnsi="Times New Roman" w:cs="Times New Roman"/>
          <w:sz w:val="24"/>
        </w:rPr>
        <w:t xml:space="preserve">n.s. </w:t>
      </w:r>
      <w:r w:rsidRPr="001145EE">
        <w:rPr>
          <w:rFonts w:ascii="Times New Roman" w:hAnsi="Times New Roman" w:cs="Times New Roman"/>
          <w:i/>
          <w:sz w:val="24"/>
        </w:rPr>
        <w:t>P</w:t>
      </w:r>
      <w:r w:rsidRPr="001145EE">
        <w:rPr>
          <w:rFonts w:ascii="Times New Roman" w:hAnsi="Times New Roman" w:cs="Times New Roman"/>
          <w:sz w:val="24"/>
        </w:rPr>
        <w:t xml:space="preserve"> &gt; 0.05, </w:t>
      </w:r>
      <w:r w:rsidRPr="001145EE">
        <w:rPr>
          <w:rFonts w:ascii="Cambria Math" w:hAnsi="Cambria Math" w:cs="Cambria Math"/>
          <w:sz w:val="24"/>
        </w:rPr>
        <w:t>∗</w:t>
      </w:r>
      <w:r w:rsidRPr="001145EE">
        <w:rPr>
          <w:rFonts w:ascii="Times New Roman" w:hAnsi="Times New Roman" w:cs="Times New Roman"/>
          <w:sz w:val="24"/>
        </w:rPr>
        <w:t xml:space="preserve"> </w:t>
      </w:r>
      <w:r w:rsidRPr="001145EE">
        <w:rPr>
          <w:rFonts w:ascii="Times New Roman" w:hAnsi="Times New Roman" w:cs="Times New Roman"/>
          <w:i/>
          <w:sz w:val="24"/>
        </w:rPr>
        <w:t>P</w:t>
      </w:r>
      <w:r w:rsidRPr="001145EE">
        <w:rPr>
          <w:rFonts w:ascii="Times New Roman" w:hAnsi="Times New Roman" w:cs="Times New Roman"/>
          <w:sz w:val="24"/>
        </w:rPr>
        <w:t xml:space="preserve"> &lt; 0.05, </w:t>
      </w:r>
      <w:r w:rsidRPr="001145EE">
        <w:rPr>
          <w:rFonts w:ascii="Cambria Math" w:hAnsi="Cambria Math" w:cs="Cambria Math"/>
          <w:sz w:val="24"/>
        </w:rPr>
        <w:t>∗∗</w:t>
      </w:r>
      <w:r w:rsidRPr="001145EE">
        <w:rPr>
          <w:rFonts w:ascii="Times New Roman" w:hAnsi="Times New Roman" w:cs="Times New Roman"/>
          <w:sz w:val="24"/>
        </w:rPr>
        <w:t xml:space="preserve"> </w:t>
      </w:r>
      <w:r w:rsidRPr="001145EE">
        <w:rPr>
          <w:rFonts w:ascii="Times New Roman" w:hAnsi="Times New Roman" w:cs="Times New Roman"/>
          <w:i/>
          <w:sz w:val="24"/>
        </w:rPr>
        <w:t>P</w:t>
      </w:r>
      <w:r w:rsidRPr="001145EE">
        <w:rPr>
          <w:rFonts w:ascii="Times New Roman" w:hAnsi="Times New Roman" w:cs="Times New Roman"/>
          <w:sz w:val="24"/>
        </w:rPr>
        <w:t xml:space="preserve"> &lt; 0.01, *** </w:t>
      </w:r>
      <w:r w:rsidRPr="001145EE">
        <w:rPr>
          <w:rFonts w:ascii="Times New Roman" w:hAnsi="Times New Roman" w:cs="Times New Roman"/>
          <w:i/>
          <w:sz w:val="24"/>
        </w:rPr>
        <w:t>P</w:t>
      </w:r>
      <w:r w:rsidRPr="001145EE">
        <w:rPr>
          <w:rFonts w:ascii="Times New Roman" w:hAnsi="Times New Roman" w:cs="Times New Roman"/>
          <w:sz w:val="24"/>
        </w:rPr>
        <w:t xml:space="preserve"> &lt; 0.001</w:t>
      </w:r>
      <w:r>
        <w:rPr>
          <w:rFonts w:ascii="Times New Roman" w:hAnsi="Times New Roman" w:cs="Times New Roman"/>
          <w:sz w:val="24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85"/>
        <w:gridCol w:w="1260"/>
        <w:gridCol w:w="990"/>
        <w:gridCol w:w="870"/>
        <w:gridCol w:w="1020"/>
        <w:gridCol w:w="861"/>
        <w:gridCol w:w="939"/>
        <w:gridCol w:w="1237"/>
      </w:tblGrid>
      <w:tr w:rsidR="00B874D8" w:rsidRPr="00B12496" w14:paraId="45CFBCE0" w14:textId="77777777" w:rsidTr="00FE186D">
        <w:tc>
          <w:tcPr>
            <w:tcW w:w="1885" w:type="dxa"/>
          </w:tcPr>
          <w:p w14:paraId="05CEC427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847B321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Distribution</w:t>
            </w:r>
          </w:p>
        </w:tc>
        <w:tc>
          <w:tcPr>
            <w:tcW w:w="990" w:type="dxa"/>
          </w:tcPr>
          <w:p w14:paraId="21AFE436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870" w:type="dxa"/>
          </w:tcPr>
          <w:p w14:paraId="73D2C2AE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Delta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1020" w:type="dxa"/>
          </w:tcPr>
          <w:p w14:paraId="77838FF5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 xml:space="preserve">AICc </w:t>
            </w:r>
          </w:p>
        </w:tc>
        <w:tc>
          <w:tcPr>
            <w:tcW w:w="861" w:type="dxa"/>
          </w:tcPr>
          <w:p w14:paraId="0D36A8DC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Delta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AICc</w:t>
            </w:r>
          </w:p>
        </w:tc>
        <w:tc>
          <w:tcPr>
            <w:tcW w:w="939" w:type="dxa"/>
          </w:tcPr>
          <w:p w14:paraId="04F8C755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Chisq-value</w:t>
            </w:r>
          </w:p>
        </w:tc>
        <w:tc>
          <w:tcPr>
            <w:tcW w:w="1237" w:type="dxa"/>
          </w:tcPr>
          <w:p w14:paraId="5703BF53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 xml:space="preserve">Chisq-significance </w:t>
            </w:r>
          </w:p>
        </w:tc>
      </w:tr>
      <w:tr w:rsidR="00B874D8" w:rsidRPr="00B12496" w14:paraId="00ABF17E" w14:textId="77777777" w:rsidTr="00FE186D">
        <w:tc>
          <w:tcPr>
            <w:tcW w:w="1885" w:type="dxa"/>
          </w:tcPr>
          <w:p w14:paraId="4D8DC287" w14:textId="77777777" w:rsidR="00B874D8" w:rsidRPr="00B12496" w:rsidRDefault="00B874D8" w:rsidP="00B874D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All sires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47261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513)</w:t>
            </w:r>
          </w:p>
        </w:tc>
        <w:tc>
          <w:tcPr>
            <w:tcW w:w="1260" w:type="dxa"/>
          </w:tcPr>
          <w:p w14:paraId="526C9720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Weibull</w:t>
            </w:r>
          </w:p>
        </w:tc>
        <w:tc>
          <w:tcPr>
            <w:tcW w:w="990" w:type="dxa"/>
          </w:tcPr>
          <w:p w14:paraId="2AEE778D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 xml:space="preserve">14217.87    </w:t>
            </w:r>
          </w:p>
        </w:tc>
        <w:tc>
          <w:tcPr>
            <w:tcW w:w="870" w:type="dxa"/>
          </w:tcPr>
          <w:p w14:paraId="196D164B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020" w:type="dxa"/>
          </w:tcPr>
          <w:p w14:paraId="08FD0C52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 xml:space="preserve">14217.89     </w:t>
            </w:r>
          </w:p>
        </w:tc>
        <w:tc>
          <w:tcPr>
            <w:tcW w:w="861" w:type="dxa"/>
          </w:tcPr>
          <w:p w14:paraId="6ECE6DCB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39" w:type="dxa"/>
          </w:tcPr>
          <w:p w14:paraId="0056F3F2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14.32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</w:p>
        </w:tc>
        <w:tc>
          <w:tcPr>
            <w:tcW w:w="1237" w:type="dxa"/>
          </w:tcPr>
          <w:p w14:paraId="22D92D4F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</w:p>
        </w:tc>
      </w:tr>
      <w:tr w:rsidR="00B874D8" w:rsidRPr="00B12496" w14:paraId="458DC390" w14:textId="77777777" w:rsidTr="00FE186D">
        <w:tc>
          <w:tcPr>
            <w:tcW w:w="1885" w:type="dxa"/>
          </w:tcPr>
          <w:p w14:paraId="5F5C1CB4" w14:textId="77777777" w:rsidR="00B874D8" w:rsidRPr="00B12496" w:rsidRDefault="00B874D8" w:rsidP="00FE186D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BC60C7E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Geometric</w:t>
            </w:r>
          </w:p>
        </w:tc>
        <w:tc>
          <w:tcPr>
            <w:tcW w:w="990" w:type="dxa"/>
          </w:tcPr>
          <w:p w14:paraId="27DA20AE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14239.77</w:t>
            </w:r>
          </w:p>
        </w:tc>
        <w:tc>
          <w:tcPr>
            <w:tcW w:w="870" w:type="dxa"/>
          </w:tcPr>
          <w:p w14:paraId="7624840E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21.9</w:t>
            </w:r>
          </w:p>
        </w:tc>
        <w:tc>
          <w:tcPr>
            <w:tcW w:w="1020" w:type="dxa"/>
          </w:tcPr>
          <w:p w14:paraId="71EB0CE9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14239.79</w:t>
            </w:r>
          </w:p>
        </w:tc>
        <w:tc>
          <w:tcPr>
            <w:tcW w:w="861" w:type="dxa"/>
          </w:tcPr>
          <w:p w14:paraId="615B4259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21.9</w:t>
            </w:r>
          </w:p>
        </w:tc>
        <w:tc>
          <w:tcPr>
            <w:tcW w:w="939" w:type="dxa"/>
          </w:tcPr>
          <w:p w14:paraId="050D4C58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20.29</w:t>
            </w:r>
          </w:p>
        </w:tc>
        <w:tc>
          <w:tcPr>
            <w:tcW w:w="1237" w:type="dxa"/>
          </w:tcPr>
          <w:p w14:paraId="6A3670AE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</w:p>
        </w:tc>
      </w:tr>
      <w:tr w:rsidR="00B874D8" w:rsidRPr="00B12496" w14:paraId="61655F82" w14:textId="77777777" w:rsidTr="00FE186D">
        <w:tc>
          <w:tcPr>
            <w:tcW w:w="1885" w:type="dxa"/>
          </w:tcPr>
          <w:p w14:paraId="6A944AEB" w14:textId="77777777" w:rsidR="00B874D8" w:rsidRPr="00B12496" w:rsidRDefault="00B874D8" w:rsidP="00FE186D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60B10E1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2Dt</w:t>
            </w:r>
          </w:p>
        </w:tc>
        <w:tc>
          <w:tcPr>
            <w:tcW w:w="990" w:type="dxa"/>
          </w:tcPr>
          <w:p w14:paraId="01937D15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14288.83</w:t>
            </w:r>
          </w:p>
        </w:tc>
        <w:tc>
          <w:tcPr>
            <w:tcW w:w="870" w:type="dxa"/>
          </w:tcPr>
          <w:p w14:paraId="12322CFA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70.96</w:t>
            </w:r>
          </w:p>
        </w:tc>
        <w:tc>
          <w:tcPr>
            <w:tcW w:w="1020" w:type="dxa"/>
          </w:tcPr>
          <w:p w14:paraId="29F43BF4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14288.85</w:t>
            </w:r>
          </w:p>
        </w:tc>
        <w:tc>
          <w:tcPr>
            <w:tcW w:w="861" w:type="dxa"/>
          </w:tcPr>
          <w:p w14:paraId="19ACC969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70.96</w:t>
            </w:r>
          </w:p>
        </w:tc>
        <w:tc>
          <w:tcPr>
            <w:tcW w:w="939" w:type="dxa"/>
          </w:tcPr>
          <w:p w14:paraId="14B78119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39.93</w:t>
            </w:r>
          </w:p>
        </w:tc>
        <w:tc>
          <w:tcPr>
            <w:tcW w:w="1237" w:type="dxa"/>
          </w:tcPr>
          <w:p w14:paraId="5EE063E6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B874D8" w:rsidRPr="00B12496" w14:paraId="2DEA0B76" w14:textId="77777777" w:rsidTr="00FE186D">
        <w:tc>
          <w:tcPr>
            <w:tcW w:w="1885" w:type="dxa"/>
          </w:tcPr>
          <w:p w14:paraId="090DE46F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5012082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Exponential</w:t>
            </w:r>
          </w:p>
        </w:tc>
        <w:tc>
          <w:tcPr>
            <w:tcW w:w="990" w:type="dxa"/>
          </w:tcPr>
          <w:p w14:paraId="4748FF2E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 xml:space="preserve">14330.53  </w:t>
            </w:r>
          </w:p>
        </w:tc>
        <w:tc>
          <w:tcPr>
            <w:tcW w:w="870" w:type="dxa"/>
          </w:tcPr>
          <w:p w14:paraId="56726D8A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112.66</w:t>
            </w:r>
          </w:p>
        </w:tc>
        <w:tc>
          <w:tcPr>
            <w:tcW w:w="1020" w:type="dxa"/>
          </w:tcPr>
          <w:p w14:paraId="7EE11B33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 xml:space="preserve">14330.54   </w:t>
            </w:r>
          </w:p>
        </w:tc>
        <w:tc>
          <w:tcPr>
            <w:tcW w:w="861" w:type="dxa"/>
          </w:tcPr>
          <w:p w14:paraId="1CDD6C17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112.65</w:t>
            </w:r>
          </w:p>
        </w:tc>
        <w:tc>
          <w:tcPr>
            <w:tcW w:w="939" w:type="dxa"/>
          </w:tcPr>
          <w:p w14:paraId="75886BDE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135.36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</w:p>
        </w:tc>
        <w:tc>
          <w:tcPr>
            <w:tcW w:w="1237" w:type="dxa"/>
          </w:tcPr>
          <w:p w14:paraId="0D9F28B9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B874D8" w:rsidRPr="00B12496" w14:paraId="1C08E6CD" w14:textId="77777777" w:rsidTr="00FE186D">
        <w:tc>
          <w:tcPr>
            <w:tcW w:w="1885" w:type="dxa"/>
          </w:tcPr>
          <w:p w14:paraId="06C687EF" w14:textId="77777777" w:rsidR="00B874D8" w:rsidRPr="00B12496" w:rsidRDefault="00B874D8" w:rsidP="00B874D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Sires with a bisexual flower (</w:t>
            </w:r>
            <w:r w:rsidRPr="0014113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324)</w:t>
            </w:r>
          </w:p>
        </w:tc>
        <w:tc>
          <w:tcPr>
            <w:tcW w:w="1260" w:type="dxa"/>
          </w:tcPr>
          <w:p w14:paraId="09599C0B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Weibull</w:t>
            </w:r>
          </w:p>
        </w:tc>
        <w:tc>
          <w:tcPr>
            <w:tcW w:w="990" w:type="dxa"/>
          </w:tcPr>
          <w:p w14:paraId="4DC3F8A9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9011.28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870" w:type="dxa"/>
          </w:tcPr>
          <w:p w14:paraId="72273ABE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020" w:type="dxa"/>
          </w:tcPr>
          <w:p w14:paraId="66057293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9011.32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  <w:tc>
          <w:tcPr>
            <w:tcW w:w="861" w:type="dxa"/>
          </w:tcPr>
          <w:p w14:paraId="7A094C70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39" w:type="dxa"/>
          </w:tcPr>
          <w:p w14:paraId="51C65920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1237" w:type="dxa"/>
          </w:tcPr>
          <w:p w14:paraId="415604F4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</w:p>
        </w:tc>
      </w:tr>
      <w:tr w:rsidR="00B874D8" w:rsidRPr="00B12496" w14:paraId="7D62A780" w14:textId="77777777" w:rsidTr="00FE186D">
        <w:tc>
          <w:tcPr>
            <w:tcW w:w="1885" w:type="dxa"/>
          </w:tcPr>
          <w:p w14:paraId="1C8AF801" w14:textId="77777777" w:rsidR="00B874D8" w:rsidRPr="00B12496" w:rsidRDefault="00B874D8" w:rsidP="00FE186D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A58F450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Geometric</w:t>
            </w:r>
          </w:p>
        </w:tc>
        <w:tc>
          <w:tcPr>
            <w:tcW w:w="990" w:type="dxa"/>
          </w:tcPr>
          <w:p w14:paraId="61A17282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9025.14</w:t>
            </w:r>
          </w:p>
        </w:tc>
        <w:tc>
          <w:tcPr>
            <w:tcW w:w="870" w:type="dxa"/>
          </w:tcPr>
          <w:p w14:paraId="09B2D014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13.86</w:t>
            </w:r>
          </w:p>
        </w:tc>
        <w:tc>
          <w:tcPr>
            <w:tcW w:w="1020" w:type="dxa"/>
          </w:tcPr>
          <w:p w14:paraId="2BE5437E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9025.18</w:t>
            </w:r>
          </w:p>
        </w:tc>
        <w:tc>
          <w:tcPr>
            <w:tcW w:w="861" w:type="dxa"/>
          </w:tcPr>
          <w:p w14:paraId="155B0368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13.86</w:t>
            </w:r>
          </w:p>
        </w:tc>
        <w:tc>
          <w:tcPr>
            <w:tcW w:w="939" w:type="dxa"/>
          </w:tcPr>
          <w:p w14:paraId="5F9E5CF5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25.42</w:t>
            </w:r>
          </w:p>
        </w:tc>
        <w:tc>
          <w:tcPr>
            <w:tcW w:w="1237" w:type="dxa"/>
          </w:tcPr>
          <w:p w14:paraId="59611B56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B874D8" w:rsidRPr="00B12496" w14:paraId="76F2402B" w14:textId="77777777" w:rsidTr="00FE186D">
        <w:tc>
          <w:tcPr>
            <w:tcW w:w="1885" w:type="dxa"/>
          </w:tcPr>
          <w:p w14:paraId="4CC0E3F8" w14:textId="77777777" w:rsidR="00B874D8" w:rsidRPr="00B12496" w:rsidRDefault="00B874D8" w:rsidP="00FE186D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EF66E59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2Dt</w:t>
            </w:r>
          </w:p>
        </w:tc>
        <w:tc>
          <w:tcPr>
            <w:tcW w:w="990" w:type="dxa"/>
          </w:tcPr>
          <w:p w14:paraId="6EF40A38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9059.58</w:t>
            </w:r>
          </w:p>
        </w:tc>
        <w:tc>
          <w:tcPr>
            <w:tcW w:w="870" w:type="dxa"/>
          </w:tcPr>
          <w:p w14:paraId="233907E6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48.3</w:t>
            </w:r>
          </w:p>
        </w:tc>
        <w:tc>
          <w:tcPr>
            <w:tcW w:w="1020" w:type="dxa"/>
          </w:tcPr>
          <w:p w14:paraId="5DF0B847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9059.62</w:t>
            </w:r>
          </w:p>
        </w:tc>
        <w:tc>
          <w:tcPr>
            <w:tcW w:w="861" w:type="dxa"/>
          </w:tcPr>
          <w:p w14:paraId="76DA5EB2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48.3</w:t>
            </w:r>
          </w:p>
        </w:tc>
        <w:tc>
          <w:tcPr>
            <w:tcW w:w="939" w:type="dxa"/>
          </w:tcPr>
          <w:p w14:paraId="326FC9E0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44.83</w:t>
            </w:r>
          </w:p>
        </w:tc>
        <w:tc>
          <w:tcPr>
            <w:tcW w:w="1237" w:type="dxa"/>
          </w:tcPr>
          <w:p w14:paraId="05A06FEB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B874D8" w:rsidRPr="00B12496" w14:paraId="1FCCF6DE" w14:textId="77777777" w:rsidTr="00FE186D">
        <w:tc>
          <w:tcPr>
            <w:tcW w:w="1885" w:type="dxa"/>
          </w:tcPr>
          <w:p w14:paraId="46949B7F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E1E23F0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Exponential</w:t>
            </w:r>
          </w:p>
        </w:tc>
        <w:tc>
          <w:tcPr>
            <w:tcW w:w="990" w:type="dxa"/>
          </w:tcPr>
          <w:p w14:paraId="75558EFE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9074.78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70" w:type="dxa"/>
          </w:tcPr>
          <w:p w14:paraId="6E5B9A2F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63.5</w:t>
            </w:r>
          </w:p>
        </w:tc>
        <w:tc>
          <w:tcPr>
            <w:tcW w:w="1020" w:type="dxa"/>
          </w:tcPr>
          <w:p w14:paraId="4B36FD47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9074.8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861" w:type="dxa"/>
          </w:tcPr>
          <w:p w14:paraId="179F5E8B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63.48</w:t>
            </w:r>
          </w:p>
        </w:tc>
        <w:tc>
          <w:tcPr>
            <w:tcW w:w="939" w:type="dxa"/>
          </w:tcPr>
          <w:p w14:paraId="57FAB47D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94.82</w:t>
            </w:r>
          </w:p>
        </w:tc>
        <w:tc>
          <w:tcPr>
            <w:tcW w:w="1237" w:type="dxa"/>
          </w:tcPr>
          <w:p w14:paraId="47EB0FE1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B874D8" w:rsidRPr="00B12496" w14:paraId="632E45F1" w14:textId="77777777" w:rsidTr="00FE186D">
        <w:tc>
          <w:tcPr>
            <w:tcW w:w="1885" w:type="dxa"/>
          </w:tcPr>
          <w:p w14:paraId="15276B1B" w14:textId="77777777" w:rsidR="00B874D8" w:rsidRPr="00B12496" w:rsidRDefault="00B874D8" w:rsidP="00B874D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Sires with a male flower (</w:t>
            </w:r>
            <w:r w:rsidRPr="00141132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91)</w:t>
            </w:r>
          </w:p>
        </w:tc>
        <w:tc>
          <w:tcPr>
            <w:tcW w:w="1260" w:type="dxa"/>
          </w:tcPr>
          <w:p w14:paraId="2444B716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Weibull</w:t>
            </w:r>
          </w:p>
        </w:tc>
        <w:tc>
          <w:tcPr>
            <w:tcW w:w="990" w:type="dxa"/>
          </w:tcPr>
          <w:p w14:paraId="7B309D62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2519.14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70" w:type="dxa"/>
          </w:tcPr>
          <w:p w14:paraId="1312A301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020" w:type="dxa"/>
          </w:tcPr>
          <w:p w14:paraId="4D040E24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2519.28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861" w:type="dxa"/>
          </w:tcPr>
          <w:p w14:paraId="2F9F5E6F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39" w:type="dxa"/>
          </w:tcPr>
          <w:p w14:paraId="0FF69C9F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</w:p>
        </w:tc>
        <w:tc>
          <w:tcPr>
            <w:tcW w:w="1237" w:type="dxa"/>
          </w:tcPr>
          <w:p w14:paraId="02E34081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</w:p>
        </w:tc>
      </w:tr>
      <w:tr w:rsidR="00B874D8" w:rsidRPr="00B12496" w14:paraId="082E654C" w14:textId="77777777" w:rsidTr="00FE186D">
        <w:tc>
          <w:tcPr>
            <w:tcW w:w="1885" w:type="dxa"/>
          </w:tcPr>
          <w:p w14:paraId="013E076C" w14:textId="77777777" w:rsidR="00B874D8" w:rsidRPr="00B12496" w:rsidRDefault="00B874D8" w:rsidP="00FE186D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3AF6EAF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Geometric</w:t>
            </w:r>
          </w:p>
        </w:tc>
        <w:tc>
          <w:tcPr>
            <w:tcW w:w="990" w:type="dxa"/>
          </w:tcPr>
          <w:p w14:paraId="3C360F1C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2539.3</w:t>
            </w:r>
          </w:p>
        </w:tc>
        <w:tc>
          <w:tcPr>
            <w:tcW w:w="870" w:type="dxa"/>
          </w:tcPr>
          <w:p w14:paraId="00EE7AD2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20.16</w:t>
            </w:r>
          </w:p>
        </w:tc>
        <w:tc>
          <w:tcPr>
            <w:tcW w:w="1020" w:type="dxa"/>
          </w:tcPr>
          <w:p w14:paraId="57EA6F01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2539.44</w:t>
            </w:r>
          </w:p>
        </w:tc>
        <w:tc>
          <w:tcPr>
            <w:tcW w:w="861" w:type="dxa"/>
          </w:tcPr>
          <w:p w14:paraId="57B1535A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20.16</w:t>
            </w:r>
          </w:p>
        </w:tc>
        <w:tc>
          <w:tcPr>
            <w:tcW w:w="939" w:type="dxa"/>
          </w:tcPr>
          <w:p w14:paraId="48D78EC5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14.29</w:t>
            </w:r>
          </w:p>
        </w:tc>
        <w:tc>
          <w:tcPr>
            <w:tcW w:w="1237" w:type="dxa"/>
          </w:tcPr>
          <w:p w14:paraId="108CE4B3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B874D8" w:rsidRPr="00B12496" w14:paraId="567FE247" w14:textId="77777777" w:rsidTr="00FE186D">
        <w:tc>
          <w:tcPr>
            <w:tcW w:w="1885" w:type="dxa"/>
          </w:tcPr>
          <w:p w14:paraId="76F0C5E9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DE5696B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2Dt</w:t>
            </w:r>
          </w:p>
        </w:tc>
        <w:tc>
          <w:tcPr>
            <w:tcW w:w="990" w:type="dxa"/>
          </w:tcPr>
          <w:p w14:paraId="3509E565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2553.19</w:t>
            </w:r>
          </w:p>
        </w:tc>
        <w:tc>
          <w:tcPr>
            <w:tcW w:w="870" w:type="dxa"/>
          </w:tcPr>
          <w:p w14:paraId="57B21E05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34.05</w:t>
            </w:r>
          </w:p>
        </w:tc>
        <w:tc>
          <w:tcPr>
            <w:tcW w:w="1020" w:type="dxa"/>
          </w:tcPr>
          <w:p w14:paraId="673686D9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2553.33</w:t>
            </w:r>
          </w:p>
        </w:tc>
        <w:tc>
          <w:tcPr>
            <w:tcW w:w="861" w:type="dxa"/>
          </w:tcPr>
          <w:p w14:paraId="31E0154A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34.05</w:t>
            </w:r>
          </w:p>
        </w:tc>
        <w:tc>
          <w:tcPr>
            <w:tcW w:w="939" w:type="dxa"/>
          </w:tcPr>
          <w:p w14:paraId="7C9D8548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22.07</w:t>
            </w:r>
          </w:p>
        </w:tc>
        <w:tc>
          <w:tcPr>
            <w:tcW w:w="1237" w:type="dxa"/>
          </w:tcPr>
          <w:p w14:paraId="420F0D59" w14:textId="77777777" w:rsidR="00B874D8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B874D8" w:rsidRPr="00B12496" w14:paraId="7E8E0FB2" w14:textId="77777777" w:rsidTr="00FE186D">
        <w:tc>
          <w:tcPr>
            <w:tcW w:w="1885" w:type="dxa"/>
          </w:tcPr>
          <w:p w14:paraId="03189A8F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1EE0E7A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12496">
              <w:rPr>
                <w:rFonts w:ascii="Times New Roman" w:hAnsi="Times New Roman" w:cs="Times New Roman"/>
                <w:sz w:val="20"/>
                <w:szCs w:val="20"/>
              </w:rPr>
              <w:t>Exponential</w:t>
            </w:r>
          </w:p>
        </w:tc>
        <w:tc>
          <w:tcPr>
            <w:tcW w:w="990" w:type="dxa"/>
          </w:tcPr>
          <w:p w14:paraId="04AE56D0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2570.08</w:t>
            </w:r>
          </w:p>
        </w:tc>
        <w:tc>
          <w:tcPr>
            <w:tcW w:w="870" w:type="dxa"/>
          </w:tcPr>
          <w:p w14:paraId="2F4510AD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50.94</w:t>
            </w:r>
          </w:p>
        </w:tc>
        <w:tc>
          <w:tcPr>
            <w:tcW w:w="1020" w:type="dxa"/>
          </w:tcPr>
          <w:p w14:paraId="079D8FA6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2570.13</w:t>
            </w:r>
            <w:r w:rsidRPr="007137E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861" w:type="dxa"/>
          </w:tcPr>
          <w:p w14:paraId="429C7BC4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50.85</w:t>
            </w:r>
          </w:p>
        </w:tc>
        <w:tc>
          <w:tcPr>
            <w:tcW w:w="939" w:type="dxa"/>
          </w:tcPr>
          <w:p w14:paraId="0844EB58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53.81</w:t>
            </w:r>
          </w:p>
        </w:tc>
        <w:tc>
          <w:tcPr>
            <w:tcW w:w="1237" w:type="dxa"/>
          </w:tcPr>
          <w:p w14:paraId="570539FA" w14:textId="77777777" w:rsidR="00B874D8" w:rsidRPr="00B12496" w:rsidRDefault="00B874D8" w:rsidP="00FE18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</w:tbl>
    <w:p w14:paraId="2AFD24BD" w14:textId="77777777" w:rsidR="00B874D8" w:rsidRDefault="00B874D8" w:rsidP="00B874D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C7730EA" w14:textId="77777777" w:rsidR="00B874D8" w:rsidRDefault="00B874D8" w:rsidP="00B874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fr-CH"/>
        </w:rPr>
        <w:lastRenderedPageBreak/>
        <w:drawing>
          <wp:inline distT="0" distB="0" distL="0" distR="0" wp14:anchorId="09871491" wp14:editId="1E2CC1AA">
            <wp:extent cx="5760720" cy="5295265"/>
            <wp:effectExtent l="0" t="0" r="0" b="635"/>
            <wp:docPr id="4" name="Picture 4" descr="A group of graphs showing different valu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oup of graphs showing different valu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9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C5B13" w14:textId="77777777" w:rsidR="00B874D8" w:rsidRDefault="00B874D8" w:rsidP="00B874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</w:t>
      </w:r>
      <w:r w:rsidRPr="004F65C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Residuals of the fitted </w:t>
      </w:r>
      <w:r w:rsidRPr="004F65C4">
        <w:rPr>
          <w:rFonts w:ascii="Times New Roman" w:hAnsi="Times New Roman" w:cs="Times New Roman"/>
          <w:i/>
          <w:sz w:val="24"/>
          <w:szCs w:val="24"/>
        </w:rPr>
        <w:t>gamlss</w:t>
      </w:r>
      <w:r>
        <w:rPr>
          <w:rFonts w:ascii="Times New Roman" w:hAnsi="Times New Roman" w:cs="Times New Roman"/>
          <w:sz w:val="24"/>
          <w:szCs w:val="24"/>
        </w:rPr>
        <w:t xml:space="preserve"> model for pollen dispersal distances. See the main text for the details of the model.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05EA81D" w14:textId="77777777" w:rsidR="00B874D8" w:rsidRDefault="00B874D8" w:rsidP="00B874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fr-CH"/>
        </w:rPr>
        <w:lastRenderedPageBreak/>
        <w:drawing>
          <wp:inline distT="0" distB="0" distL="0" distR="0" wp14:anchorId="360E5912" wp14:editId="5F7BD7DC">
            <wp:extent cx="5760720" cy="3287395"/>
            <wp:effectExtent l="0" t="0" r="0" b="8255"/>
            <wp:docPr id="12" name="Picture 12" descr="A group of dots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oup of dots with text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8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453EC" w14:textId="77777777" w:rsidR="00B874D8" w:rsidRDefault="00B874D8" w:rsidP="00B874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Pr="004E644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Position and stages of flowers for early (A), mid (B), and late (C) seasons</w:t>
      </w:r>
      <w:r w:rsidRPr="004E64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the study population. Each point represents one flower and is jittered to avoid overlapping (</w:t>
      </w:r>
      <w:r w:rsidRPr="007C75B2"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175, including flowers from single-flowered and multiple-flowered individuals). Flowers at their female, male, and non-flowering (NF) stages are shown by red, green, and blue points, respectively. The early, mid, and late flowering seasons correspond to -1.37, -0.11, and 1.47, respectively, under the standardized scale in Figure 1A.</w:t>
      </w:r>
    </w:p>
    <w:p w14:paraId="75F47A72" w14:textId="77777777" w:rsidR="00B874D8" w:rsidRDefault="00B874D8" w:rsidP="00B874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fr-CH"/>
        </w:rPr>
        <w:lastRenderedPageBreak/>
        <w:drawing>
          <wp:inline distT="0" distB="0" distL="0" distR="0" wp14:anchorId="2D150856" wp14:editId="1AED96EC">
            <wp:extent cx="5760720" cy="6261735"/>
            <wp:effectExtent l="0" t="0" r="0" b="5715"/>
            <wp:docPr id="13" name="Picture 13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graph of a number of data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6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A4F0A" w14:textId="77777777" w:rsidR="00B874D8" w:rsidRDefault="00B874D8" w:rsidP="00B874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</w:t>
      </w:r>
      <w:r w:rsidRPr="002B2FA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Histograms of potential outcross mating distance for early (A), mid (B), and late (C) flowering seasons in the study population. The potential mating distance was calculated as the pair-wise distance between dams and single-flowered sires within the specific time window. The red vertical lines indicate the 50% quantile of the mating distance. The dotted lines indicate the density kernels. The early, mid, and late flowering seasons correspond to -1.37, -0.11, and 1.47, respectively, under the standardized scale in Figure 1A. The potential mating distance was independent of the flowering season (</w:t>
      </w:r>
      <w:r w:rsidRPr="00DF30F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&gt; 0.05), according to a </w:t>
      </w:r>
      <w:r w:rsidRPr="00DF30F8">
        <w:rPr>
          <w:rFonts w:ascii="Times New Roman" w:hAnsi="Times New Roman" w:cs="Times New Roman"/>
          <w:i/>
          <w:sz w:val="24"/>
          <w:szCs w:val="24"/>
        </w:rPr>
        <w:t>gamlss</w:t>
      </w:r>
      <w:r>
        <w:rPr>
          <w:rFonts w:ascii="Times New Roman" w:hAnsi="Times New Roman" w:cs="Times New Roman"/>
          <w:sz w:val="24"/>
          <w:szCs w:val="24"/>
        </w:rPr>
        <w:t xml:space="preserve"> model with a gamma distribution. </w:t>
      </w:r>
    </w:p>
    <w:p w14:paraId="4BA899E7" w14:textId="77777777" w:rsidR="00755780" w:rsidRDefault="00755780"/>
    <w:sectPr w:rsidR="00755780" w:rsidSect="001D6DAB">
      <w:footerReference w:type="default" r:id="rId8"/>
      <w:pgSz w:w="11906" w:h="16838"/>
      <w:pgMar w:top="1417" w:right="1417" w:bottom="1417" w:left="1417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53996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C3A0BF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16FA7E08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41471A"/>
    <w:multiLevelType w:val="hybridMultilevel"/>
    <w:tmpl w:val="0F58FEE0"/>
    <w:lvl w:ilvl="0" w:tplc="100C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15041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4D8"/>
    <w:rsid w:val="001D6DAB"/>
    <w:rsid w:val="00755780"/>
    <w:rsid w:val="00857596"/>
    <w:rsid w:val="00B8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07E5C"/>
  <w15:chartTrackingRefBased/>
  <w15:docId w15:val="{8FF7F705-B462-4399-BBB2-15D615282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4D8"/>
    <w:rPr>
      <w:rFonts w:eastAsiaTheme="minorEastAsia"/>
      <w:kern w:val="0"/>
      <w:lang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874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74D8"/>
    <w:rPr>
      <w:rFonts w:eastAsiaTheme="minorEastAsia"/>
      <w:kern w:val="0"/>
      <w:lang w:eastAsia="zh-TW"/>
      <w14:ligatures w14:val="none"/>
    </w:rPr>
  </w:style>
  <w:style w:type="table" w:styleId="TableGrid">
    <w:name w:val="Table Grid"/>
    <w:basedOn w:val="TableNormal"/>
    <w:uiPriority w:val="39"/>
    <w:rsid w:val="00B874D8"/>
    <w:pPr>
      <w:spacing w:after="0" w:line="240" w:lineRule="auto"/>
    </w:pPr>
    <w:rPr>
      <w:rFonts w:eastAsiaTheme="minorEastAsia"/>
      <w:kern w:val="0"/>
      <w:lang w:val="fr-CH"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874D8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B874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367</Words>
  <Characters>2095</Characters>
  <Application>Microsoft Office Word</Application>
  <DocSecurity>0</DocSecurity>
  <Lines>17</Lines>
  <Paragraphs>4</Paragraphs>
  <ScaleCrop>false</ScaleCrop>
  <Company>Springer Nature</Company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2024-03-21T07:58:00Z</dcterms:created>
  <dcterms:modified xsi:type="dcterms:W3CDTF">2024-03-21T07:58:00Z</dcterms:modified>
</cp:coreProperties>
</file>