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105" w:firstLineChars="50"/>
        <w:jc w:val="both"/>
        <w:rPr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5270500" cy="3270250"/>
            <wp:effectExtent l="0" t="0" r="0" b="0"/>
            <wp:docPr id="2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4"/>
                    <pic:cNvPicPr>
                      <a:picLocks noChangeAspect="1"/>
                    </pic:cNvPicPr>
                  </pic:nvPicPr>
                  <pic:blipFill>
                    <a:blip r:embed="rId4"/>
                    <a:srcRect l="3091" t="3575" r="5791" b="81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kern w:val="2"/>
          <w:sz w:val="24"/>
          <w:szCs w:val="24"/>
          <w:lang w:val="en-US" w:eastAsia="zh-CN" w:bidi="ar"/>
        </w:rPr>
        <w:t>FigS1 F</w:t>
      </w:r>
      <w:r>
        <w:rPr>
          <w:rFonts w:hint="default" w:ascii="Times New Roman" w:hAnsi="Times New Roman" w:eastAsia="等线" w:cs="Times New Roman"/>
          <w:b/>
          <w:bCs/>
          <w:color w:val="101214"/>
          <w:kern w:val="2"/>
          <w:sz w:val="24"/>
          <w:szCs w:val="24"/>
          <w:shd w:val="clear" w:fill="FFFFFF"/>
          <w:lang w:val="en-US" w:eastAsia="zh-CN" w:bidi="ar"/>
        </w:rPr>
        <w:t>requency of B-cell subsets in peripheral blood of SLE (n = 38) and HC (n = 23).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101214"/>
          <w:shd w:val="clear" w:fill="FFFFFF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21"/>
          <w:szCs w:val="22"/>
          <w:lang w:val="en-US" w:eastAsia="zh-CN" w:bidi="ar"/>
        </w:rPr>
        <w:t>All data are shown as the Mean ± SEM and analyzed by an unpaired two-tailed Student’s t-test or a one-way analysis of variance (ANOVA). ****P &lt; 0.0001. ***P &lt; 0.001. **P &lt; 0.01. *P &lt; 0.05.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25247E03"/>
    <w:rsid w:val="2524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2024-03-01T09:56:00Z</dcterms:created>
  <dc:creator>几何</dc:creator>
  <cp:lastModifiedBy>几何</cp:lastModifiedBy>
  <dcterms:modified xsi:type="dcterms:W3CDTF">2024-03-01T09:57:19Z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861E748B1C6A45978E0E7DA49FDDFD60_11</vt:lpwstr>
  </property>
</Properties>
</file>