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宋体"/>
          <w:sz w:val="16"/>
          <w:szCs w:val="16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Supplement </w:t>
      </w:r>
      <w:r>
        <w:rPr>
          <w:sz w:val="18"/>
          <w:szCs w:val="18"/>
        </w:rPr>
        <w:t>TABLE</w:t>
      </w:r>
      <w:r>
        <w:rPr>
          <w:rFonts w:hint="eastAsia"/>
          <w:sz w:val="18"/>
          <w:szCs w:val="18"/>
          <w:lang w:val="en-US" w:eastAsia="zh-CN"/>
        </w:rPr>
        <w:t>1</w:t>
      </w:r>
      <w:r>
        <w:rPr>
          <w:sz w:val="18"/>
          <w:szCs w:val="18"/>
        </w:rPr>
        <w:t>|</w:t>
      </w:r>
      <w:r>
        <w:rPr>
          <w:sz w:val="16"/>
          <w:szCs w:val="16"/>
        </w:rPr>
        <w:t xml:space="preserve">Summary of univariate and multivariate analyses for </w:t>
      </w:r>
      <w:r>
        <w:rPr>
          <w:rFonts w:hint="eastAsia"/>
          <w:sz w:val="16"/>
          <w:szCs w:val="16"/>
          <w:lang w:val="en-US" w:eastAsia="zh-CN"/>
        </w:rPr>
        <w:t xml:space="preserve">over </w:t>
      </w:r>
      <w:r>
        <w:rPr>
          <w:sz w:val="16"/>
          <w:szCs w:val="16"/>
        </w:rPr>
        <w:t>survival, considering clinically relevant variables and molecular prognostic</w:t>
      </w:r>
      <w:r>
        <w:rPr>
          <w:rFonts w:hint="eastAsia"/>
          <w:sz w:val="16"/>
          <w:szCs w:val="16"/>
        </w:rPr>
        <w:t xml:space="preserve"> </w:t>
      </w:r>
      <w:r>
        <w:rPr>
          <w:sz w:val="16"/>
          <w:szCs w:val="16"/>
        </w:rPr>
        <w:t>marker</w:t>
      </w:r>
      <w:r>
        <w:rPr>
          <w:rFonts w:hint="eastAsia"/>
          <w:sz w:val="16"/>
          <w:szCs w:val="16"/>
        </w:rPr>
        <w:t>s</w:t>
      </w:r>
      <w:r>
        <w:rPr>
          <w:rFonts w:hint="eastAsia"/>
          <w:sz w:val="16"/>
          <w:szCs w:val="16"/>
          <w:lang w:val="en-US" w:eastAsia="zh-CN"/>
        </w:rPr>
        <w:t>.</w:t>
      </w:r>
    </w:p>
    <w:tbl>
      <w:tblPr>
        <w:tblStyle w:val="2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3"/>
        <w:gridCol w:w="2153"/>
        <w:gridCol w:w="829"/>
        <w:gridCol w:w="2536"/>
        <w:gridCol w:w="86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2073" w:type="dxa"/>
            <w:tcBorders>
              <w:top w:val="single" w:color="auto" w:sz="12" w:space="0"/>
              <w:bottom w:val="nil"/>
            </w:tcBorders>
            <w:vAlign w:val="top"/>
          </w:tcPr>
          <w:p>
            <w:pPr>
              <w:rPr>
                <w:rFonts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cs="Calibri"/>
                <w:b/>
                <w:bCs/>
                <w:sz w:val="16"/>
                <w:szCs w:val="16"/>
              </w:rPr>
              <w:t>Variables</w:t>
            </w:r>
          </w:p>
        </w:tc>
        <w:tc>
          <w:tcPr>
            <w:tcW w:w="2982" w:type="dxa"/>
            <w:gridSpan w:val="2"/>
            <w:tcBorders>
              <w:top w:val="single" w:color="auto" w:sz="12" w:space="0"/>
              <w:bottom w:val="nil"/>
            </w:tcBorders>
            <w:vAlign w:val="top"/>
          </w:tcPr>
          <w:p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>
              <w:rPr>
                <w:rFonts w:cs="Calibri"/>
                <w:b/>
                <w:bCs/>
                <w:sz w:val="16"/>
                <w:szCs w:val="16"/>
              </w:rPr>
              <w:t>Univariate</w:t>
            </w:r>
            <w:r>
              <w:rPr>
                <w:rFonts w:hint="eastAsia" w:cs="Calibr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cs="Calibri"/>
                <w:b/>
                <w:bCs/>
                <w:sz w:val="16"/>
                <w:szCs w:val="16"/>
              </w:rPr>
              <w:t xml:space="preserve">analysis for </w:t>
            </w:r>
            <w:r>
              <w:rPr>
                <w:rFonts w:hint="eastAsia" w:cs="Calibri"/>
                <w:b/>
                <w:bCs/>
                <w:sz w:val="16"/>
                <w:szCs w:val="16"/>
                <w:lang w:val="en-US" w:eastAsia="zh-CN"/>
              </w:rPr>
              <w:t>O</w:t>
            </w:r>
            <w:r>
              <w:rPr>
                <w:rFonts w:cs="Calibri"/>
                <w:b/>
                <w:bCs/>
                <w:sz w:val="16"/>
                <w:szCs w:val="16"/>
              </w:rPr>
              <w:t>S</w:t>
            </w:r>
          </w:p>
          <w:p>
            <w:pPr>
              <w:ind w:firstLine="482" w:firstLineChars="300"/>
              <w:jc w:val="center"/>
              <w:rPr>
                <w:rFonts w:cs="Calibri"/>
                <w:b/>
                <w:bCs/>
                <w:sz w:val="16"/>
                <w:szCs w:val="16"/>
              </w:rPr>
            </w:pPr>
          </w:p>
          <w:p>
            <w:pPr>
              <w:jc w:val="center"/>
              <w:rPr>
                <w:rFonts w:cs="Calibri"/>
                <w:b/>
                <w:bCs/>
                <w:i/>
                <w:iCs/>
                <w:sz w:val="16"/>
                <w:szCs w:val="16"/>
              </w:rPr>
            </w:pPr>
          </w:p>
          <w:p>
            <w:pPr>
              <w:jc w:val="center"/>
              <w:rPr>
                <w:rFonts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403" w:type="dxa"/>
            <w:gridSpan w:val="2"/>
            <w:tcBorders>
              <w:top w:val="single" w:color="auto" w:sz="12" w:space="0"/>
              <w:bottom w:val="nil"/>
            </w:tcBorders>
            <w:vAlign w:val="top"/>
          </w:tcPr>
          <w:p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>
              <w:rPr>
                <w:rFonts w:cs="Calibri"/>
                <w:b/>
                <w:bCs/>
                <w:sz w:val="16"/>
                <w:szCs w:val="16"/>
              </w:rPr>
              <w:t xml:space="preserve">Multivariate analysis for </w:t>
            </w:r>
            <w:r>
              <w:rPr>
                <w:rFonts w:hint="eastAsia" w:cs="Calibri"/>
                <w:b/>
                <w:bCs/>
                <w:sz w:val="16"/>
                <w:szCs w:val="16"/>
                <w:lang w:val="en-US" w:eastAsia="zh-CN"/>
              </w:rPr>
              <w:t>O</w:t>
            </w:r>
            <w:r>
              <w:rPr>
                <w:rFonts w:cs="Calibri"/>
                <w:b/>
                <w:bCs/>
                <w:sz w:val="16"/>
                <w:szCs w:val="16"/>
              </w:rPr>
              <w:t>S</w:t>
            </w:r>
          </w:p>
          <w:p>
            <w:pPr>
              <w:jc w:val="center"/>
              <w:rPr>
                <w:rFonts w:cs="Calibri"/>
                <w:b/>
                <w:bCs/>
                <w:i/>
                <w:iCs/>
                <w:sz w:val="16"/>
                <w:szCs w:val="16"/>
              </w:rPr>
            </w:pPr>
          </w:p>
          <w:p>
            <w:pPr>
              <w:jc w:val="center"/>
              <w:rPr>
                <w:rFonts w:cs="Calibri"/>
                <w:b/>
                <w:bCs/>
                <w:i/>
                <w:iCs/>
                <w:sz w:val="16"/>
                <w:szCs w:val="16"/>
              </w:rPr>
            </w:pPr>
          </w:p>
          <w:p>
            <w:pPr>
              <w:jc w:val="center"/>
              <w:rPr>
                <w:rFonts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exact"/>
        </w:trPr>
        <w:tc>
          <w:tcPr>
            <w:tcW w:w="2073" w:type="dxa"/>
            <w:tcBorders>
              <w:top w:val="nil"/>
              <w:bottom w:val="single" w:color="auto" w:sz="6" w:space="0"/>
              <w:tl2br w:val="nil"/>
              <w:tr2bl w:val="nil"/>
            </w:tcBorders>
          </w:tcPr>
          <w:p>
            <w:pPr>
              <w:rPr>
                <w:rFonts w:cs="Calibri"/>
                <w:b/>
                <w:bCs/>
                <w:sz w:val="16"/>
                <w:szCs w:val="16"/>
              </w:rPr>
            </w:pPr>
          </w:p>
        </w:tc>
        <w:tc>
          <w:tcPr>
            <w:tcW w:w="2153" w:type="dxa"/>
            <w:tcBorders>
              <w:top w:val="nil"/>
              <w:bottom w:val="single" w:color="auto" w:sz="6" w:space="0"/>
              <w:tl2br w:val="nil"/>
              <w:tr2bl w:val="nil"/>
            </w:tcBorders>
          </w:tcPr>
          <w:p>
            <w:pPr>
              <w:ind w:firstLine="482" w:firstLineChars="300"/>
              <w:jc w:val="right"/>
              <w:rPr>
                <w:rFonts w:cs="Calibri"/>
                <w:b/>
                <w:bCs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cs="Calibri"/>
                <w:b/>
                <w:bCs/>
                <w:sz w:val="16"/>
                <w:szCs w:val="16"/>
              </w:rPr>
              <w:t>HR (95%CI)</w:t>
            </w:r>
          </w:p>
        </w:tc>
        <w:tc>
          <w:tcPr>
            <w:tcW w:w="829" w:type="dxa"/>
            <w:tcBorders>
              <w:top w:val="nil"/>
              <w:bottom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cs="Calibri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2536" w:type="dxa"/>
            <w:tcBorders>
              <w:top w:val="nil"/>
              <w:bottom w:val="single" w:color="auto" w:sz="6" w:space="0"/>
              <w:tl2br w:val="nil"/>
              <w:tr2bl w:val="nil"/>
            </w:tcBorders>
          </w:tcPr>
          <w:p>
            <w:pPr>
              <w:jc w:val="right"/>
              <w:rPr>
                <w:rFonts w:cs="Calibri"/>
                <w:b/>
                <w:bCs/>
                <w:sz w:val="16"/>
                <w:szCs w:val="16"/>
              </w:rPr>
            </w:pPr>
            <w:r>
              <w:rPr>
                <w:rFonts w:cs="Calibri"/>
                <w:b/>
                <w:bCs/>
                <w:sz w:val="16"/>
                <w:szCs w:val="16"/>
              </w:rPr>
              <w:t>HR (95%CI)</w:t>
            </w:r>
          </w:p>
        </w:tc>
        <w:tc>
          <w:tcPr>
            <w:tcW w:w="867" w:type="dxa"/>
            <w:tcBorders>
              <w:top w:val="nil"/>
              <w:bottom w:val="single" w:color="auto" w:sz="6" w:space="0"/>
              <w:tl2br w:val="nil"/>
              <w:tr2bl w:val="nil"/>
            </w:tcBorders>
          </w:tcPr>
          <w:p>
            <w:pPr>
              <w:jc w:val="left"/>
              <w:rPr>
                <w:rFonts w:cs="Calibri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cs="Calibri"/>
                <w:b/>
                <w:bCs/>
                <w:i/>
                <w:iCs/>
                <w:sz w:val="16"/>
                <w:szCs w:val="16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exact"/>
        </w:trPr>
        <w:tc>
          <w:tcPr>
            <w:tcW w:w="2073" w:type="dxa"/>
            <w:tcBorders>
              <w:top w:val="single" w:color="auto" w:sz="6" w:space="0"/>
            </w:tcBorders>
          </w:tcPr>
          <w:p>
            <w:pPr>
              <w:spacing w:line="180" w:lineRule="atLeas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Gender                </w:t>
            </w:r>
          </w:p>
        </w:tc>
        <w:tc>
          <w:tcPr>
            <w:tcW w:w="2153" w:type="dxa"/>
            <w:tcBorders>
              <w:top w:val="single" w:color="auto" w:sz="6" w:space="0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op w:val="single" w:color="auto" w:sz="6" w:space="0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op w:val="single" w:color="auto" w:sz="6" w:space="0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op w:val="single" w:color="auto" w:sz="6" w:space="0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Male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spacing w:line="180" w:lineRule="atLeast"/>
              <w:ind w:firstLine="160" w:firstLineChars="100"/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Female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1.16</w:t>
            </w:r>
            <w:r>
              <w:rPr>
                <w:rFonts w:cs="Calibri"/>
                <w:sz w:val="16"/>
                <w:szCs w:val="16"/>
              </w:rPr>
              <w:t>(0.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35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3.79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810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Age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 xml:space="preserve"> (years)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1-10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cs="Calibri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&lt;1，≥10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 w:val="0"/>
                <w:iCs w:val="0"/>
                <w:sz w:val="16"/>
                <w:szCs w:val="16"/>
              </w:rPr>
            </w:pPr>
            <w:r>
              <w:rPr>
                <w:rFonts w:hint="eastAsia" w:cs="Calibri"/>
                <w:i w:val="0"/>
                <w:iCs w:val="0"/>
                <w:sz w:val="16"/>
                <w:szCs w:val="16"/>
                <w:lang w:val="en-US" w:eastAsia="zh-CN"/>
              </w:rPr>
              <w:t>1.60</w:t>
            </w:r>
            <w:r>
              <w:rPr>
                <w:rFonts w:cs="Calibri"/>
                <w:i w:val="0"/>
                <w:iCs w:val="0"/>
                <w:sz w:val="16"/>
                <w:szCs w:val="16"/>
              </w:rPr>
              <w:t>(</w:t>
            </w:r>
            <w:r>
              <w:rPr>
                <w:rFonts w:hint="eastAsia" w:cs="Calibri"/>
                <w:i w:val="0"/>
                <w:iCs w:val="0"/>
                <w:sz w:val="16"/>
                <w:szCs w:val="16"/>
                <w:lang w:val="en-US" w:eastAsia="zh-CN"/>
              </w:rPr>
              <w:t>0.20</w:t>
            </w:r>
            <w:r>
              <w:rPr>
                <w:rFonts w:cs="Calibri"/>
                <w:i w:val="0"/>
                <w:iCs w:val="0"/>
                <w:sz w:val="16"/>
                <w:szCs w:val="16"/>
              </w:rPr>
              <w:t>-</w:t>
            </w:r>
            <w:r>
              <w:rPr>
                <w:rFonts w:hint="eastAsia" w:cs="Calibri"/>
                <w:i w:val="0"/>
                <w:iCs w:val="0"/>
                <w:sz w:val="16"/>
                <w:szCs w:val="16"/>
                <w:lang w:val="en-US" w:eastAsia="zh-CN"/>
              </w:rPr>
              <w:t>12.48</w:t>
            </w:r>
            <w:r>
              <w:rPr>
                <w:rFonts w:cs="Calibri"/>
                <w:i w:val="0"/>
                <w:iCs w:val="0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 w:val="0"/>
                <w:iCs w:val="0"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sz w:val="16"/>
                <w:szCs w:val="16"/>
                <w:lang w:val="en-US" w:eastAsia="zh-CN"/>
              </w:rPr>
              <w:t>0.656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cs="Calibri"/>
                <w:i/>
                <w:iCs/>
                <w:sz w:val="16"/>
                <w:szCs w:val="16"/>
                <w:lang w:val="en-US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WBC (10</w:t>
            </w:r>
            <w:r>
              <w:rPr>
                <w:rFonts w:cs="Calibri"/>
                <w:sz w:val="16"/>
                <w:szCs w:val="16"/>
                <w:vertAlign w:val="superscript"/>
              </w:rPr>
              <w:t>9</w:t>
            </w:r>
            <w:r>
              <w:rPr>
                <w:rFonts w:cs="Calibri"/>
                <w:sz w:val="16"/>
                <w:szCs w:val="16"/>
              </w:rPr>
              <w:t xml:space="preserve"> /L)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&lt;10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≥10, &lt;50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40</w:t>
            </w:r>
            <w:r>
              <w:rPr>
                <w:rFonts w:cs="Calibri"/>
                <w:sz w:val="16"/>
                <w:szCs w:val="16"/>
              </w:rPr>
              <w:t>(0.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08</w:t>
            </w:r>
            <w:r>
              <w:rPr>
                <w:rFonts w:cs="Calibri"/>
                <w:sz w:val="16"/>
                <w:szCs w:val="16"/>
              </w:rPr>
              <w:t>-1.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87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244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≥50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0.52</w:t>
            </w:r>
            <w:r>
              <w:rPr>
                <w:rFonts w:cs="Calibri"/>
                <w:sz w:val="16"/>
                <w:szCs w:val="16"/>
              </w:rPr>
              <w:t>(0.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07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4.16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0.538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Hb group(g/L)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&lt;60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≥60 , &lt;90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0.42</w:t>
            </w:r>
            <w:r>
              <w:rPr>
                <w:rFonts w:cs="Calibri"/>
                <w:sz w:val="16"/>
                <w:szCs w:val="16"/>
              </w:rPr>
              <w:t>(0.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09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2.02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280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≥90 , &lt;110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1.01</w:t>
            </w:r>
            <w:r>
              <w:rPr>
                <w:rFonts w:cs="Calibri"/>
                <w:sz w:val="16"/>
                <w:szCs w:val="16"/>
              </w:rPr>
              <w:t>(0.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21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4.89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985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spacing w:line="180" w:lineRule="atLeast"/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≥110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0.00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0.00-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0.988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PLT (10×10</w:t>
            </w:r>
            <w:r>
              <w:rPr>
                <w:rFonts w:cs="Calibri"/>
                <w:sz w:val="16"/>
                <w:szCs w:val="16"/>
                <w:vertAlign w:val="superscript"/>
              </w:rPr>
              <w:t>9</w:t>
            </w:r>
            <w:r>
              <w:rPr>
                <w:rFonts w:cs="Calibri"/>
                <w:sz w:val="16"/>
                <w:szCs w:val="16"/>
              </w:rPr>
              <w:t xml:space="preserve"> /L)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exact"/>
        </w:trPr>
        <w:tc>
          <w:tcPr>
            <w:tcW w:w="2073" w:type="dxa"/>
            <w:tcBorders>
              <w:tl2br w:val="nil"/>
              <w:tr2bl w:val="nil"/>
            </w:tcBorders>
            <w:vAlign w:val="top"/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&lt;100</w:t>
            </w:r>
          </w:p>
        </w:tc>
        <w:tc>
          <w:tcPr>
            <w:tcW w:w="2153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exact"/>
        </w:trPr>
        <w:tc>
          <w:tcPr>
            <w:tcW w:w="2073" w:type="dxa"/>
            <w:tcBorders>
              <w:tl2br w:val="nil"/>
              <w:tr2bl w:val="nil"/>
            </w:tcBorders>
            <w:vAlign w:val="top"/>
          </w:tcPr>
          <w:p>
            <w:pPr>
              <w:ind w:firstLine="160" w:firstLineChars="10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≥100, &lt;300 </w:t>
            </w:r>
          </w:p>
        </w:tc>
        <w:tc>
          <w:tcPr>
            <w:tcW w:w="2153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cs="Calibri"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1.92</w:t>
            </w:r>
            <w:r>
              <w:rPr>
                <w:rFonts w:cs="Calibri"/>
                <w:sz w:val="16"/>
                <w:szCs w:val="16"/>
              </w:rPr>
              <w:t>(0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.56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6.54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300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exact"/>
        </w:trPr>
        <w:tc>
          <w:tcPr>
            <w:tcW w:w="2073" w:type="dxa"/>
            <w:tcBorders>
              <w:tl2br w:val="nil"/>
              <w:tr2bl w:val="nil"/>
            </w:tcBorders>
            <w:vAlign w:val="top"/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≥300</w:t>
            </w:r>
          </w:p>
        </w:tc>
        <w:tc>
          <w:tcPr>
            <w:tcW w:w="2153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0.00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0.00-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989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Risk group, n (%)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L</w:t>
            </w:r>
            <w:r>
              <w:rPr>
                <w:rFonts w:cs="Calibri"/>
                <w:sz w:val="16"/>
                <w:szCs w:val="16"/>
              </w:rPr>
              <w:t>R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hint="eastAsia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cs="Calibri"/>
                <w:i/>
                <w:iCs/>
                <w:sz w:val="16"/>
                <w:szCs w:val="16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IR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1.10</w:t>
            </w:r>
            <w:r>
              <w:rPr>
                <w:rFonts w:cs="Calibri"/>
                <w:sz w:val="16"/>
                <w:szCs w:val="16"/>
              </w:rPr>
              <w:t>(0.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27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4.36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903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hint="eastAsia" w:eastAsia="宋体" w:cs="Calibri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cs="Calibri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spacing w:line="180" w:lineRule="atLeast"/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HR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1.54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2.57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9.24)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636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hint="default" w:cs="Calibri"/>
                <w:i/>
                <w:iCs/>
                <w:sz w:val="16"/>
                <w:szCs w:val="16"/>
                <w:lang w:val="en-US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spacing w:line="180" w:lineRule="atLeast"/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Complication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Yes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No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82</w:t>
            </w:r>
            <w:r>
              <w:rPr>
                <w:rFonts w:cs="Calibri"/>
                <w:sz w:val="16"/>
                <w:szCs w:val="16"/>
              </w:rPr>
              <w:t>(0.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24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2.81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755</w:t>
            </w: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IKZF1 status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Negative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2.27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0.29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17.71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437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cs="Calibri"/>
                <w:i/>
                <w:iCs/>
                <w:sz w:val="16"/>
                <w:szCs w:val="16"/>
                <w:lang w:val="en-US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atLeast"/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hint="eastAsia" w:cs="Calibri"/>
                <w:color w:val="000000"/>
                <w:sz w:val="16"/>
                <w:szCs w:val="16"/>
              </w:rPr>
              <w:t>ETV6</w:t>
            </w:r>
            <w:r>
              <w:rPr>
                <w:rFonts w:hint="eastAsia" w:cs="Calibri"/>
                <w:color w:val="00000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cs="Calibri"/>
                <w:color w:val="000000"/>
                <w:sz w:val="16"/>
                <w:szCs w:val="16"/>
              </w:rPr>
              <w:t>RUNX1-like</w:t>
            </w:r>
            <w:r>
              <w:rPr>
                <w:rFonts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 w:cs="Calibri"/>
                <w:color w:val="000000"/>
                <w:sz w:val="16"/>
                <w:szCs w:val="16"/>
              </w:rPr>
              <w:t>s</w:t>
            </w:r>
            <w:r>
              <w:rPr>
                <w:rFonts w:cs="Calibri"/>
                <w:color w:val="000000"/>
                <w:sz w:val="16"/>
                <w:szCs w:val="16"/>
              </w:rPr>
              <w:t>tatus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Negative</w:t>
            </w:r>
          </w:p>
        </w:tc>
        <w:tc>
          <w:tcPr>
            <w:tcW w:w="2153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Positive</w:t>
            </w:r>
          </w:p>
        </w:tc>
        <w:tc>
          <w:tcPr>
            <w:tcW w:w="2153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3.55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0.93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13.55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0.064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cs="Calibri"/>
                <w:i/>
                <w:iCs/>
                <w:sz w:val="16"/>
                <w:szCs w:val="16"/>
                <w:lang w:val="en-US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atLeast"/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D8-SRP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PGR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PPR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8.557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2.27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32.30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0.00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3.18</w:t>
            </w:r>
            <w:r>
              <w:rPr>
                <w:rFonts w:cs="Calibri"/>
                <w:sz w:val="16"/>
                <w:szCs w:val="16"/>
              </w:rPr>
              <w:t>(0.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71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14.33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132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D15-BMR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 xml:space="preserve">&lt;5% 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≥5%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7.34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2.24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24.05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0.001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5.15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1.34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19.80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cs="Calibri"/>
                <w:sz w:val="16"/>
                <w:szCs w:val="16"/>
              </w:rPr>
              <w:t>0.0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 xml:space="preserve">D15-MRD 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&lt;0.1%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i/>
                <w:iCs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i/>
                <w:iCs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≥</w:t>
            </w:r>
            <w:r>
              <w:rPr>
                <w:rFonts w:hint="eastAsia" w:cs="Calibri"/>
                <w:color w:val="000000"/>
                <w:sz w:val="16"/>
                <w:szCs w:val="16"/>
                <w:lang w:val="en-US" w:eastAsia="zh-CN"/>
              </w:rPr>
              <w:t>0.</w:t>
            </w:r>
            <w:r>
              <w:rPr>
                <w:rFonts w:cs="Calibri"/>
                <w:color w:val="000000"/>
                <w:sz w:val="16"/>
                <w:szCs w:val="16"/>
              </w:rPr>
              <w:t>1%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53.49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0.41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7128.81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0.111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i/>
                <w:iCs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i/>
                <w:iCs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spacing w:line="180" w:lineRule="atLeast"/>
              <w:jc w:val="left"/>
              <w:rPr>
                <w:rFonts w:hint="default" w:eastAsia="宋体" w:cs="Calibri"/>
                <w:i/>
                <w:iCs/>
                <w:sz w:val="16"/>
                <w:szCs w:val="16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D33-BMR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color w:val="0070C0"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color w:val="0070C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&lt;5%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color w:val="0070C0"/>
                <w:sz w:val="16"/>
                <w:szCs w:val="16"/>
                <w:lang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color w:val="0070C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≥5%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0.05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0.00</w:t>
            </w:r>
            <w:r>
              <w:rPr>
                <w:rFonts w:cs="Calibri"/>
                <w:sz w:val="16"/>
                <w:szCs w:val="16"/>
              </w:rPr>
              <w:t>-)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0.84</w:t>
            </w: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color w:val="0070C0"/>
                <w:sz w:val="16"/>
                <w:szCs w:val="16"/>
                <w:lang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color w:val="0070C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spacing w:line="180" w:lineRule="atLeast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D33-MRD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cs="Calibri"/>
                <w:color w:val="0070C0"/>
                <w:sz w:val="16"/>
                <w:szCs w:val="16"/>
              </w:rPr>
            </w:pP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color w:val="0070C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exact"/>
        </w:trPr>
        <w:tc>
          <w:tcPr>
            <w:tcW w:w="2073" w:type="dxa"/>
            <w:tcBorders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&lt;0.01%</w:t>
            </w:r>
          </w:p>
        </w:tc>
        <w:tc>
          <w:tcPr>
            <w:tcW w:w="2153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</w:rPr>
              <w:t>1.00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cs="Calibri"/>
                <w:sz w:val="16"/>
                <w:szCs w:val="16"/>
              </w:rPr>
            </w:pPr>
          </w:p>
        </w:tc>
        <w:tc>
          <w:tcPr>
            <w:tcW w:w="2536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color w:val="0070C0"/>
                <w:sz w:val="16"/>
                <w:szCs w:val="16"/>
                <w:lang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cs="Calibri"/>
                <w:color w:val="0070C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exact"/>
        </w:trPr>
        <w:tc>
          <w:tcPr>
            <w:tcW w:w="2073" w:type="dxa"/>
            <w:tcBorders>
              <w:bottom w:val="single" w:color="auto" w:sz="12" w:space="0"/>
              <w:tl2br w:val="nil"/>
              <w:tr2bl w:val="nil"/>
            </w:tcBorders>
          </w:tcPr>
          <w:p>
            <w:pPr>
              <w:ind w:firstLine="160" w:firstLineChars="100"/>
              <w:rPr>
                <w:rFonts w:cs="Calibri"/>
                <w:i/>
                <w:i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≥0.01%</w:t>
            </w:r>
          </w:p>
        </w:tc>
        <w:tc>
          <w:tcPr>
            <w:tcW w:w="2153" w:type="dxa"/>
            <w:tcBorders>
              <w:bottom w:val="single" w:color="auto" w:sz="12" w:space="0"/>
              <w:tl2br w:val="nil"/>
              <w:tr2bl w:val="nil"/>
            </w:tcBorders>
          </w:tcPr>
          <w:p>
            <w:pPr>
              <w:jc w:val="right"/>
              <w:rPr>
                <w:rFonts w:cs="Calibri"/>
                <w:sz w:val="16"/>
                <w:szCs w:val="16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1.37</w:t>
            </w:r>
            <w:r>
              <w:rPr>
                <w:rFonts w:cs="Calibri"/>
                <w:sz w:val="16"/>
                <w:szCs w:val="16"/>
              </w:rPr>
              <w:t>(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0.30</w:t>
            </w:r>
            <w:r>
              <w:rPr>
                <w:rFonts w:cs="Calibri"/>
                <w:sz w:val="16"/>
                <w:szCs w:val="16"/>
              </w:rPr>
              <w:t>-</w:t>
            </w:r>
            <w:r>
              <w:rPr>
                <w:rFonts w:hint="eastAsia" w:cs="Calibri"/>
                <w:sz w:val="16"/>
                <w:szCs w:val="16"/>
                <w:lang w:val="en-US" w:eastAsia="zh-CN"/>
              </w:rPr>
              <w:t>6</w:t>
            </w:r>
            <w:r>
              <w:rPr>
                <w:rFonts w:cs="Calibri"/>
                <w:sz w:val="16"/>
                <w:szCs w:val="16"/>
              </w:rPr>
              <w:t>)</w:t>
            </w:r>
          </w:p>
        </w:tc>
        <w:tc>
          <w:tcPr>
            <w:tcW w:w="829" w:type="dxa"/>
            <w:tcBorders>
              <w:bottom w:val="single" w:color="auto" w:sz="12" w:space="0"/>
              <w:tl2br w:val="nil"/>
              <w:tr2bl w:val="nil"/>
            </w:tcBorders>
          </w:tcPr>
          <w:p>
            <w:pPr>
              <w:jc w:val="left"/>
              <w:rPr>
                <w:rFonts w:hint="default" w:eastAsia="宋体" w:cs="Calibri"/>
                <w:sz w:val="16"/>
                <w:szCs w:val="16"/>
                <w:lang w:val="en-US"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0.687</w:t>
            </w:r>
          </w:p>
        </w:tc>
        <w:tc>
          <w:tcPr>
            <w:tcW w:w="2536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eastAsia" w:eastAsia="宋体" w:cs="Calibri"/>
                <w:color w:val="0070C0"/>
                <w:sz w:val="16"/>
                <w:szCs w:val="16"/>
                <w:lang w:eastAsia="zh-CN"/>
              </w:rPr>
            </w:pPr>
            <w:r>
              <w:rPr>
                <w:rFonts w:hint="eastAsia" w:cs="Calibri"/>
                <w:sz w:val="16"/>
                <w:szCs w:val="16"/>
                <w:lang w:val="en-US" w:eastAsia="zh-CN"/>
              </w:rPr>
              <w:t>-</w:t>
            </w:r>
          </w:p>
        </w:tc>
        <w:tc>
          <w:tcPr>
            <w:tcW w:w="867" w:type="dxa"/>
            <w:tcBorders>
              <w:bottom w:val="single" w:color="auto" w:sz="12" w:space="0"/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eastAsia" w:eastAsia="宋体" w:cs="Calibri"/>
                <w:color w:val="0070C0"/>
                <w:sz w:val="16"/>
                <w:szCs w:val="16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3MjMwOTlmYWU3OTQwMzA5N2YwZWY2YjM5Y2Y0NmIifQ=="/>
  </w:docVars>
  <w:rsids>
    <w:rsidRoot w:val="02260344"/>
    <w:rsid w:val="02260344"/>
    <w:rsid w:val="2E6000C3"/>
    <w:rsid w:val="2EF23C6B"/>
    <w:rsid w:val="6A2D606A"/>
    <w:rsid w:val="6DFB0A7C"/>
    <w:rsid w:val="78B1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2024-02-23T12:54:00Z</dcterms:created>
  <dc:creator>企业用户_705375066</dc:creator>
  <cp:lastModifiedBy>企业用户_705375066</cp:lastModifiedBy>
  <dcterms:modified xsi:type="dcterms:W3CDTF">2024-02-28T16:55:02Z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6EE46F6EF69647F79F7B95E84C6E5BB8_13</vt:lpwstr>
  </property>
</Properties>
</file>