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82C0C" w14:textId="77777777" w:rsidR="008E5874" w:rsidRPr="001D706B" w:rsidRDefault="008E5874" w:rsidP="008E5874">
      <w:pPr>
        <w:spacing w:line="360" w:lineRule="auto"/>
        <w:rPr>
          <w:rFonts w:ascii="Times New Roman" w:eastAsia="ScalaPro-Regular" w:hAnsi="Times New Roman" w:cs="Times New Roman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7954F13" wp14:editId="760763DD">
            <wp:extent cx="5274310" cy="530669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0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EA426" w14:textId="77777777" w:rsidR="008E5874" w:rsidRDefault="008E5874" w:rsidP="008E5874">
      <w:pPr>
        <w:spacing w:line="360" w:lineRule="auto"/>
        <w:rPr>
          <w:rFonts w:ascii="Times New Roman" w:eastAsia="ScalaPro-Regular" w:hAnsi="Times New Roman" w:cs="Times New Roman"/>
          <w:kern w:val="0"/>
          <w:sz w:val="24"/>
          <w:szCs w:val="24"/>
        </w:rPr>
      </w:pPr>
      <w:r>
        <w:rPr>
          <w:rFonts w:ascii="Times New Roman" w:eastAsia="ScalaPro-Regular" w:hAnsi="Times New Roman" w:cs="Times New Roman"/>
          <w:kern w:val="0"/>
          <w:sz w:val="24"/>
          <w:szCs w:val="24"/>
        </w:rPr>
        <w:t xml:space="preserve">Scheme 1 </w:t>
      </w:r>
      <w:r w:rsidRPr="00433326">
        <w:rPr>
          <w:rFonts w:ascii="Times New Roman" w:eastAsia="ScalaPro-Regular" w:hAnsi="Times New Roman" w:cs="Times New Roman"/>
          <w:kern w:val="0"/>
          <w:sz w:val="24"/>
          <w:szCs w:val="24"/>
        </w:rPr>
        <w:t>Schematic illustration of</w:t>
      </w:r>
      <w:r w:rsidRPr="00E34328">
        <w:rPr>
          <w:rFonts w:ascii="Times New Roman" w:eastAsia="ScalaPro-Regular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>o</w:t>
      </w:r>
      <w:r w:rsidRPr="00E34328">
        <w:rPr>
          <w:rFonts w:ascii="Times New Roman" w:eastAsia="ScalaPro-Regular" w:hAnsi="Times New Roman" w:cs="Times New Roman"/>
          <w:kern w:val="0"/>
          <w:sz w:val="24"/>
          <w:szCs w:val="24"/>
        </w:rPr>
        <w:t>rganometallic frame/inorganic LiF hybrid double-layer ASEI formed on Li with uniform nucleation site and ionic channels for fast Li</w:t>
      </w:r>
      <w:r w:rsidRPr="001D706B">
        <w:rPr>
          <w:rFonts w:ascii="Times New Roman" w:eastAsia="ScalaPro-Regular" w:hAnsi="Times New Roman" w:cs="Times New Roman"/>
          <w:kern w:val="0"/>
          <w:sz w:val="24"/>
          <w:szCs w:val="24"/>
          <w:vertAlign w:val="superscript"/>
        </w:rPr>
        <w:t>+</w:t>
      </w:r>
      <w:r w:rsidRPr="00E34328"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 xml:space="preserve"> </w:t>
      </w:r>
      <w:r w:rsidRPr="00E34328">
        <w:rPr>
          <w:rFonts w:ascii="Times New Roman" w:eastAsia="ScalaPro-Regular" w:hAnsi="Times New Roman" w:cs="Times New Roman"/>
          <w:kern w:val="0"/>
          <w:sz w:val="24"/>
          <w:szCs w:val="24"/>
        </w:rPr>
        <w:t>transport.</w:t>
      </w:r>
    </w:p>
    <w:p w14:paraId="234C0CD7" w14:textId="77777777" w:rsidR="008E5874" w:rsidRPr="00AF3184" w:rsidRDefault="008E5874" w:rsidP="008E5874">
      <w:pPr>
        <w:spacing w:line="360" w:lineRule="auto"/>
        <w:rPr>
          <w:rFonts w:ascii="Times New Roman" w:eastAsia="ScalaPro-Regular" w:hAnsi="Times New Roman" w:cs="Times New Roman"/>
          <w:kern w:val="0"/>
          <w:sz w:val="24"/>
          <w:szCs w:val="24"/>
        </w:rPr>
      </w:pPr>
      <w:r>
        <w:rPr>
          <w:rFonts w:ascii="Times New Roman" w:eastAsia="ScalaPro-Regular" w:hAnsi="Times New Roman" w:cs="Times New Roman"/>
          <w:kern w:val="0"/>
          <w:sz w:val="24"/>
          <w:szCs w:val="24"/>
        </w:rPr>
        <w:t xml:space="preserve">Scheme </w:t>
      </w:r>
      <w:r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eastAsia="ScalaPro-Regular" w:hAnsi="Times New Roman" w:cs="Times New Roman"/>
          <w:kern w:val="0"/>
          <w:sz w:val="24"/>
          <w:szCs w:val="24"/>
        </w:rPr>
        <w:t xml:space="preserve"> </w:t>
      </w:r>
      <w:r w:rsidRPr="00433326">
        <w:rPr>
          <w:rFonts w:ascii="Times New Roman" w:eastAsia="ScalaPro-Regular" w:hAnsi="Times New Roman" w:cs="Times New Roman"/>
          <w:kern w:val="0"/>
          <w:sz w:val="24"/>
          <w:szCs w:val="24"/>
        </w:rPr>
        <w:t>Schematic illustration of</w:t>
      </w:r>
      <w:r>
        <w:rPr>
          <w:rFonts w:ascii="Times New Roman" w:eastAsia="ScalaPro-Regular" w:hAnsi="Times New Roman" w:cs="Times New Roman"/>
          <w:kern w:val="0"/>
          <w:sz w:val="24"/>
          <w:szCs w:val="24"/>
        </w:rPr>
        <w:t xml:space="preserve"> </w:t>
      </w:r>
      <w:r w:rsidRPr="00433326">
        <w:rPr>
          <w:rFonts w:ascii="Times New Roman" w:eastAsia="ScalaPro-Regular" w:hAnsi="Times New Roman" w:cs="Times New Roman"/>
          <w:kern w:val="0"/>
          <w:sz w:val="24"/>
          <w:szCs w:val="24"/>
        </w:rPr>
        <w:t xml:space="preserve">Li deposition behaviors on </w:t>
      </w:r>
      <w:r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>bare</w:t>
      </w:r>
      <w:r>
        <w:rPr>
          <w:rFonts w:ascii="Times New Roman" w:eastAsia="ScalaPro-Regular" w:hAnsi="Times New Roman" w:cs="Times New Roman"/>
          <w:kern w:val="0"/>
          <w:sz w:val="24"/>
          <w:szCs w:val="24"/>
        </w:rPr>
        <w:t xml:space="preserve"> L</w:t>
      </w:r>
      <w:r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>i</w:t>
      </w:r>
      <w:r>
        <w:rPr>
          <w:rFonts w:ascii="Times New Roman" w:eastAsia="ScalaPro-Regular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eastAsia="ScalaPro-Regular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>q2</w:t>
      </w:r>
      <w:r>
        <w:rPr>
          <w:rFonts w:ascii="Times New Roman" w:eastAsia="ScalaPro-Regular" w:hAnsi="Times New Roman" w:cs="Times New Roman"/>
          <w:kern w:val="0"/>
          <w:sz w:val="24"/>
          <w:szCs w:val="24"/>
        </w:rPr>
        <w:t>D</w:t>
      </w:r>
      <w:r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>-</w:t>
      </w:r>
      <w:r>
        <w:rPr>
          <w:rFonts w:ascii="Times New Roman" w:eastAsia="ScalaPro-Regular" w:hAnsi="Times New Roman" w:cs="Times New Roman"/>
          <w:kern w:val="0"/>
          <w:sz w:val="24"/>
          <w:szCs w:val="24"/>
        </w:rPr>
        <w:t>F</w:t>
      </w:r>
      <w:r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>c</w:t>
      </w:r>
      <w:r>
        <w:rPr>
          <w:rFonts w:ascii="Times New Roman" w:eastAsia="ScalaPro-Regular" w:hAnsi="Times New Roman" w:cs="Times New Roman"/>
          <w:kern w:val="0"/>
          <w:sz w:val="24"/>
          <w:szCs w:val="24"/>
        </w:rPr>
        <w:t>MOF</w:t>
      </w:r>
      <w:r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>@</w:t>
      </w:r>
      <w:r>
        <w:rPr>
          <w:rFonts w:ascii="Times New Roman" w:eastAsia="ScalaPro-Regular" w:hAnsi="Times New Roman" w:cs="Times New Roman"/>
          <w:kern w:val="0"/>
          <w:sz w:val="24"/>
          <w:szCs w:val="24"/>
        </w:rPr>
        <w:t>L</w:t>
      </w:r>
      <w:r>
        <w:rPr>
          <w:rFonts w:ascii="Times New Roman" w:eastAsia="ScalaPro-Regular" w:hAnsi="Times New Roman" w:cs="Times New Roman" w:hint="eastAsia"/>
          <w:kern w:val="0"/>
          <w:sz w:val="24"/>
          <w:szCs w:val="24"/>
        </w:rPr>
        <w:t>i</w:t>
      </w:r>
      <w:r>
        <w:rPr>
          <w:rFonts w:ascii="Times New Roman" w:eastAsia="ScalaPro-Regular" w:hAnsi="Times New Roman" w:cs="Times New Roman"/>
          <w:kern w:val="0"/>
          <w:sz w:val="24"/>
          <w:szCs w:val="24"/>
        </w:rPr>
        <w:t>.</w:t>
      </w:r>
    </w:p>
    <w:p w14:paraId="26AC74E6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calaPro-Regular">
    <w:altName w:val="SimSun"/>
    <w:charset w:val="86"/>
    <w:family w:val="roma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874"/>
    <w:rsid w:val="001C76BA"/>
    <w:rsid w:val="008E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C64FF"/>
  <w15:chartTrackingRefBased/>
  <w15:docId w15:val="{90EED693-5B46-4B91-A35B-470E368C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874"/>
    <w:pPr>
      <w:widowControl w:val="0"/>
      <w:spacing w:after="0" w:line="240" w:lineRule="auto"/>
      <w:jc w:val="both"/>
    </w:pPr>
    <w:rPr>
      <w:rFonts w:ascii="DengXian" w:eastAsia="DengXian" w:hAnsi="DengXian" w:cs="SimSun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>SpringerNature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2024-05-09T04:24:00Z</dcterms:created>
  <dcterms:modified xsi:type="dcterms:W3CDTF">2024-05-09T04:24:00Z</dcterms:modified>
</cp:coreProperties>
</file>