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8DD55" w14:textId="4D227C86" w:rsidR="00E950E1" w:rsidRDefault="00C06C36" w:rsidP="00D837AD">
      <w:pPr>
        <w:rPr>
          <w:b/>
          <w:bCs/>
        </w:rPr>
      </w:pPr>
      <w:r>
        <w:rPr>
          <w:b/>
          <w:bCs/>
        </w:rPr>
        <w:t>Table S1 Traits selected in this study</w:t>
      </w:r>
    </w:p>
    <w:tbl>
      <w:tblPr>
        <w:tblW w:w="13395" w:type="dxa"/>
        <w:tblLook w:val="04A0" w:firstRow="1" w:lastRow="0" w:firstColumn="1" w:lastColumn="0" w:noHBand="0" w:noVBand="1"/>
      </w:tblPr>
      <w:tblGrid>
        <w:gridCol w:w="2970"/>
        <w:gridCol w:w="1265"/>
        <w:gridCol w:w="1265"/>
        <w:gridCol w:w="1265"/>
        <w:gridCol w:w="1392"/>
        <w:gridCol w:w="1392"/>
        <w:gridCol w:w="1392"/>
        <w:gridCol w:w="1392"/>
        <w:gridCol w:w="1141"/>
      </w:tblGrid>
      <w:tr w:rsidR="00D06EC2" w:rsidRPr="00D06EC2" w14:paraId="5BFACB00" w14:textId="77777777" w:rsidTr="00B74A41">
        <w:trPr>
          <w:trHeight w:val="1515"/>
        </w:trPr>
        <w:tc>
          <w:tcPr>
            <w:tcW w:w="2970" w:type="dxa"/>
            <w:tcBorders>
              <w:top w:val="single" w:sz="4" w:space="0" w:color="auto"/>
              <w:left w:val="nil"/>
              <w:bottom w:val="single" w:sz="8" w:space="0" w:color="auto"/>
              <w:right w:val="nil"/>
            </w:tcBorders>
            <w:shd w:val="clear" w:color="auto" w:fill="auto"/>
            <w:noWrap/>
            <w:vAlign w:val="center"/>
            <w:hideMark/>
          </w:tcPr>
          <w:p w14:paraId="08E0BB2D" w14:textId="77777777" w:rsidR="00D06EC2" w:rsidRPr="00D06EC2" w:rsidRDefault="00D06EC2" w:rsidP="00D06EC2">
            <w:pPr>
              <w:spacing w:after="0" w:line="240" w:lineRule="auto"/>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Trait</w:t>
            </w:r>
          </w:p>
        </w:tc>
        <w:tc>
          <w:tcPr>
            <w:tcW w:w="1256" w:type="dxa"/>
            <w:tcBorders>
              <w:top w:val="single" w:sz="4" w:space="0" w:color="auto"/>
              <w:left w:val="nil"/>
              <w:bottom w:val="single" w:sz="8" w:space="0" w:color="auto"/>
              <w:right w:val="nil"/>
            </w:tcBorders>
            <w:shd w:val="clear" w:color="auto" w:fill="auto"/>
            <w:vAlign w:val="center"/>
            <w:hideMark/>
          </w:tcPr>
          <w:p w14:paraId="3079573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Association P-value with SCZ</w:t>
            </w:r>
          </w:p>
        </w:tc>
        <w:tc>
          <w:tcPr>
            <w:tcW w:w="1256" w:type="dxa"/>
            <w:tcBorders>
              <w:top w:val="single" w:sz="4" w:space="0" w:color="auto"/>
              <w:left w:val="nil"/>
              <w:bottom w:val="single" w:sz="8" w:space="0" w:color="auto"/>
              <w:right w:val="nil"/>
            </w:tcBorders>
            <w:shd w:val="clear" w:color="auto" w:fill="auto"/>
            <w:vAlign w:val="center"/>
            <w:hideMark/>
          </w:tcPr>
          <w:p w14:paraId="3A1460E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Association P-value with BIP</w:t>
            </w:r>
          </w:p>
        </w:tc>
        <w:tc>
          <w:tcPr>
            <w:tcW w:w="1256" w:type="dxa"/>
            <w:tcBorders>
              <w:top w:val="single" w:sz="4" w:space="0" w:color="auto"/>
              <w:left w:val="nil"/>
              <w:bottom w:val="single" w:sz="8" w:space="0" w:color="auto"/>
              <w:right w:val="nil"/>
            </w:tcBorders>
            <w:shd w:val="clear" w:color="auto" w:fill="auto"/>
            <w:vAlign w:val="center"/>
            <w:hideMark/>
          </w:tcPr>
          <w:p w14:paraId="3AD5678A"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Association P-value with MDD</w:t>
            </w:r>
          </w:p>
        </w:tc>
        <w:tc>
          <w:tcPr>
            <w:tcW w:w="1381" w:type="dxa"/>
            <w:tcBorders>
              <w:top w:val="single" w:sz="4" w:space="0" w:color="auto"/>
              <w:left w:val="nil"/>
              <w:bottom w:val="single" w:sz="8" w:space="0" w:color="auto"/>
              <w:right w:val="nil"/>
            </w:tcBorders>
            <w:shd w:val="clear" w:color="auto" w:fill="auto"/>
            <w:vAlign w:val="center"/>
            <w:hideMark/>
          </w:tcPr>
          <w:p w14:paraId="27F1DDC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Excluded from SCZ classification</w:t>
            </w:r>
          </w:p>
        </w:tc>
        <w:tc>
          <w:tcPr>
            <w:tcW w:w="1381" w:type="dxa"/>
            <w:tcBorders>
              <w:top w:val="single" w:sz="4" w:space="0" w:color="auto"/>
              <w:left w:val="nil"/>
              <w:bottom w:val="single" w:sz="8" w:space="0" w:color="auto"/>
              <w:right w:val="nil"/>
            </w:tcBorders>
            <w:shd w:val="clear" w:color="auto" w:fill="auto"/>
            <w:vAlign w:val="center"/>
            <w:hideMark/>
          </w:tcPr>
          <w:p w14:paraId="04D590BB"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Excluded from BIP classification</w:t>
            </w:r>
          </w:p>
        </w:tc>
        <w:tc>
          <w:tcPr>
            <w:tcW w:w="1381" w:type="dxa"/>
            <w:tcBorders>
              <w:top w:val="single" w:sz="4" w:space="0" w:color="auto"/>
              <w:left w:val="nil"/>
              <w:bottom w:val="single" w:sz="8" w:space="0" w:color="auto"/>
              <w:right w:val="nil"/>
            </w:tcBorders>
            <w:shd w:val="clear" w:color="auto" w:fill="auto"/>
            <w:vAlign w:val="center"/>
            <w:hideMark/>
          </w:tcPr>
          <w:p w14:paraId="101E185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Excluded from MDD classification</w:t>
            </w:r>
          </w:p>
        </w:tc>
        <w:tc>
          <w:tcPr>
            <w:tcW w:w="1381" w:type="dxa"/>
            <w:tcBorders>
              <w:top w:val="single" w:sz="4" w:space="0" w:color="auto"/>
              <w:left w:val="nil"/>
              <w:bottom w:val="single" w:sz="8" w:space="0" w:color="auto"/>
              <w:right w:val="nil"/>
            </w:tcBorders>
            <w:shd w:val="clear" w:color="auto" w:fill="auto"/>
            <w:vAlign w:val="center"/>
            <w:hideMark/>
          </w:tcPr>
          <w:p w14:paraId="6D97D91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Excluded from SCZ, BIP and MDD classification</w:t>
            </w:r>
          </w:p>
        </w:tc>
        <w:tc>
          <w:tcPr>
            <w:tcW w:w="1133" w:type="dxa"/>
            <w:tcBorders>
              <w:top w:val="single" w:sz="4" w:space="0" w:color="auto"/>
              <w:left w:val="nil"/>
              <w:bottom w:val="single" w:sz="8" w:space="0" w:color="auto"/>
              <w:right w:val="nil"/>
            </w:tcBorders>
            <w:shd w:val="clear" w:color="auto" w:fill="auto"/>
            <w:vAlign w:val="center"/>
            <w:hideMark/>
          </w:tcPr>
          <w:p w14:paraId="756FC58E" w14:textId="256C530B" w:rsidR="00D06EC2" w:rsidRPr="00D06EC2" w:rsidRDefault="00D06EC2" w:rsidP="00D06EC2">
            <w:pPr>
              <w:spacing w:after="0" w:line="240" w:lineRule="auto"/>
              <w:jc w:val="center"/>
              <w:rPr>
                <w:rFonts w:ascii="Calibri" w:eastAsia="Times New Roman" w:hAnsi="Calibri" w:cs="Calibri"/>
                <w:b/>
                <w:bCs/>
                <w:lang w:eastAsia="zh-CN"/>
              </w:rPr>
            </w:pPr>
            <w:r w:rsidRPr="00D06EC2">
              <w:rPr>
                <w:rFonts w:ascii="Calibri" w:eastAsia="Times New Roman" w:hAnsi="Calibri" w:cs="Calibri"/>
                <w:b/>
                <w:bCs/>
                <w:lang w:eastAsia="zh-CN"/>
              </w:rPr>
              <w:t>Reference</w:t>
            </w:r>
          </w:p>
        </w:tc>
      </w:tr>
      <w:tr w:rsidR="00D06EC2" w:rsidRPr="00D06EC2" w14:paraId="4731C709" w14:textId="77777777" w:rsidTr="00B74A41">
        <w:trPr>
          <w:trHeight w:val="300"/>
        </w:trPr>
        <w:tc>
          <w:tcPr>
            <w:tcW w:w="2970" w:type="dxa"/>
            <w:tcBorders>
              <w:top w:val="nil"/>
              <w:left w:val="nil"/>
              <w:bottom w:val="nil"/>
              <w:right w:val="nil"/>
            </w:tcBorders>
            <w:shd w:val="clear" w:color="auto" w:fill="auto"/>
            <w:noWrap/>
            <w:vAlign w:val="center"/>
            <w:hideMark/>
          </w:tcPr>
          <w:p w14:paraId="3F4AA6ED" w14:textId="446C6AAE"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A</w:t>
            </w:r>
            <w:r w:rsidR="00443B75">
              <w:rPr>
                <w:rFonts w:ascii="Calibri" w:eastAsia="Times New Roman" w:hAnsi="Calibri" w:cs="Calibri"/>
                <w:color w:val="000000"/>
                <w:lang w:eastAsia="zh-CN"/>
              </w:rPr>
              <w:t xml:space="preserve">lzheimer’s disease </w:t>
            </w:r>
            <w:r w:rsidRPr="00D06EC2">
              <w:rPr>
                <w:rFonts w:ascii="Calibri" w:eastAsia="Times New Roman" w:hAnsi="Calibri" w:cs="Calibri"/>
                <w:color w:val="000000"/>
                <w:lang w:eastAsia="zh-CN"/>
              </w:rPr>
              <w:t>2019</w:t>
            </w:r>
          </w:p>
        </w:tc>
        <w:tc>
          <w:tcPr>
            <w:tcW w:w="1256" w:type="dxa"/>
            <w:tcBorders>
              <w:top w:val="nil"/>
              <w:left w:val="nil"/>
              <w:bottom w:val="nil"/>
              <w:right w:val="nil"/>
            </w:tcBorders>
            <w:shd w:val="clear" w:color="auto" w:fill="auto"/>
            <w:noWrap/>
            <w:vAlign w:val="center"/>
            <w:hideMark/>
          </w:tcPr>
          <w:p w14:paraId="2DF2A977"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0.0054</w:t>
            </w:r>
          </w:p>
        </w:tc>
        <w:tc>
          <w:tcPr>
            <w:tcW w:w="1256" w:type="dxa"/>
            <w:tcBorders>
              <w:top w:val="nil"/>
              <w:left w:val="nil"/>
              <w:bottom w:val="nil"/>
              <w:right w:val="nil"/>
            </w:tcBorders>
            <w:shd w:val="clear" w:color="auto" w:fill="auto"/>
            <w:noWrap/>
            <w:vAlign w:val="center"/>
            <w:hideMark/>
          </w:tcPr>
          <w:p w14:paraId="515C0C20"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0.0768</w:t>
            </w:r>
          </w:p>
        </w:tc>
        <w:tc>
          <w:tcPr>
            <w:tcW w:w="1256" w:type="dxa"/>
            <w:tcBorders>
              <w:top w:val="nil"/>
              <w:left w:val="nil"/>
              <w:bottom w:val="nil"/>
              <w:right w:val="nil"/>
            </w:tcBorders>
            <w:shd w:val="clear" w:color="auto" w:fill="auto"/>
            <w:noWrap/>
            <w:vAlign w:val="center"/>
            <w:hideMark/>
          </w:tcPr>
          <w:p w14:paraId="534A15EB"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0.4492</w:t>
            </w:r>
          </w:p>
        </w:tc>
        <w:tc>
          <w:tcPr>
            <w:tcW w:w="1381" w:type="dxa"/>
            <w:tcBorders>
              <w:top w:val="nil"/>
              <w:left w:val="nil"/>
              <w:bottom w:val="nil"/>
              <w:right w:val="nil"/>
            </w:tcBorders>
            <w:shd w:val="clear" w:color="auto" w:fill="auto"/>
            <w:noWrap/>
            <w:vAlign w:val="bottom"/>
            <w:hideMark/>
          </w:tcPr>
          <w:p w14:paraId="5C37C098"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61E47A7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53AC24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A3C0D97"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hideMark/>
          </w:tcPr>
          <w:p w14:paraId="3CE20DA2" w14:textId="6A462499"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{"citationID":"XkNuJKVW","properties":{"formattedCitation":"\\super 1\\nosupersub{}","plainCitation":"1","noteIndex":0},"citationItems":[{"id":1405,"uris":["http://zotero.org/users/local/JrzyeY6I/items/5RJX7Y9V"],"itemData":{"id":1405,"type":"article-journal","abstract":"Alzheimer's disease (AD) is highly heritable and recent studies have identified over 20 disease-associated genomic loci. Yet these only explain a small proportion of the genetic variance, indicating that undiscovered loci remain. Here, we performed a large genome-wide association study of clinically diagnosed AD and AD-by-proxy (71,880 cases, 383,378 controls). AD-by-proxy, based on parental diagnoses, showed strong genetic correlation with AD (rg = 0.81). Meta-analysis identified 29 risk loci, implicating 215 potential causative genes. Associated genes are strongly expressed in immune-related tissues and cell types (spleen, liver, and microglia). Gene-set analyses indicate biological mechanisms involved in lipid-related processes and degradation of amyloid precursor proteins. We show strong genetic correlations with multiple health-related outcomes, and Mendelian randomization results suggest a protective effect of cognitive ability on AD risk. These results are a step forward in identifying the genetic factors that contribute to AD risk and add novel insights into the neurobiology of AD.","container-title":"Nature Genetics","DOI":"10.1038/s41588-018-0311-9","ISSN":"1546-1718","issue":"3","journalAbbreviation":"Nat Genet","language":"eng","note":"PMID: 30617256\nPMCID: PMC6836675","page":"404-413","source":"PubMed","title":"Genome-wide meta-analysis identifies new loci and functional pathways influencing Alzheimer's disease risk","volume":"51","author":[{"family":"Jansen","given":"Iris E."},{"family":"Savage","given":"Jeanne E."},{"family":"Watanabe","given":"Kyoko"},{"family":"Bryois","given":"Julien"},{"family":"Williams","given":"Dylan M."},{"family":"Steinberg","given":"Stacy"},{"family":"Sealock","given":"Julia"},{"family":"Karlsson","given":"Ida K."},{"family":"Hägg","given":"Sara"},{"family":"Athanasiu","given":"Lavinia"},{"family":"Voyle","given":"Nicola"},{"family":"Proitsi","given":"Petroula"},{"family":"Witoelar","given":"Aree"},{"family":"Stringer","given":"Sven"},{"family":"Aarsland","given":"Dag"},{"family":"Almdahl","given":"Ina S."},{"family":"Andersen","given":"Fred"},{"family":"Bergh","given":"Sverre"},{"family":"Bettella","given":"Francesco"},{"family":"Bjornsson","given":"Sigurbjorn"},{"family":"Brækhus","given":"Anne"},{"family":"Bråthen","given":"Geir"},{"family":"Leeuw","given":"Christiaan","non-dropping-particle":"de"},{"family":"Desikan","given":"Rahul S."},{"family":"Djurovic","given":"Srdjan"},{"family":"Dumitrescu","given":"Logan"},{"family":"Fladby","given":"Tormod"},{"family":"Hohman","given":"Timothy J."},{"family":"Jonsson","given":"Palmi V."},{"family":"Kiddle","given":"Steven J."},{"family":"Rongve","given":"Arvid"},{"family":"Saltvedt","given":"Ingvild"},{"family":"Sando","given":"Sigrid B."},{"family":"Selbæk","given":"Geir"},{"family":"Shoai","given":"Maryam"},{"family":"Skene","given":"Nathan G."},{"family":"Snaedal","given":"Jon"},{"family":"Stordal","given":"Eystein"},{"family":"Ulstein","given":"Ingun D."},{"family":"Wang","given":"Yunpeng"},{"family":"White","given":"Linda R."},{"family":"Hardy","given":"John"},{"family":"Hjerling-Leffler","given":"Jens"},{"family":"Sullivan","given":"Patrick F."},{"family":"Flier","given":"Wiesje M.","non-dropping-particle":"van der"},{"family":"Dobson","given":"Richard"},{"family":"Davis","given":"Lea K."},{"family":"Stefansson","given":"Hreinn"},{"family":"Stefansson","given":"Kari"},{"family":"Pedersen","given":"Nancy L."},{"family":"Ripke","given":"Stephan"},{"family":"Andreassen","given":"Ole A."},{"family":"Posthuma","given":"Danielle"}],"issued":{"date-parts":[["2019",3]]}}}],"schema":"https://github.com/citation-style-language/schema/raw/master/csl-citation.json"}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1</w:t>
            </w:r>
            <w:r>
              <w:rPr>
                <w:rFonts w:ascii="Calibri" w:eastAsia="Times New Roman" w:hAnsi="Calibri" w:cs="Calibri"/>
                <w:lang w:eastAsia="zh-CN"/>
              </w:rPr>
              <w:fldChar w:fldCharType="end"/>
            </w:r>
          </w:p>
        </w:tc>
      </w:tr>
      <w:tr w:rsidR="00D06EC2" w:rsidRPr="00D06EC2" w14:paraId="7D633327" w14:textId="77777777" w:rsidTr="00B74A41">
        <w:trPr>
          <w:trHeight w:val="300"/>
        </w:trPr>
        <w:tc>
          <w:tcPr>
            <w:tcW w:w="2970" w:type="dxa"/>
            <w:tcBorders>
              <w:top w:val="nil"/>
              <w:left w:val="nil"/>
              <w:bottom w:val="nil"/>
              <w:right w:val="nil"/>
            </w:tcBorders>
            <w:shd w:val="clear" w:color="auto" w:fill="auto"/>
            <w:noWrap/>
            <w:vAlign w:val="center"/>
            <w:hideMark/>
          </w:tcPr>
          <w:p w14:paraId="5BAD6D2C" w14:textId="3EFEA904"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ADHD</w:t>
            </w:r>
            <w:r w:rsidR="00B74A41">
              <w:rPr>
                <w:rFonts w:ascii="Calibri" w:eastAsia="Times New Roman" w:hAnsi="Calibri" w:cs="Calibri"/>
                <w:color w:val="000000"/>
                <w:lang w:eastAsia="zh-CN"/>
              </w:rPr>
              <w:t xml:space="preserve"> vs disruptive behaviors</w:t>
            </w:r>
          </w:p>
        </w:tc>
        <w:tc>
          <w:tcPr>
            <w:tcW w:w="1256" w:type="dxa"/>
            <w:tcBorders>
              <w:top w:val="nil"/>
              <w:left w:val="nil"/>
              <w:bottom w:val="nil"/>
              <w:right w:val="nil"/>
            </w:tcBorders>
            <w:shd w:val="clear" w:color="auto" w:fill="auto"/>
            <w:noWrap/>
            <w:vAlign w:val="center"/>
            <w:hideMark/>
          </w:tcPr>
          <w:p w14:paraId="2742271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6.18E-16</w:t>
            </w:r>
          </w:p>
        </w:tc>
        <w:tc>
          <w:tcPr>
            <w:tcW w:w="1256" w:type="dxa"/>
            <w:tcBorders>
              <w:top w:val="nil"/>
              <w:left w:val="nil"/>
              <w:bottom w:val="nil"/>
              <w:right w:val="nil"/>
            </w:tcBorders>
            <w:shd w:val="clear" w:color="auto" w:fill="auto"/>
            <w:noWrap/>
            <w:vAlign w:val="center"/>
            <w:hideMark/>
          </w:tcPr>
          <w:p w14:paraId="2FE1C19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5.46E-35</w:t>
            </w:r>
          </w:p>
        </w:tc>
        <w:tc>
          <w:tcPr>
            <w:tcW w:w="1256" w:type="dxa"/>
            <w:tcBorders>
              <w:top w:val="nil"/>
              <w:left w:val="nil"/>
              <w:bottom w:val="nil"/>
              <w:right w:val="nil"/>
            </w:tcBorders>
            <w:shd w:val="clear" w:color="auto" w:fill="auto"/>
            <w:noWrap/>
            <w:vAlign w:val="center"/>
            <w:hideMark/>
          </w:tcPr>
          <w:p w14:paraId="02CBC453"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0.8763</w:t>
            </w:r>
          </w:p>
        </w:tc>
        <w:tc>
          <w:tcPr>
            <w:tcW w:w="1381" w:type="dxa"/>
            <w:tcBorders>
              <w:top w:val="nil"/>
              <w:left w:val="nil"/>
              <w:bottom w:val="nil"/>
              <w:right w:val="nil"/>
            </w:tcBorders>
            <w:shd w:val="clear" w:color="auto" w:fill="auto"/>
            <w:noWrap/>
            <w:vAlign w:val="bottom"/>
            <w:hideMark/>
          </w:tcPr>
          <w:p w14:paraId="5E37662A"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0E57341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2758D13"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2B1F961"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vAlign w:val="center"/>
            <w:hideMark/>
          </w:tcPr>
          <w:p w14:paraId="70B8D228" w14:textId="00DAF9BE"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{"citationID":"vLru9COH","properties":{"formattedCitation":"\\super 2\\nosupersub{}","plainCitation":"2","noteIndex":0},"citationItems":[{"id":1408,"uris":["http://zotero.org/users/local/JrzyeY6I/items/HTF2MA5Y"],"itemData":{"id":1408,"type":"article-journal","abstract":"Attention-Deficit/Hyperactivity Disorder (ADHD) is a childhood psychiatric disorder often comorbid with disruptive behavior disorders (DBDs). Here, we report a GWAS meta-analysis of ADHD comorbid with DBDs (ADHD + DBDs) including 3802 cases and 31,305 controls. We identify three genome-wide significant loci on chromosomes 1, 7, and 11. A meta-analysis including a Chinese cohort supports that the locus on chromosome 11 is a strong risk locus for ADHD + DBDs across European and Chinese ancestries (rs7118422, P = 3.15×10-10, OR = 1.17). We find a higher SNP heritability for ADHD + DBDs (h2SNP = 0.34) when compared to ADHD without DBDs (h2SNP = 0.20), high genetic correlations between ADHD + DBDs and aggressive (rg = 0.81) and anti-social behaviors (rg = 0.82), and an increased burden (polygenic score) of variants associated with ADHD and aggression in ADHD + DBDs compared to ADHD without DBDs. Our results suggest an increased load of common risk variants in ADHD + DBDs compared to ADHD without DBDs, which in part can be explained by variants associated with aggressive behavior.","container-title":"Nature Communications","DOI":"10.1038/s41467-020-20443-2","ISSN":"2041-1723","issue":"1","journalAbbreviation":"Nat Commun","language":"eng","note":"PMID: 33495439\nPMCID: PMC7835232","page":"576","source":"PubMed","title":"Risk variants and polygenic architecture of disruptive behavior disorders in the context of attention-deficit/hyperactivity disorder","volume":"12","author":[{"family":"Demontis","given":"Ditte"},{"family":"Walters","given":"Raymond K."},{"family":"Rajagopal","given":"Veera M."},{"family":"Waldman","given":"Irwin D."},{"family":"Grove","given":"Jakob"},{"family":"Als","given":"Thomas D."},{"family":"Dalsgaard","given":"Søren"},{"family":"Ribasés","given":"Marta"},{"family":"Bybjerg-Grauholm","given":"Jonas"},{"family":"Bækvad-Hansen","given":"Maria"},{"family":"Werge","given":"Thomas"},{"family":"Nordentoft","given":"Merete"},{"family":"Mors","given":"Ole"},{"family":"Mortensen","given":"Preben Bo"},{"literal":"ADHD Working Group of the Psychiatric Genomics Consortium (PGC)"},{"family":"Cormand","given":"Bru"},{"family":"Hougaard","given":"David M."},{"family":"Neale","given":"Benjamin M."},{"family":"Franke","given":"Barbara"},{"family":"Faraone","given":"Stephen V."},{"family":"Børglum","given":"Anders D."}],"issued":{"date-parts":[["2021",1,25]]}}}],"schema":"https://github.com/citation-style-language/schema/raw/master/csl-citation.json"}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2</w:t>
            </w:r>
            <w:r>
              <w:rPr>
                <w:rFonts w:ascii="Calibri" w:eastAsia="Times New Roman" w:hAnsi="Calibri" w:cs="Calibri"/>
                <w:lang w:eastAsia="zh-CN"/>
              </w:rPr>
              <w:fldChar w:fldCharType="end"/>
            </w:r>
          </w:p>
        </w:tc>
      </w:tr>
      <w:tr w:rsidR="00D06EC2" w:rsidRPr="00D06EC2" w14:paraId="2928D303" w14:textId="77777777" w:rsidTr="00B74A41">
        <w:trPr>
          <w:trHeight w:val="300"/>
        </w:trPr>
        <w:tc>
          <w:tcPr>
            <w:tcW w:w="2970" w:type="dxa"/>
            <w:tcBorders>
              <w:top w:val="nil"/>
              <w:left w:val="nil"/>
              <w:bottom w:val="nil"/>
              <w:right w:val="nil"/>
            </w:tcBorders>
            <w:shd w:val="clear" w:color="auto" w:fill="auto"/>
            <w:noWrap/>
            <w:vAlign w:val="center"/>
            <w:hideMark/>
          </w:tcPr>
          <w:p w14:paraId="61AE4B4A" w14:textId="3E04D50E" w:rsidR="00D06EC2" w:rsidRPr="00D06EC2" w:rsidRDefault="00B12B6F"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A</w:t>
            </w:r>
            <w:r w:rsidR="00D06EC2" w:rsidRPr="00D06EC2">
              <w:rPr>
                <w:rFonts w:ascii="Calibri" w:eastAsia="Times New Roman" w:hAnsi="Calibri" w:cs="Calibri"/>
                <w:color w:val="000000"/>
                <w:lang w:eastAsia="zh-CN"/>
              </w:rPr>
              <w:t>norexia</w:t>
            </w:r>
          </w:p>
        </w:tc>
        <w:tc>
          <w:tcPr>
            <w:tcW w:w="1256" w:type="dxa"/>
            <w:tcBorders>
              <w:top w:val="nil"/>
              <w:left w:val="nil"/>
              <w:bottom w:val="nil"/>
              <w:right w:val="nil"/>
            </w:tcBorders>
            <w:shd w:val="clear" w:color="auto" w:fill="auto"/>
            <w:noWrap/>
            <w:vAlign w:val="center"/>
            <w:hideMark/>
          </w:tcPr>
          <w:p w14:paraId="768B33EA"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0.0077</w:t>
            </w:r>
          </w:p>
        </w:tc>
        <w:tc>
          <w:tcPr>
            <w:tcW w:w="1256" w:type="dxa"/>
            <w:tcBorders>
              <w:top w:val="nil"/>
              <w:left w:val="nil"/>
              <w:bottom w:val="nil"/>
              <w:right w:val="nil"/>
            </w:tcBorders>
            <w:shd w:val="clear" w:color="auto" w:fill="auto"/>
            <w:noWrap/>
            <w:vAlign w:val="center"/>
            <w:hideMark/>
          </w:tcPr>
          <w:p w14:paraId="555396A3"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0.1498</w:t>
            </w:r>
          </w:p>
        </w:tc>
        <w:tc>
          <w:tcPr>
            <w:tcW w:w="1256" w:type="dxa"/>
            <w:tcBorders>
              <w:top w:val="nil"/>
              <w:left w:val="nil"/>
              <w:bottom w:val="nil"/>
              <w:right w:val="nil"/>
            </w:tcBorders>
            <w:shd w:val="clear" w:color="auto" w:fill="auto"/>
            <w:noWrap/>
            <w:vAlign w:val="center"/>
            <w:hideMark/>
          </w:tcPr>
          <w:p w14:paraId="02C6C429"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0.6194</w:t>
            </w:r>
          </w:p>
        </w:tc>
        <w:tc>
          <w:tcPr>
            <w:tcW w:w="1381" w:type="dxa"/>
            <w:tcBorders>
              <w:top w:val="nil"/>
              <w:left w:val="nil"/>
              <w:bottom w:val="nil"/>
              <w:right w:val="nil"/>
            </w:tcBorders>
            <w:shd w:val="clear" w:color="auto" w:fill="auto"/>
            <w:noWrap/>
            <w:vAlign w:val="bottom"/>
            <w:hideMark/>
          </w:tcPr>
          <w:p w14:paraId="1E5FFD50"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6385A42E"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8F8597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A8C3100"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3F408486" w14:textId="1F938628"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{"citationID":"IkPxTuQ2","properties":{"formattedCitation":"\\super 3\\nosupersub{}","plainCitation":"3","noteIndex":0},"citationItems":[{"id":1411,"uris":["http://zotero.org/users/local/JrzyeY6I/items/8KTVTW6U"],"itemData":{"id":1411,"type":"article-journal","abstract":"Anorexia nervosa (AN) is a complex and heritable eating disorder characterized by dangerously low body weight. Neither candidate gene studies nor an initial genome-wide association study (GWAS) have yielded significant and replicated results. We performed a GWAS in 2907 cases with AN from 14 countries (15 sites) and 14 860 ancestrally matched controls as part of the Genetic Consortium for AN (GCAN) and the Wellcome Trust Case Control Consortium 3 (WTCCC3). Individual association analyses were conducted in each stratum and meta-analyzed across all 15 discovery data sets. Seventy-six (72 independent) single nucleotide polymorphisms were taken forward for in silico (two data sets) or de novo (13 data sets) replication genotyping in 2677 independent AN cases and 8629 European ancestry controls along with 458 AN cases and 421 controls from Japan. The final global meta-analysis across discovery and replication data sets comprised 5551 AN cases and 21 080 controls. AN subtype analyses (1606 AN restricting; 1445 AN binge-purge) were performed. No findings reached genome-wide significance. Two intronic variants were suggestively associated: rs9839776 (P=3.01 × 10(-7)) in SOX2OT and rs17030795 (P=5.84 × 10(-6)) in PPP3CA. Two additional signals were specific to Europeans: rs1523921 (P=5.76 × 10(-)(6)) between CUL3 and FAM124B and rs1886797 (P=8.05 × 10(-)(6)) near SPATA13. Comparing discovery with replication results, 76% of the effects were in the same direction, an observation highly unlikely to be due to chance (P=4 × 10(-6)), strongly suggesting that true findings exist but our sample, the largest yet reported, was underpowered for their detection. The accrual of large genotyped AN case-control samples should be an immediate priority for the field.","container-title":"Molecular Psychiatry","DOI":"10.1038/mp.2013.187","ISSN":"1476-5578","issue":"10","journalAbbreviation":"Mol Psychiatry","language":"eng","note":"PMID: 24514567\nPMCID: PMC4325090","page":"1085-1094","source":"PubMed","title":"A genome-wide association study of anorexia nervosa","volume":"19","author":[{"family":"Boraska","given":"V."},{"family":"Franklin","given":"C. S."},{"family":"Floyd","given":"J. a. B."},{"family":"Thornton","given":"L. M."},{"family":"Huckins","given":"L. M."},{"family":"Southam","given":"L."},{"family":"Rayner","given":"N. W."},{"family":"Tachmazidou","given":"I."},{"family":"Klump","given":"K. L."},{"family":"Treasure","given":"J."},{"family":"Lewis","given":"C. M."},{"family":"Schmidt","given":"U."},{"family":"Tozzi","given":"F."},{"family":"Kiezebrink","given":"K."},{"family":"Hebebrand","given":"J."},{"family":"Gorwood","given":"P."},{"family":"Adan","given":"R. a. H."},{"family":"Kas","given":"M. J. H."},{"family":"Favaro","given":"A."},{"family":"Santonastaso","given":"P."},{"family":"Fernández-Aranda","given":"F."},{"family":"Gratacos","given":"M."},{"family":"Rybakowski","given":"F."},{"family":"Dmitrzak-Weglarz","given":"M."},{"family":"Kaprio","given":"J."},{"family":"Keski-Rahkonen","given":"A."},{"family":"Raevuori","given":"A."},{"family":"Van Furth","given":"E. F."},{"family":"Slof-Op 't Landt","given":"M. C. T."},{"family":"Hudson","given":"J. I."},{"family":"Reichborn-Kjennerud","given":"T."},{"family":"Knudsen","given":"G. P. S."},{"family":"Monteleone","given":"P."},{"family":"Kaplan","given":"A. S."},{"family":"Karwautz","given":"A."},{"family":"Hakonarson","given":"H."},{"family":"Berrettini","given":"W. H."},{"family":"Guo","given":"Y."},{"family":"Li","given":"D."},{"family":"Schork","given":"N. J."},{"family":"Komaki","given":"G."},{"family":"Ando","given":"T."},{"family":"Inoko","given":"H."},{"family":"Esko","given":"T."},{"family":"Fischer","given":"K."},{"family":"Männik","given":"K."},{"family":"Metspalu","given":"A."},{"family":"Baker","given":"J. H."},{"family":"Cone","given":"R. D."},{"family":"Dackor","given":"J."},{"family":"DeSocio","given":"J. E."},{"family":"Hilliard","given":"C. E."},{"family":"O'Toole","given":"J. K."},{"family":"Pantel","given":"J."},{"family":"Szatkiewicz","given":"J. P."},{"family":"Taico","given":"C."},{"family":"Zerwas","given":"S."},{"family":"Trace","given":"S. E."},{"family":"Davis","given":"O. S. P."},{"family":"Helder","given":"S."},{"family":"Bühren","given":"K."},{"family":"Burghardt","given":"R."},{"family":"Zwaan","given":"M.","non-dropping-particle":"de"},{"family":"Egberts","given":"K."},{"family":"Ehrlich","given":"S."},{"family":"Herpertz-Dahlmann","given":"B."},{"family":"Herzog","given":"W."},{"family":"Imgart","given":"H."},{"family":"Scherag","given":"A."},{"family":"Scherag","given":"S."},{"family":"Zipfel","given":"S."},{"family":"Boni","given":"C."},{"family":"Ramoz","given":"N."},{"family":"Versini","given":"A."},{"family":"Brandys","given":"M. K."},{"family":"Danner","given":"U. N."},{"family":"Kovel","given":"C.","non-dropping-particle":"de"},{"family":"Hendriks","given":"J."},{"family":"Koeleman","given":"B. P. C."},{"family":"Ophoff","given":"R. A."},{"family":"Strengman","given":"E."},{"family":"Elburg","given":"A. A.","non-dropping-particle":"van"},{"family":"Bruson","given":"A."},{"family":"Clementi","given":"M."},{"family":"Degortes","given":"D."},{"family":"Forzan","given":"M."},{"family":"Tenconi","given":"E."},{"family":"Docampo","given":"E."},{"family":"Escaramís","given":"G."},{"family":"Jiménez-Murcia","given":"S."},{"family":"Lissowska","given":"J."},{"family":"Rajewski","given":"A."},{"family":"Szeszenia-Dabrowska","given":"N."},{"family":"Slopien","given":"A."},{"family":"Hauser","given":"J."},{"family":"Karhunen","given":"L."},{"family":"Meulenbelt","given":"I."},{"family":"Slagboom","given":"P. E."},{"family":"Tortorella","given":"A."},{"family":"Maj","given":"M."},{"family":"Dedoussis","given":"G."},{"family":"Dikeos","given":"D."},{"family":"Gonidakis","given":"F."},{"family":"Tziouvas","given":"K."},{"family":"Tsitsika","given":"A."},{"family":"Papezova","given":"H."},{"family":"Slachtova","given":"L."},{"family":"Martaskova","given":"D."},{"family":"Kennedy","given":"J. L."},{"family":"Levitan","given":"R. D."},{"family":"Yilmaz","given":"Z."},{"family":"Huemer","given":"J."},{"family":"Koubek","given":"D."},{"family":"Merl","given":"E."},{"family":"Wagner","given":"G."},{"family":"Lichtenstein","given":"P."},{"family":"Breen","given":"G."},{"family":"Cohen-Woods","given":"S."},{"family":"Farmer","given":"A."},{"family":"McGuffin","given":"P."},{"family":"Cichon","given":"S."},{"family":"Giegling","given":"I."},{"family":"Herms","given":"S."},{"family":"Rujescu","given":"D."},{"family":"Schreiber","given":"S."},{"family":"Wichmann","given":"H.-E."},{"family":"Dina","given":"C."},{"family":"Sladek","given":"R."},{"family":"Gambaro","given":"G."},{"family":"Soranzo","given":"N."},{"family":"Julia","given":"A."},{"family":"Marsal","given":"S."},{"family":"Rabionet","given":"R."},{"family":"Gaborieau","given":"V."},{"family":"Dick","given":"D. M."},{"family":"Palotie","given":"A."},{"family":"Ripatti","given":"S."},{"family":"Widén","given":"E."},{"family":"Andreassen","given":"O. A."},{"family":"Espeseth","given":"T."},{"family":"Lundervold","given":"A."},{"family":"Reinvang","given":"I."},{"family":"Steen","given":"V. M."},{"family":"Le Hellard","given":"S."},{"family":"Mattingsdal","given":"M."},{"family":"Ntalla","given":"I."},{"family":"Bencko","given":"V."},{"family":"Foretova","given":"L."},{"family":"Janout","given":"V."},{"family":"Navratilova","given":"M."},{"family":"Gallinger","given":"S."},{"family":"Pinto","given":"D."},{"family":"Scherer","given":"S. W."},{"family":"Aschauer","given":"H."},{"family":"Carlberg","given":"L."},{"family":"Schosser","given":"A."},{"family":"Alfredsson","given":"L."},{"family":"Ding","given":"B."},{"family":"Klareskog","given":"L."},{"family":"Padyukov","given":"L."},{"family":"Courtet","given":"P."},{"family":"Guillaume","given":"S."},{"family":"Jaussent","given":"I."},{"family":"Finan","given":"C."},{"family":"Kalsi","given":"G."},{"family":"Roberts","given":"M."},{"family":"Logan","given":"D. W."},{"family":"Peltonen","given":"L."},{"family":"Ritchie","given":"G. R. S."},{"family":"Barrett","given":"J. C."},{"literal":"Wellcome Trust Case Control Consortium 3"},{"family":"Estivill","given":"X."},{"family":"Hinney","given":"A."},{"family":"Sullivan","given":"P. F."},{"family":"Collier","given":"D. A."},{"family":"Zeggini","given":"E."},{"family":"Bulik","given":"C. M."}],"issued":{"date-parts":[["2014",10]]}}}],"schema":"https://github.com/citation-style-language/schema/raw/master/csl-citation.json"}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3</w:t>
            </w:r>
            <w:r>
              <w:rPr>
                <w:rFonts w:ascii="Calibri" w:eastAsia="Times New Roman" w:hAnsi="Calibri" w:cs="Calibri"/>
                <w:lang w:eastAsia="zh-CN"/>
              </w:rPr>
              <w:fldChar w:fldCharType="end"/>
            </w:r>
          </w:p>
        </w:tc>
      </w:tr>
      <w:tr w:rsidR="00D06EC2" w:rsidRPr="00D06EC2" w14:paraId="6CDF7A30" w14:textId="77777777" w:rsidTr="00B74A41">
        <w:trPr>
          <w:trHeight w:val="300"/>
        </w:trPr>
        <w:tc>
          <w:tcPr>
            <w:tcW w:w="2970" w:type="dxa"/>
            <w:tcBorders>
              <w:top w:val="nil"/>
              <w:left w:val="nil"/>
              <w:bottom w:val="nil"/>
              <w:right w:val="nil"/>
            </w:tcBorders>
            <w:shd w:val="clear" w:color="auto" w:fill="auto"/>
            <w:noWrap/>
            <w:vAlign w:val="center"/>
            <w:hideMark/>
          </w:tcPr>
          <w:p w14:paraId="1E33D4C3" w14:textId="560C5777" w:rsidR="00D06EC2" w:rsidRPr="00D06EC2" w:rsidRDefault="00B12B6F"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A</w:t>
            </w:r>
            <w:r w:rsidR="00D06EC2" w:rsidRPr="00D06EC2">
              <w:rPr>
                <w:rFonts w:ascii="Calibri" w:eastAsia="Times New Roman" w:hAnsi="Calibri" w:cs="Calibri"/>
                <w:color w:val="000000"/>
                <w:lang w:eastAsia="zh-CN"/>
              </w:rPr>
              <w:t>nx</w:t>
            </w:r>
            <w:r w:rsidR="00BC52FD">
              <w:rPr>
                <w:rFonts w:ascii="Calibri" w:eastAsia="Times New Roman" w:hAnsi="Calibri" w:cs="Calibri"/>
                <w:color w:val="000000"/>
                <w:lang w:eastAsia="zh-CN"/>
              </w:rPr>
              <w:t>iety</w:t>
            </w:r>
          </w:p>
        </w:tc>
        <w:tc>
          <w:tcPr>
            <w:tcW w:w="1256" w:type="dxa"/>
            <w:tcBorders>
              <w:top w:val="nil"/>
              <w:left w:val="nil"/>
              <w:bottom w:val="nil"/>
              <w:right w:val="nil"/>
            </w:tcBorders>
            <w:shd w:val="clear" w:color="auto" w:fill="auto"/>
            <w:noWrap/>
            <w:vAlign w:val="center"/>
            <w:hideMark/>
          </w:tcPr>
          <w:p w14:paraId="4575F8EF"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0.0017</w:t>
            </w:r>
          </w:p>
        </w:tc>
        <w:tc>
          <w:tcPr>
            <w:tcW w:w="1256" w:type="dxa"/>
            <w:tcBorders>
              <w:top w:val="nil"/>
              <w:left w:val="nil"/>
              <w:bottom w:val="nil"/>
              <w:right w:val="nil"/>
            </w:tcBorders>
            <w:shd w:val="clear" w:color="auto" w:fill="auto"/>
            <w:noWrap/>
            <w:vAlign w:val="center"/>
            <w:hideMark/>
          </w:tcPr>
          <w:p w14:paraId="59DBB639"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0.312</w:t>
            </w:r>
          </w:p>
        </w:tc>
        <w:tc>
          <w:tcPr>
            <w:tcW w:w="1256" w:type="dxa"/>
            <w:tcBorders>
              <w:top w:val="nil"/>
              <w:left w:val="nil"/>
              <w:bottom w:val="nil"/>
              <w:right w:val="nil"/>
            </w:tcBorders>
            <w:shd w:val="clear" w:color="auto" w:fill="auto"/>
            <w:noWrap/>
            <w:vAlign w:val="center"/>
            <w:hideMark/>
          </w:tcPr>
          <w:p w14:paraId="5CEA9AE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1.73E-132</w:t>
            </w:r>
          </w:p>
        </w:tc>
        <w:tc>
          <w:tcPr>
            <w:tcW w:w="1381" w:type="dxa"/>
            <w:tcBorders>
              <w:top w:val="nil"/>
              <w:left w:val="nil"/>
              <w:bottom w:val="nil"/>
              <w:right w:val="nil"/>
            </w:tcBorders>
            <w:shd w:val="clear" w:color="auto" w:fill="auto"/>
            <w:noWrap/>
            <w:vAlign w:val="bottom"/>
            <w:hideMark/>
          </w:tcPr>
          <w:p w14:paraId="2F453C80"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0E2ED74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604FA3C"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7800A1E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4B509135" w14:textId="170421AF"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{"citationID":"P2Wd1lGY","properties":{"formattedCitation":"\\super 4\\nosupersub{}","plainCitation":"4","noteIndex":0},"citationItems":[{"id":1414,"uris":["http://zotero.org/users/local/JrzyeY6I/items/ICMT6YWC"],"itemData":{"id":1414,"type":"article-journal","abstract":"Anxiety disorders (ADs), namely generalized AD, panic disorder and phobias, are common, etiologically complex conditions with a partially genetic basis. Despite differing on diagnostic definitions based on clinical presentation, ADs likely represent various expressions of an underlying common diathesis of abnormal regulation of basic threat-response systems. We conducted genome-wide association analyses in nine samples of European ancestry from seven large, independent studies. To identify genetic variants contributing to genetic susceptibility shared across interview-generated DSM-based ADs, we applied two phenotypic approaches: (1) comparisons between categorical AD cases and supernormal controls, and (2) quantitative phenotypic factor scores (FS) derived from a multivariate analysis combining information across the clinical phenotypes. We used logistic and linear regression, respectively, to analyze the association between these phenotypes and genome-wide single nucleotide polymorphisms. Meta-analysis for each phenotype combined results across the nine samples for over 18 000 unrelated individuals. Each meta-analysis identified a different genome-wide significant region, with the following markers showing the strongest association: for case-control contrasts, rs1709393 located in an uncharacterized non-coding RNA locus on chromosomal band 3q12.3 (P=1.65 × 10(-8)); for FS, rs1067327 within CAMKMT encoding the calmodulin-lysine N-methyltransferase on chromosomal band 2p21 (P=2.86 × 10(-9)). Independent replication and further exploration of these findings are needed to more fully understand the role of these variants in risk and expression of ADs.","container-title":"Molecular Psychiatry","DOI":"10.1038/mp.2015.197","ISSN":"1476-5578","issue":"10","journalAbbreviation":"Mol Psychiatry","language":"eng","note":"PMID: 26754954\nPMCID: PMC4940340","page":"1391-1399","source":"PubMed","title":"Meta-analysis of genome-wide association studies of anxiety disorders","volume":"21","author":[{"family":"Otowa","given":"T."},{"family":"Hek","given":"K."},{"family":"Lee","given":"M."},{"family":"Byrne","given":"E. M."},{"family":"Mirza","given":"S. S."},{"family":"Nivard","given":"M. G."},{"family":"Bigdeli","given":"T."},{"family":"Aggen","given":"S. H."},{"family":"Adkins","given":"D."},{"family":"Wolen","given":"A."},{"family":"Fanous","given":"A."},{"family":"Keller","given":"M. C."},{"family":"Castelao","given":"E."},{"family":"Kutalik","given":"Z."},{"family":"Van der Auwera","given":"S."},{"family":"Homuth","given":"G."},{"family":"Nauck","given":"M."},{"family":"Teumer","given":"A."},{"family":"Milaneschi","given":"Y."},{"family":"Hottenga","given":"J.-J."},{"family":"Direk","given":"N."},{"family":"Hofman","given":"A."},{"family":"Uitterlinden","given":"A."},{"family":"Mulder","given":"C. L."},{"family":"Henders","given":"A. K."},{"family":"Medland","given":"S. E."},{"family":"Gordon","given":"S."},{"family":"Heath","given":"A. C."},{"family":"Madden","given":"P. a. F."},{"family":"Pergadia","given":"M. L."},{"family":"Most","given":"P. J.","non-dropping-particle":"van der"},{"family":"Nolte","given":"I. M."},{"family":"Oort","given":"F. V. A.","non-dropping-particle":"van"},{"family":"Hartman","given":"C. A."},{"family":"Oldehinkel","given":"A. J."},{"family":"Preisig","given":"M."},{"family":"Grabe","given":"H. J."},{"family":"Middeldorp","given":"C. M."},{"family":"Penninx","given":"B. W. J. H."},{"family":"Boomsma","given":"D."},{"family":"Martin","given":"N. G."},{"family":"Montgomery","given":"G."},{"family":"Maher","given":"B. S."},{"family":"Oord","given":"E. J.","non-dropping-particle":"van den"},{"family":"Wray","given":"N. R."},{"family":"Tiemeier","given":"H."},{"family":"Hettema","given":"J. M."}],"issued":{"date-parts":[["2016",10]]}}}],"schema":"https://github.com/citation-style-language/schema/raw/master/csl-citation.json"}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4</w:t>
            </w:r>
            <w:r>
              <w:rPr>
                <w:rFonts w:ascii="Calibri" w:eastAsia="Times New Roman" w:hAnsi="Calibri" w:cs="Calibri"/>
                <w:lang w:eastAsia="zh-CN"/>
              </w:rPr>
              <w:fldChar w:fldCharType="end"/>
            </w:r>
          </w:p>
        </w:tc>
      </w:tr>
      <w:tr w:rsidR="00D06EC2" w:rsidRPr="00D06EC2" w14:paraId="0D57ACF7" w14:textId="77777777" w:rsidTr="00B74A41">
        <w:trPr>
          <w:trHeight w:val="300"/>
        </w:trPr>
        <w:tc>
          <w:tcPr>
            <w:tcW w:w="2970" w:type="dxa"/>
            <w:tcBorders>
              <w:top w:val="nil"/>
              <w:left w:val="nil"/>
              <w:bottom w:val="nil"/>
              <w:right w:val="nil"/>
            </w:tcBorders>
            <w:shd w:val="clear" w:color="auto" w:fill="auto"/>
            <w:noWrap/>
            <w:vAlign w:val="center"/>
            <w:hideMark/>
          </w:tcPr>
          <w:p w14:paraId="545F7EC5" w14:textId="5F19316D"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B</w:t>
            </w:r>
            <w:r w:rsidR="00B74A41">
              <w:rPr>
                <w:rFonts w:ascii="Calibri" w:eastAsia="Times New Roman" w:hAnsi="Calibri" w:cs="Calibri"/>
                <w:color w:val="000000"/>
                <w:lang w:eastAsia="zh-CN"/>
              </w:rPr>
              <w:t>ipolar</w:t>
            </w:r>
            <w:r w:rsidR="00785831">
              <w:rPr>
                <w:rFonts w:ascii="Calibri" w:eastAsia="Times New Roman" w:hAnsi="Calibri" w:cs="Calibri"/>
                <w:color w:val="000000"/>
                <w:lang w:eastAsia="zh-CN"/>
              </w:rPr>
              <w:t xml:space="preserve"> </w:t>
            </w:r>
            <w:r w:rsidR="00B74A41">
              <w:rPr>
                <w:rFonts w:ascii="Calibri" w:eastAsia="Times New Roman" w:hAnsi="Calibri" w:cs="Calibri"/>
                <w:color w:val="000000"/>
                <w:lang w:eastAsia="zh-CN"/>
              </w:rPr>
              <w:t>&amp;</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SCZ</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vs</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C</w:t>
            </w:r>
            <w:r w:rsidR="00B74A41">
              <w:rPr>
                <w:rFonts w:ascii="Calibri" w:eastAsia="Times New Roman" w:hAnsi="Calibri" w:cs="Calibri"/>
                <w:color w:val="000000"/>
                <w:lang w:eastAsia="zh-CN"/>
              </w:rPr>
              <w:t>TRL</w:t>
            </w:r>
          </w:p>
        </w:tc>
        <w:tc>
          <w:tcPr>
            <w:tcW w:w="1256" w:type="dxa"/>
            <w:tcBorders>
              <w:top w:val="nil"/>
              <w:left w:val="nil"/>
              <w:bottom w:val="nil"/>
              <w:right w:val="nil"/>
            </w:tcBorders>
            <w:shd w:val="clear" w:color="auto" w:fill="auto"/>
            <w:noWrap/>
            <w:vAlign w:val="center"/>
            <w:hideMark/>
          </w:tcPr>
          <w:p w14:paraId="6E8F24CE"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0483D97E"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513B648E"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1.26E-06</w:t>
            </w:r>
          </w:p>
        </w:tc>
        <w:tc>
          <w:tcPr>
            <w:tcW w:w="1381" w:type="dxa"/>
            <w:tcBorders>
              <w:top w:val="nil"/>
              <w:left w:val="nil"/>
              <w:bottom w:val="nil"/>
              <w:right w:val="nil"/>
            </w:tcBorders>
            <w:shd w:val="clear" w:color="auto" w:fill="auto"/>
            <w:noWrap/>
            <w:vAlign w:val="center"/>
            <w:hideMark/>
          </w:tcPr>
          <w:p w14:paraId="6E8D74C0"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center"/>
            <w:hideMark/>
          </w:tcPr>
          <w:p w14:paraId="43C4C96F"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6F707F83"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center"/>
            <w:hideMark/>
          </w:tcPr>
          <w:p w14:paraId="49D8BCC6"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1ACEDF42" w14:textId="1F4C9E58"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{"citationID":"IwQzaRBv","properties":{"formattedCitation":"\\super 5\\nosupersub{}","plainCitation":"5","noteIndex":0},"citationItems":[{"id":53,"uris":["http://zotero.org/users/local/JrzyeY6I/items/AUJR7F9H"],"itemData":{"id":53,"type":"article-journal","abstract":"Schizophrenia and bipolar disorder are two distinct diagnoses that share symptomology. Understanding the genetic factors contributing to the shared and disorder-specific symptoms will be crucial for improving diagnosis and treatment. In genetic data consisting of 53,555 cases (20,129 bipolar disorder [BD], 33,426 schizophrenia [SCZ]) and 54,065 controls, we identified 114 genome-wide significant loci implicating synaptic and neuronal pathways shared between disorders. Comparing SCZ to BD (23,585 SCZ, 15,270 BD) identified four genomic regions including one with disorder-independent causal variants and potassium ion response genes as contributing to differences in biology between the disorders. Polygenic risk score (PRS) analyses identified several significant correlations within case-only phenotypes including SCZ PRS with psychotic features and age of onset in BD. For the first time, we discover specific loci that distinguish between BD and SCZ and identify polygenic components underlying multiple symptom dimensions. These results point to the utility of genetics to inform symptomology and potential treatment.","container-title":"Cell","DOI":"10.1016/j.cell.2018.05.046","ISSN":"1097-4172","issue":"7","journalAbbreviation":"Cell","language":"eng","note":"number: 7\nPMID: 29906448","page":"1705-1715.e16","source":"PubMed","title":"Genomic Dissection of Bipolar Disorder and Schizophrenia, Including 28 Subphenotypes","volume":"173","author":[{"literal":"Bipolar Disorder and Schizophrenia Working Group of the Psychiatric Genomics Consortium. Electronic address: douglas.ruderfer@vanderbilt.edu"},{"literal":"Bipolar Disorder and Schizophrenia Working Group of the Psychiatric Genomics Consortium"}],"issued":{"date-parts":[["2018",6,14]]}}}],"schema":"https://github.com/citation-style-language/schema/raw/master/csl-citation.json"}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5</w:t>
            </w:r>
            <w:r>
              <w:rPr>
                <w:rFonts w:ascii="Calibri" w:eastAsia="Times New Roman" w:hAnsi="Calibri" w:cs="Calibri"/>
                <w:lang w:eastAsia="zh-CN"/>
              </w:rPr>
              <w:fldChar w:fldCharType="end"/>
            </w:r>
          </w:p>
        </w:tc>
      </w:tr>
      <w:tr w:rsidR="00D06EC2" w:rsidRPr="00D06EC2" w14:paraId="016526C0" w14:textId="77777777" w:rsidTr="00B74A41">
        <w:trPr>
          <w:trHeight w:val="300"/>
        </w:trPr>
        <w:tc>
          <w:tcPr>
            <w:tcW w:w="2970" w:type="dxa"/>
            <w:tcBorders>
              <w:top w:val="nil"/>
              <w:left w:val="nil"/>
              <w:bottom w:val="nil"/>
              <w:right w:val="nil"/>
            </w:tcBorders>
            <w:shd w:val="clear" w:color="auto" w:fill="auto"/>
            <w:noWrap/>
            <w:vAlign w:val="center"/>
            <w:hideMark/>
          </w:tcPr>
          <w:p w14:paraId="779325DE" w14:textId="1DF0B77D"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B</w:t>
            </w:r>
            <w:r w:rsidR="00B74A41">
              <w:rPr>
                <w:rFonts w:ascii="Calibri" w:eastAsia="Times New Roman" w:hAnsi="Calibri" w:cs="Calibri"/>
                <w:color w:val="000000"/>
                <w:lang w:eastAsia="zh-CN"/>
              </w:rPr>
              <w:t>ipolar</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vs</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C</w:t>
            </w:r>
            <w:r w:rsidR="00B74A41">
              <w:rPr>
                <w:rFonts w:ascii="Calibri" w:eastAsia="Times New Roman" w:hAnsi="Calibri" w:cs="Calibri"/>
                <w:color w:val="000000"/>
                <w:lang w:eastAsia="zh-CN"/>
              </w:rPr>
              <w:t>TRL</w:t>
            </w:r>
          </w:p>
        </w:tc>
        <w:tc>
          <w:tcPr>
            <w:tcW w:w="1256" w:type="dxa"/>
            <w:tcBorders>
              <w:top w:val="nil"/>
              <w:left w:val="nil"/>
              <w:bottom w:val="nil"/>
              <w:right w:val="nil"/>
            </w:tcBorders>
            <w:shd w:val="clear" w:color="auto" w:fill="auto"/>
            <w:noWrap/>
            <w:vAlign w:val="center"/>
            <w:hideMark/>
          </w:tcPr>
          <w:p w14:paraId="6320A0F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75CB41F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11ADDF8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0.0417</w:t>
            </w:r>
          </w:p>
        </w:tc>
        <w:tc>
          <w:tcPr>
            <w:tcW w:w="1381" w:type="dxa"/>
            <w:tcBorders>
              <w:top w:val="nil"/>
              <w:left w:val="nil"/>
              <w:bottom w:val="nil"/>
              <w:right w:val="nil"/>
            </w:tcBorders>
            <w:shd w:val="clear" w:color="auto" w:fill="auto"/>
            <w:noWrap/>
            <w:vAlign w:val="bottom"/>
            <w:hideMark/>
          </w:tcPr>
          <w:p w14:paraId="5665B06F"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center"/>
            <w:hideMark/>
          </w:tcPr>
          <w:p w14:paraId="162E8378"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117650B6"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center"/>
            <w:hideMark/>
          </w:tcPr>
          <w:p w14:paraId="03031FDA"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29E9977C" w14:textId="440EBCF4"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{"citationID":"8PLii7q0","properties":{"formattedCitation":"\\super 5\\nosupersub{}","plainCitation":"5","noteIndex":0},"citationItems":[{"id":53,"uris":["http://zotero.org/users/local/JrzyeY6I/items/AUJR7F9H"],"itemData":{"id":53,"type":"article-journal","abstract":"Schizophrenia and bipolar disorder are two distinct diagnoses that share symptomology. Understanding the genetic factors contributing to the shared and disorder-specific symptoms will be crucial for improving diagnosis and treatment. In genetic data consisting of 53,555 cases (20,129 bipolar disorder [BD], 33,426 schizophrenia [SCZ]) and 54,065 controls, we identified 114 genome-wide significant loci implicating synaptic and neuronal pathways shared between disorders. Comparing SCZ to BD (23,585 SCZ, 15,270 BD) identified four genomic regions including one with disorder-independent causal variants and potassium ion response genes as contributing to differences in biology between the disorders. Polygenic risk score (PRS) analyses identified several significant correlations within case-only phenotypes including SCZ PRS with psychotic features and age of onset in BD. For the first time, we discover specific loci that distinguish between BD and SCZ and identify polygenic components underlying multiple symptom dimensions. These results point to the utility of genetics to inform symptomology and potential treatment.","container-title":"Cell","DOI":"10.1016/j.cell.2018.05.046","ISSN":"1097-4172","issue":"7","journalAbbreviation":"Cell","language":"eng","note":"number: 7\nPMID: 29906448","page":"1705-1715.e16","source":"PubMed","title":"Genomic Dissection of Bipolar Disorder and Schizophrenia, Including 28 Subphenotypes","volume":"173","author":[{"literal":"Bipolar Disorder and Schizophrenia Working Group of the Psychiatric Genomics Consortium. Electronic address: douglas.ruderfer@vanderbilt.edu"},{"literal":"Bipolar Disorder and Schizophrenia Working Group of the Psychiatric Genomics Consortium"}],"issued":{"date-parts":[["2018",6,14]]}}}],"schema":"https://github.com/citation-style-language/schema/raw/master/csl-citation.json"}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5</w:t>
            </w:r>
            <w:r>
              <w:rPr>
                <w:rFonts w:ascii="Calibri" w:eastAsia="Times New Roman" w:hAnsi="Calibri" w:cs="Calibri"/>
                <w:lang w:eastAsia="zh-CN"/>
              </w:rPr>
              <w:fldChar w:fldCharType="end"/>
            </w:r>
          </w:p>
        </w:tc>
      </w:tr>
      <w:tr w:rsidR="00D06EC2" w:rsidRPr="00D06EC2" w14:paraId="6BF907A1" w14:textId="77777777" w:rsidTr="00B74A41">
        <w:trPr>
          <w:trHeight w:val="300"/>
        </w:trPr>
        <w:tc>
          <w:tcPr>
            <w:tcW w:w="2970" w:type="dxa"/>
            <w:tcBorders>
              <w:top w:val="nil"/>
              <w:left w:val="nil"/>
              <w:bottom w:val="nil"/>
              <w:right w:val="nil"/>
            </w:tcBorders>
            <w:shd w:val="clear" w:color="auto" w:fill="auto"/>
            <w:noWrap/>
            <w:vAlign w:val="center"/>
            <w:hideMark/>
          </w:tcPr>
          <w:p w14:paraId="208C4ECC" w14:textId="0551A137" w:rsidR="00D06EC2" w:rsidRPr="00D06EC2" w:rsidRDefault="00B74A41"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Body mass index</w:t>
            </w:r>
          </w:p>
        </w:tc>
        <w:tc>
          <w:tcPr>
            <w:tcW w:w="1256" w:type="dxa"/>
            <w:tcBorders>
              <w:top w:val="nil"/>
              <w:left w:val="nil"/>
              <w:bottom w:val="nil"/>
              <w:right w:val="nil"/>
            </w:tcBorders>
            <w:shd w:val="clear" w:color="auto" w:fill="auto"/>
            <w:noWrap/>
            <w:vAlign w:val="center"/>
            <w:hideMark/>
          </w:tcPr>
          <w:p w14:paraId="41B7A0AE"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0.0153</w:t>
            </w:r>
          </w:p>
        </w:tc>
        <w:tc>
          <w:tcPr>
            <w:tcW w:w="1256" w:type="dxa"/>
            <w:tcBorders>
              <w:top w:val="nil"/>
              <w:left w:val="nil"/>
              <w:bottom w:val="nil"/>
              <w:right w:val="nil"/>
            </w:tcBorders>
            <w:shd w:val="clear" w:color="auto" w:fill="auto"/>
            <w:noWrap/>
            <w:vAlign w:val="center"/>
            <w:hideMark/>
          </w:tcPr>
          <w:p w14:paraId="3C9C1DDF"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0.0012</w:t>
            </w:r>
          </w:p>
        </w:tc>
        <w:tc>
          <w:tcPr>
            <w:tcW w:w="1256" w:type="dxa"/>
            <w:tcBorders>
              <w:top w:val="nil"/>
              <w:left w:val="nil"/>
              <w:bottom w:val="nil"/>
              <w:right w:val="nil"/>
            </w:tcBorders>
            <w:shd w:val="clear" w:color="auto" w:fill="auto"/>
            <w:noWrap/>
            <w:vAlign w:val="center"/>
            <w:hideMark/>
          </w:tcPr>
          <w:p w14:paraId="4C32D053"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0.5306</w:t>
            </w:r>
          </w:p>
        </w:tc>
        <w:tc>
          <w:tcPr>
            <w:tcW w:w="1381" w:type="dxa"/>
            <w:tcBorders>
              <w:top w:val="nil"/>
              <w:left w:val="nil"/>
              <w:bottom w:val="nil"/>
              <w:right w:val="nil"/>
            </w:tcBorders>
            <w:shd w:val="clear" w:color="auto" w:fill="auto"/>
            <w:noWrap/>
            <w:vAlign w:val="bottom"/>
            <w:hideMark/>
          </w:tcPr>
          <w:p w14:paraId="546ED199"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3A6BC56E"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381E78C"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99CD6D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vAlign w:val="center"/>
            <w:hideMark/>
          </w:tcPr>
          <w:p w14:paraId="50EB3FBD" w14:textId="44C9CCD0" w:rsidR="00D06EC2" w:rsidRPr="00D06EC2" w:rsidRDefault="00575D8A"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{"citationID":"ydf6wUqs","properties":{"formattedCitation":"\\super 6\\nosupersub{}","plainCitation":"6","noteIndex":0},"citationItems":[{"id":1419,"uris":["http://zotero.org/users/local/JrzyeY6I/items/C8WVHP5L"],"itemData":{"id":1419,"type":"article-journal","abstract":"Physical activity (PA) may modify the genetic effects that give rise to increased risk of obesity. To identify adiposity loci whose effects are modified by PA, we performed genome-wide interaction meta-analyses of BMI and BMI-adjusted waist circumference and waist-hip ratio from up to 200,452 adults of European (n = 180,423) or other ancestry (n = 20,029). We standardized PA by categorizing it into a dichotomous variable where, on average, 23% of participants were categorized as inactive and 77% as physically active. While we replicate the interaction with PA for the strongest known obesity-risk locus in the FTO gene, of which the effect is attenuated by ~30% in physically active individuals compared to inactive individuals, we do not identify additional loci that are sensitive to PA. In additional genome-wide meta-analyses adjusting for PA and interaction with PA, we identify 11 novel adiposity loci, suggesting that accounting for PA or other environmental factors that contribute to variation in adiposity may facilitate gene discovery.","container-title":"PLoS genetics","DOI":"10.1371/journal.pgen.1006528","ISSN":"1553-7404","issue":"4","journalAbbreviation":"PLoS Genet","language":"eng","note":"PMID: 28448500\nPMCID: PMC5407576","page":"e1006528","source":"PubMed","title":"Genome-wide physical activity interactions in adiposity - A meta-analysis of 200,452 adults","volume":"13","author":[{"family":"Graff","given":"Mariaelisa"},{"family":"Scott","given":"Robert A."},{"family":"Justice","given":"Anne E."},{"family":"Young","given":"Kristin L."},{"family":"Feitosa","given":"Mary F."},{"family":"Barata","given":"Llilda"},{"family":"Winkler","given":"Thomas W."},{"family":"Chu","given":"Audrey Y."},{"family":"Mahajan","given":"Anubha"},{"family":"Hadley","given":"David"},{"family":"Xue","given":"Luting"},{"family":"Workalemahu","given":"Tsegaselassie"},{"family":"Heard-Costa","given":"Nancy L."},{"family":"Hoed","given":"Marcel","non-dropping-particle":"den"},{"family":"Ahluwalia","given":"Tarunveer S."},{"family":"Qi","given":"Qibin"},{"family":"Ngwa","given":"Julius S."},{"family":"Renström","given":"Frida"},{"family":"Quaye","given":"Lydia"},{"family":"Eicher","given":"John D."},{"family":"Hayes","given":"James E."},{"family":"Cornelis","given":"Marilyn"},{"family":"Kutalik","given":"Zoltan"},{"family":"Lim","given":"Elise"},{"family":"Luan","given":"Jian'an"},{"family":"Huffman","given":"Jennifer E."},{"family":"Zhang","given":"Weihua"},{"family":"Zhao","given":"Wei"},{"family":"Griffin","given":"Paula J."},{"family":"Haller","given":"Toomas"},{"family":"Ahmad","given":"Shafqat"},{"family":"Marques-Vidal","given":"Pedro M."},{"family":"Bien","given":"Stephanie"},{"family":"Yengo","given":"Loic"},{"family":"Teumer","given":"Alexander"},{"family":"Smith","given":"Albert Vernon"},{"family":"Kumari","given":"Meena"},{"family":"Harder","given":"Marie Neergaard"},{"family":"Justesen","given":"Johanne Marie"},{"family":"Kleber","given":"Marcus E."},{"family":"Hollensted","given":"Mette"},{"family":"Lohman","given":"Kurt"},{"family":"Rivera","given":"Natalia V."},{"family":"Whitfield","given":"John B."},{"family":"Zhao","given":"Jing Hua"},{"family":"Stringham","given":"Heather M."},{"family":"Lyytikäinen","given":"Leo-Pekka"},{"family":"Huppertz","given":"Charlotte"},{"family":"Willemsen","given":"Gonneke"},{"family":"Peyrot","given":"Wouter J."},{"family":"Wu","given":"Ying"},{"family":"Kristiansson","given":"Kati"},{"family":"Demirkan","given":"Ayse"},{"family":"Fornage","given":"Myriam"},{"family":"Hassinen","given":"Maija"},{"family":"Bielak","given":"Lawrence F."},{"family":"Cadby","given":"Gemma"},{"family":"Tanaka","given":"Toshiko"},{"family":"Mägi","given":"Reedik"},{"family":"Most","given":"Peter J.","non-dropping-particle":"van der"},{"family":"Jackson","given":"Anne U."},{"family":"Bragg-Gresham","given":"Jennifer L."},{"family":"Vitart","given":"Veronique"},{"family":"Marten","given":"Jonathan"},{"family":"Navarro","given":"Pau"},{"family":"Bellis","given":"Claire"},{"family":"Pasko","given":"Dorota"},{"family":"Johansson","given":"Åsa"},{"family":"Snitker","given":"Søren"},{"family":"Cheng","given":"Yu-Ching"},{"family":"Eriksson","given":"Joel"},{"family":"Lim","given":"Unhee"},{"family":"Aadahl","given":"Mette"},{"family":"Adair","given":"Linda S."},{"family":"Amin","given":"Najaf"},{"family":"Balkau","given":"Beverley"},{"family":"Auvinen","given":"Juha"},{"family":"Beilby","given":"John"},{"family":"Bergman","given":"Richard N."},{"family":"Bergmann","given":"Sven"},{"family":"Bertoni","given":"Alain G."},{"family":"Blangero","given":"John"},{"family":"Bonnefond","given":"Amélie"},{"family":"Bonnycastle","given":"Lori L."},{"family":"Borja","given":"Judith B."},{"family":"Brage","given":"Søren"},{"family":"Busonero","given":"Fabio"},{"family":"Buyske","given":"Steve"},{"family":"Campbell","given":"Harry"},{"family":"Chines","given":"Peter S."},{"family":"Collins","given":"Francis S."},{"family":"Corre","given":"Tanguy"},{"family":"Smith","given":"George Davey"},{"family":"Delgado","given":"Graciela E."},{"family":"Dueker","given":"Nicole"},{"family":"Dörr","given":"Marcus"},{"family":"Ebeling","given":"Tapani"},{"family":"Eiriksdottir","given":"Gudny"},{"family":"Esko","given":"Tõnu"},{"family":"Faul","given":"Jessica D."},{"family":"Fu","given":"Mao"},{"family":"Færch","given":"Kristine"},{"family":"Gieger","given":"Christian"},{"family":"Gläser","given":"Sven"},{"family":"Gong","given":"Jian"},{"family":"Gordon-Larsen","given":"Penny"},{"family":"Grallert","given":"Harald"},{"family":"Grammer","given":"Tanja B."},{"family":"Grarup","given":"Niels"},{"family":"Grootheest","given":"Gerard","non-dropping-particle":"van"},{"family":"Harald","given":"Kennet"},{"family":"Hastie","given":"Nicholas D."},{"family":"Havulinna","given":"Aki S."},{"family":"Hernandez","given":"Dena"},{"family":"Hindorff","given":"Lucia"},{"family":"Hocking","given":"Lynne J."},{"family":"Holmens","given":"Oddgeir L."},{"family":"Holzapfel","given":"Christina"},{"family":"Hottenga","given":"Jouke Jan"},{"family":"Huang","given":"Jie"},{"family":"Huang","given":"Tao"},{"family":"Hui","given":"Jennie"},{"family":"Huth","given":"Cornelia"},{"family":"Hutri-Kähönen","given":"Nina"},{"family":"James","given":"Alan L."},{"family":"Jansson","given":"John-Olov"},{"family":"Jhun","given":"Min A."},{"family":"Juonala","given":"Markus"},{"family":"Kinnunen","given":"Leena"},{"family":"Koistinen","given":"Heikki A."},{"family":"Kolcic","given":"Ivana"},{"family":"Komulainen","given":"Pirjo"},{"family":"Kuusisto","given":"Johanna"},{"family":"Kvaløy","given":"Kirsti"},{"family":"Kähönen","given":"Mika"},{"family":"Lakka","given":"Timo A."},{"family":"Launer","given":"Lenore J."},{"family":"Lehne","given":"Benjamin"},{"family":"Lindgren","given":"Cecilia M."},{"family":"Lorentzon","given":"Mattias"},{"family":"Luben","given":"Robert"},{"family":"Marre","given":"Michel"},{"family":"Milaneschi","given":"Yuri"},{"family":"Monda","given":"Keri L."},{"family":"Montgomery","given":"Grant W."},{"family":"De Moor","given":"Marleen H. M."},{"family":"Mulas","given":"Antonella"},{"family":"Müller-Nurasyid","given":"Martina"},{"family":"Musk","given":"A. W."},{"family":"Männikkö","given":"Reija"},{"family":"Männistö","given":"Satu"},{"family":"Narisu","given":"Narisu"},{"family":"Nauck","given":"Matthias"},{"family":"Nettleton","given":"Jennifer A."},{"family":"Nolte","given":"Ilja M."},{"family":"Oldehinkel","given":"Albertine J."},{"family":"Olden","given":"Matthias"},{"family":"Ong","given":"Ken K."},{"family":"Padmanabhan","given":"Sandosh"},{"family":"Paternoster","given":"Lavinia"},{"family":"Perez","given":"Jeremiah"},{"family":"Perola","given":"Markus"},{"family":"Peters","given":"Annette"},{"family":"Peters","given":"Ulrike"},{"family":"Peyser","given":"Patricia A."},{"family":"Prokopenko","given":"Inga"},{"family":"Puolijoki","given":"Hannu"},{"family":"Raitakari","given":"Olli T."},{"family":"Rankinen","given":"Tuomo"},{"family":"Rasmussen-Torvik","given":"Laura J."},{"family":"Rawal","given":"Rajesh"},{"family":"Ridker","given":"Paul M."},{"family":"Rose","given":"Lynda M."},{"family":"Rudan","given":"Igor"},{"family":"Sarti","given":"Cinzia"},{"family":"Sarzynski","given":"Mark A."},{"family":"Savonen","given":"Kai"},{"family":"Scott","given":"William R."},{"family":"Sanna","given":"Serena"},{"family":"Shuldiner","given":"Alan R."},{"family":"Sidney","given":"Steve"},{"family":"Silbernagel","given":"Günther"},{"family":"Smith","given":"Blair H."},{"family":"Smith","given":"Jennifer A."},{"family":"Snieder","given":"Harold"},{"family":"Stančáková","given":"Alena"},{"family":"Sternfeld","given":"Barbara"},{"family":"Swift","given":"Amy J."},{"family":"Tammelin","given":"Tuija"},{"family":"Tan","given":"Sian-Tsung"},{"family":"Thorand","given":"Barbara"},{"family":"Thuillier","given":"Dorothée"},{"family":"Vandenput","given":"Liesbeth"},{"family":"Vestergaard","given":"Henrik"},{"family":"Vliet-Ostaptchouk","given":"Jana V.","non-dropping-particle":"van"},{"family":"Vohl","given":"Marie-Claude"},{"family":"Völker","given":"Uwe"},{"family":"Waeber","given":"Gérard"},{"family":"Walker","given":"Mark"},{"family":"Wild","given":"Sarah"},{"family":"Wong","given":"Andrew"},{"family":"Wright","given":"Alan F."},{"family":"Zillikens","given":"M. Carola"},{"family":"Zubair","given":"Niha"},{"family":"Haiman","given":"Christopher A."},{"family":"Lemarchand","given":"Loic"},{"family":"Gyllensten","given":"Ulf"},{"family":"Ohlsson","given":"Claes"},{"family":"Hofman","given":"Albert"},{"family":"Rivadeneira","given":"Fernando"},{"family":"Uitterlinden","given":"André G."},{"family":"Pérusse","given":"Louis"},{"family":"Wilson","given":"James F."},{"family":"Hayward","given":"Caroline"},{"family":"Polasek","given":"Ozren"},{"family":"Cucca","given":"Francesco"},{"family":"Hveem","given":"Kristian"},{"family":"Hartman","given":"Catharina A."},{"family":"Tönjes","given":"Anke"},{"family":"Bandinelli","given":"Stefania"},{"family":"Palmer","given":"Lyle J."},{"family":"Kardia","given":"Sharon L. R."},{"family":"Rauramaa","given":"Rainer"},{"family":"Sørensen","given":"Thorkild I. A."},{"family":"Tuomilehto","given":"Jaakko"},{"family":"Salomaa","given":"Veikko"},{"family":"Penninx","given":"Brenda W. J. H."},{"family":"Geus","given":"Eco J. C.","non-dropping-particle":"de"},{"family":"Boomsma","given":"Dorret I."},{"family":"Lehtimäki","given":"Terho"},{"family":"Mangino","given":"Massimo"},{"family":"Laakso","given":"Markku"},{"family":"Bouchard","given":"Claude"},{"family":"Martin","given":"Nicholas G."},{"family":"Kuh","given":"Diana"},{"family":"Liu","given":"Yongmei"},{"family":"Linneberg","given":"Allan"},{"family":"März","given":"Winfried"},{"family":"Strauch","given":"Konstantin"},{"family":"Kivimäki","given":"Mika"},{"family":"Harris","given":"Tamara B."},{"family":"Gudnason","given":"Vilmundur"},{"family":"Völzke","given":"Henry"},{"family":"Qi","given":"Lu"},{"family":"Järvelin","given":"Marjo-Riitta"},{"family":"Chambers","given":"John C."},{"family":"Kooner","given":"Jaspal S."},{"family":"Froguel","given":"Philippe"},{"family":"Kooperberg","given":"Charles"},{"family":"Vollenweider","given":"Peter"},{"family":"Hallmans","given":"Göran"},{"family":"Hansen","given":"Torben"},{"family":"Pedersen","given":"Oluf"},{"family":"Metspalu","given":"Andres"},{"family":"Wareham","given":"Nicholas J."},{"family":"Langenberg","given":"Claudia"},{"family":"Weir","given":"David R."},{"family":"Porteous","given":"David J."},{"family":"Boerwinkle","given":"Eric"},{"family":"Chasman","given":"Daniel I."},{"literal":"CHARGE Consortium"},{"literal":"EPIC-InterAct Consortium"},{"literal":"PAGE Consortium"},{"family":"Abecasis","given":"Gonçalo R."},{"family":"Barroso","given":"Inês"},{"family":"McCarthy","given":"Mark I."},{"family":"Frayling","given":"Timothy M."},{"family":"O'Connell","given":"Jeffrey R."},{"family":"Duijn","given":"Cornelia M.","non-dropping-particle":"van"},{"family":"Boehnke","given":"Michael"},{"family":"Heid","given":"Iris M."},{"family":"Mohlke","given":"Karen L."},{"family":"Strachan","given":"David P."},{"family":"Fox","given":"Caroline S."},{"family":"Liu","given":"Ching-Ti"},{"family":"Hirschhorn","given":"Joel N."},{"family":"Klein","given":"Robert J."},{"family":"Johnson","given":"Andrew D."},{"family":"Borecki","given":"Ingrid B."},{"family":"Franks","given":"Paul W."},{"family":"North","given":"Kari E."},{"family":"Cupples","given":"L. Adrienne"},{"family":"Loos","given":"Ruth J. F."},{"family":"Kilpeläinen","given":"Tuomas O."}],"issued":{"date-parts":[["2017",4]]}}}],"schema":"https://github.com/citation-style-language/schema/raw/master/csl-citation.json"} </w:instrText>
            </w:r>
            <w:r>
              <w:rPr>
                <w:rFonts w:ascii="Calibri" w:eastAsia="Times New Roman" w:hAnsi="Calibri" w:cs="Calibri"/>
                <w:lang w:eastAsia="zh-CN"/>
              </w:rPr>
              <w:fldChar w:fldCharType="separate"/>
            </w:r>
            <w:r w:rsidRPr="00575D8A">
              <w:rPr>
                <w:rFonts w:ascii="Calibri" w:hAnsi="Calibri" w:cs="Calibri"/>
                <w:szCs w:val="24"/>
                <w:vertAlign w:val="superscript"/>
              </w:rPr>
              <w:t>6</w:t>
            </w:r>
            <w:r>
              <w:rPr>
                <w:rFonts w:ascii="Calibri" w:eastAsia="Times New Roman" w:hAnsi="Calibri" w:cs="Calibri"/>
                <w:lang w:eastAsia="zh-CN"/>
              </w:rPr>
              <w:fldChar w:fldCharType="end"/>
            </w:r>
          </w:p>
        </w:tc>
      </w:tr>
      <w:tr w:rsidR="00D06EC2" w:rsidRPr="00D06EC2" w14:paraId="1034CD66" w14:textId="77777777" w:rsidTr="00B74A41">
        <w:trPr>
          <w:trHeight w:val="300"/>
        </w:trPr>
        <w:tc>
          <w:tcPr>
            <w:tcW w:w="2970" w:type="dxa"/>
            <w:tcBorders>
              <w:top w:val="nil"/>
              <w:left w:val="nil"/>
              <w:bottom w:val="nil"/>
              <w:right w:val="nil"/>
            </w:tcBorders>
            <w:shd w:val="clear" w:color="auto" w:fill="auto"/>
            <w:noWrap/>
            <w:vAlign w:val="center"/>
            <w:hideMark/>
          </w:tcPr>
          <w:p w14:paraId="4BA6A0C0" w14:textId="18F05E61"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C</w:t>
            </w:r>
            <w:r w:rsidR="00B74A41">
              <w:rPr>
                <w:rFonts w:ascii="Calibri" w:eastAsia="Times New Roman" w:hAnsi="Calibri" w:cs="Calibri"/>
                <w:color w:val="000000"/>
                <w:lang w:eastAsia="zh-CN"/>
              </w:rPr>
              <w:t xml:space="preserve">oronary </w:t>
            </w:r>
            <w:r w:rsidRPr="00D06EC2">
              <w:rPr>
                <w:rFonts w:ascii="Calibri" w:eastAsia="Times New Roman" w:hAnsi="Calibri" w:cs="Calibri"/>
                <w:color w:val="000000"/>
                <w:lang w:eastAsia="zh-CN"/>
              </w:rPr>
              <w:t>A</w:t>
            </w:r>
            <w:r w:rsidR="00B74A41">
              <w:rPr>
                <w:rFonts w:ascii="Calibri" w:eastAsia="Times New Roman" w:hAnsi="Calibri" w:cs="Calibri"/>
                <w:color w:val="000000"/>
                <w:lang w:eastAsia="zh-CN"/>
              </w:rPr>
              <w:t xml:space="preserve">rtery </w:t>
            </w:r>
            <w:r w:rsidRPr="00D06EC2">
              <w:rPr>
                <w:rFonts w:ascii="Calibri" w:eastAsia="Times New Roman" w:hAnsi="Calibri" w:cs="Calibri"/>
                <w:color w:val="000000"/>
                <w:lang w:eastAsia="zh-CN"/>
              </w:rPr>
              <w:t>D</w:t>
            </w:r>
            <w:r w:rsidR="00B74A41">
              <w:rPr>
                <w:rFonts w:ascii="Calibri" w:eastAsia="Times New Roman" w:hAnsi="Calibri" w:cs="Calibri"/>
                <w:color w:val="000000"/>
                <w:lang w:eastAsia="zh-CN"/>
              </w:rPr>
              <w:t>isease</w:t>
            </w:r>
          </w:p>
        </w:tc>
        <w:tc>
          <w:tcPr>
            <w:tcW w:w="1256" w:type="dxa"/>
            <w:tcBorders>
              <w:top w:val="nil"/>
              <w:left w:val="nil"/>
              <w:bottom w:val="nil"/>
              <w:right w:val="nil"/>
            </w:tcBorders>
            <w:shd w:val="clear" w:color="auto" w:fill="auto"/>
            <w:noWrap/>
            <w:vAlign w:val="center"/>
            <w:hideMark/>
          </w:tcPr>
          <w:p w14:paraId="5271C9EE"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3.21E-12</w:t>
            </w:r>
          </w:p>
        </w:tc>
        <w:tc>
          <w:tcPr>
            <w:tcW w:w="1256" w:type="dxa"/>
            <w:tcBorders>
              <w:top w:val="nil"/>
              <w:left w:val="nil"/>
              <w:bottom w:val="nil"/>
              <w:right w:val="nil"/>
            </w:tcBorders>
            <w:shd w:val="clear" w:color="auto" w:fill="auto"/>
            <w:noWrap/>
            <w:vAlign w:val="center"/>
            <w:hideMark/>
          </w:tcPr>
          <w:p w14:paraId="725C83AD"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8.77E-67</w:t>
            </w:r>
          </w:p>
        </w:tc>
        <w:tc>
          <w:tcPr>
            <w:tcW w:w="1256" w:type="dxa"/>
            <w:tcBorders>
              <w:top w:val="nil"/>
              <w:left w:val="nil"/>
              <w:bottom w:val="nil"/>
              <w:right w:val="nil"/>
            </w:tcBorders>
            <w:shd w:val="clear" w:color="auto" w:fill="auto"/>
            <w:noWrap/>
            <w:vAlign w:val="center"/>
            <w:hideMark/>
          </w:tcPr>
          <w:p w14:paraId="62348A58"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0.2046</w:t>
            </w:r>
          </w:p>
        </w:tc>
        <w:tc>
          <w:tcPr>
            <w:tcW w:w="1381" w:type="dxa"/>
            <w:tcBorders>
              <w:top w:val="nil"/>
              <w:left w:val="nil"/>
              <w:bottom w:val="nil"/>
              <w:right w:val="nil"/>
            </w:tcBorders>
            <w:shd w:val="clear" w:color="auto" w:fill="auto"/>
            <w:noWrap/>
            <w:vAlign w:val="bottom"/>
            <w:hideMark/>
          </w:tcPr>
          <w:p w14:paraId="14AC2D9C"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2C5E72C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E65B2C7"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E88538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2EF88C8D" w14:textId="68BD5E7B" w:rsidR="00D06EC2" w:rsidRPr="00D06EC2" w:rsidRDefault="0092085C"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{"citationID":"x9AkPcPH","properties":{"formattedCitation":"\\super 7\\nosupersub{}","plainCitation":"7","noteIndex":0},"citationItems":[{"id":1422,"uris":["http://zotero.org/users/local/JrzyeY6I/items/YZ25MKGZ"],"itemData":{"id":1422,"type":"article-journal","abstract":"Existing knowledge of genetic variants affecting risk of coronary artery disease (CAD) is largely based on genome-wide association study (GWAS) analysis of common SNPs. Leveraging phased haplotypes from the 1000 Genomes Project, we report a GWAS meta-analysis of </w:instrText>
            </w:r>
            <w:r>
              <w:rPr>
                <w:rFonts w:ascii="Cambria Math" w:eastAsia="Times New Roman" w:hAnsi="Cambria Math" w:cs="Cambria Math"/>
                <w:lang w:eastAsia="zh-CN"/>
              </w:rPr>
              <w:instrText>∼</w:instrText>
            </w:r>
            <w:r>
              <w:rPr>
                <w:rFonts w:ascii="Calibri" w:eastAsia="Times New Roman" w:hAnsi="Calibri" w:cs="Calibri"/>
                <w:lang w:eastAsia="zh-CN"/>
              </w:rPr>
              <w:instrText xml:space="preserve">185,000 CAD cases and controls, interrogating 6.7 million common (minor allele frequency (MAF) &gt; 0.05) and 2.7 million low-frequency (0.005 &lt; MAF &lt; 0.05) variants. In addition to confirming most known CAD-associated loci, we identified ten new loci (eight additive and two recessive) that contain candidate causal genes newly implicating biological processes in vessel walls. We observed intralocus allelic heterogeneity but little evidence of low-frequency variants with larger effects and no evidence of synthetic association. Our analysis provides a comprehensive survey of the fine genetic architecture of CAD, showing that genetic susceptibility to this common disease is largely determined by common SNPs of small effect size.","container-title":"Nature Genetics","DOI":"10.1038/ng.3396","ISSN":"1546-1718","issue":"10","journalAbbreviation":"Nat Genet","language":"eng","note":"PMID: 26343387\nPMCID: PMC4589895","page":"1121-1130","source":"PubMed","title":"A comprehensive 1,000 Genomes-based genome-wide association meta-analysis of coronary artery disease","volume":"47","author":[{"family":"Nikpay","given":"Majid"},{"family":"Goel","given":"Anuj"},{"family":"Won","given":"Hong-Hee"},{"family":"Hall","given":"Leanne M."},{"family":"Willenborg","given":"Christina"},{"family":"Kanoni","given":"Stavroula"},{"family":"Saleheen","given":"Danish"},{"family":"Kyriakou","given":"Theodosios"},{"family":"Nelson","given":"Christopher P."},{"family":"Hopewell","given":"Jemma C."},{"family":"Webb","given":"Thomas R."},{"family":"Zeng","given":"Lingyao"},{"family":"Dehghan","given":"Abbas"},{"family":"Alver","given":"Maris"},{"family":"Armasu","given":"Sebastian M."},{"family":"Auro","given":"Kirsi"},{"family":"Bjonnes","given":"Andrew"},{"family":"Chasman","given":"Daniel I."},{"family":"Chen","given":"Shufeng"},{"family":"Ford","given":"Ian"},{"family":"Franceschini","given":"Nora"},{"family":"Gieger","given":"Christian"},{"family":"Grace","given":"Christopher"},{"family":"Gustafsson","given":"Stefan"},{"family":"Huang","given":"Jie"},{"family":"Hwang","given":"Shih-Jen"},{"family":"Kim","given":"Yun Kyoung"},{"family":"Kleber","given":"Marcus E."},{"family":"Lau","given":"King Wai"},{"family":"Lu","given":"Xiangfeng"},{"family":"Lu","given":"Yingchang"},{"family":"Lyytikäinen","given":"Leo-Pekka"},{"family":"Mihailov","given":"Evelin"},{"family":"Morrison","given":"Alanna C."},{"family":"Pervjakova","given":"Natalia"},{"family":"Qu","given":"Liming"},{"family":"Rose","given":"Lynda M."},{"family":"Salfati","given":"Elias"},{"family":"Saxena","given":"Richa"},{"family":"Scholz","given":"Markus"},{"family":"Smith","given":"Albert V."},{"family":"Tikkanen","given":"Emmi"},{"family":"Uitterlinden","given":"Andre"},{"family":"Yang","given":"Xueli"},{"family":"Zhang","given":"Weihua"},{"family":"Zhao","given":"Wei"},{"family":"Andrade","given":"Mariza","non-dropping-particle":"de"},{"family":"Vries","given":"Paul S.","non-dropping-particle":"de"},{"family":"Zuydam","given":"Natalie R.","non-dropping-particle":"van"},{"family":"Anand","given":"Sonia S."},{"family":"Bertram","given":"Lars"},{"family":"Beutner","given":"Frank"},{"family":"Dedoussis","given":"George"},{"family":"Frossard","given":"Philippe"},{"family":"Gauguier","given":"Dominique"},{"family":"Goodall","given":"Alison H."},{"family":"Gottesman","given":"Omri"},{"family":"Haber","given":"Marc"},{"family":"Han","given":"Bok-Ghee"},{"family":"Huang","given":"Jianfeng"},{"family":"Jalilzadeh","given":"Shapour"},{"family":"Kessler","given":"Thorsten"},{"family":"König","given":"Inke R."},{"family":"Lannfelt","given":"Lars"},{"family":"Lieb","given":"Wolfgang"},{"family":"Lind","given":"Lars"},{"family":"Lindgren","given":"Cecilia M."},{"family":"Lokki","given":"Marja-Liisa"},{"family":"Magnusson","given":"Patrik K."},{"family":"Mallick","given":"Nadeem H."},{"family":"Mehra","given":"Narinder"},{"family":"Meitinger","given":"Thomas"},{"family":"Memon","given":"Fazal-Ur-Rehman"},{"family":"Morris","given":"Andrew P."},{"family":"Nieminen","given":"Markku S."},{"family":"Pedersen","given":"Nancy L."},{"family":"Peters","given":"Annette"},{"family":"Rallidis","given":"Loukianos S."},{"family":"Rasheed","given":"Asif"},{"family":"Samuel","given":"Maria"},{"family":"Shah","given":"Svati H."},{"family":"Sinisalo","given":"Juha"},{"family":"Stirrups","given":"Kathleen E."},{"family":"Trompet","given":"Stella"},{"family":"Wang","given":"Laiyuan"},{"family":"Zaman","given":"Khan S."},{"family":"Ardissino","given":"Diego"},{"family":"Boerwinkle","given":"Eric"},{"family":"Borecki","given":"Ingrid B."},{"family":"Bottinger","given":"Erwin P."},{"family":"Buring","given":"Julie E."},{"family":"Chambers","given":"John C."},{"family":"Collins","given":"Rory"},{"family":"Cupples","given":"L. Adrienne"},{"family":"Danesh","given":"John"},{"family":"Demuth","given":"Ilja"},{"family":"Elosua","given":"Roberto"},{"family":"Epstein","given":"Stephen E."},{"family":"Esko","given":"Tõnu"},{"family":"Feitosa","given":"Mary F."},{"family":"Franco","given":"Oscar H."},{"family":"Franzosi","given":"Maria Grazia"},{"family":"Granger","given":"Christopher B."},{"family":"Gu","given":"Dongfeng"},{"family":"Gudnason","given":"Vilmundur"},{"family":"Hall","given":"Alistair S."},{"family":"Hamsten","given":"Anders"},{"family":"Harris","given":"Tamara B."},{"family":"Hazen","given":"Stanley L."},{"family":"Hengstenberg","given":"Christian"},{"family":"Hofman","given":"Albert"},{"family":"Ingelsson","given":"Erik"},{"family":"Iribarren","given":"Carlos"},{"family":"Jukema","given":"J. Wouter"},{"family":"Karhunen","given":"Pekka J."},{"family":"Kim","given":"Bong-Jo"},{"family":"Kooner","given":"Jaspal S."},{"family":"Kullo","given":"Iftikhar J."},{"family":"Lehtimäki","given":"Terho"},{"family":"Loos","given":"Ruth J. F."},{"family":"Melander","given":"Olle"},{"family":"Metspalu","given":"Andres"},{"family":"März","given":"Winfried"},{"family":"Palmer","given":"Colin N."},{"family":"Perola","given":"Markus"},{"family":"Quertermous","given":"Thomas"},{"family":"Rader","given":"Daniel J."},{"family":"Ridker","given":"Paul M."},{"family":"Ripatti","given":"Samuli"},{"family":"Roberts","given":"Robert"},{"family":"Salomaa","given":"Veikko"},{"family":"Sanghera","given":"Dharambir K."},{"family":"Schwartz","given":"Stephen M."},{"family":"Seedorf","given":"Udo"},{"family":"Stewart","given":"Alexandre F."},{"family":"Stott","given":"David J."},{"family":"Thiery","given":"Joachim"},{"family":"Zalloua","given":"Pierre A."},{"family":"O'Donnell","given":"Christopher J."},{"family":"Reilly","given":"Muredach P."},{"family":"Assimes","given":"Themistocles L."},{"family":"Thompson","given":"John R."},{"family":"Erdmann","given":"Jeanette"},{"family":"Clarke","given":"Robert"},{"family":"Watkins","given":"Hugh"},{"family":"Kathiresan","given":"Sekar"},{"family":"McPherson","given":"Ruth"},{"family":"Deloukas","given":"Panos"},{"family":"Schunkert","given":"Heribert"},{"family":"Samani","given":"Nilesh J."},{"family":"Farrall","given":"Martin"}],"issued":{"date-parts":[["2015",10]]}}}],"schema":"https://github.com/citation-style-language/schema/raw/master/csl-citation.json"} </w:instrText>
            </w:r>
            <w:r>
              <w:rPr>
                <w:rFonts w:ascii="Calibri" w:eastAsia="Times New Roman" w:hAnsi="Calibri" w:cs="Calibri"/>
                <w:lang w:eastAsia="zh-CN"/>
              </w:rPr>
              <w:fldChar w:fldCharType="separate"/>
            </w:r>
            <w:r w:rsidRPr="0092085C">
              <w:rPr>
                <w:rFonts w:ascii="Calibri" w:hAnsi="Calibri" w:cs="Calibri"/>
                <w:szCs w:val="24"/>
                <w:vertAlign w:val="superscript"/>
              </w:rPr>
              <w:t>7</w:t>
            </w:r>
            <w:r>
              <w:rPr>
                <w:rFonts w:ascii="Calibri" w:eastAsia="Times New Roman" w:hAnsi="Calibri" w:cs="Calibri"/>
                <w:lang w:eastAsia="zh-CN"/>
              </w:rPr>
              <w:fldChar w:fldCharType="end"/>
            </w:r>
          </w:p>
        </w:tc>
      </w:tr>
      <w:tr w:rsidR="00D06EC2" w:rsidRPr="00D06EC2" w14:paraId="0B13D69C" w14:textId="77777777" w:rsidTr="00B74A41">
        <w:trPr>
          <w:trHeight w:val="300"/>
        </w:trPr>
        <w:tc>
          <w:tcPr>
            <w:tcW w:w="2970" w:type="dxa"/>
            <w:tcBorders>
              <w:top w:val="nil"/>
              <w:left w:val="nil"/>
              <w:bottom w:val="nil"/>
              <w:right w:val="nil"/>
            </w:tcBorders>
            <w:shd w:val="clear" w:color="auto" w:fill="auto"/>
            <w:noWrap/>
            <w:vAlign w:val="center"/>
            <w:hideMark/>
          </w:tcPr>
          <w:p w14:paraId="54B8832B" w14:textId="276DF707" w:rsidR="00D06EC2" w:rsidRPr="00D06EC2" w:rsidRDefault="00B74A41"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Cannabis use disorder </w:t>
            </w:r>
            <w:r w:rsidR="00D06EC2" w:rsidRPr="00D06EC2">
              <w:rPr>
                <w:rFonts w:ascii="Calibri" w:eastAsia="Times New Roman" w:hAnsi="Calibri" w:cs="Calibri"/>
                <w:color w:val="000000"/>
                <w:lang w:eastAsia="zh-CN"/>
              </w:rPr>
              <w:t>2020</w:t>
            </w:r>
          </w:p>
        </w:tc>
        <w:tc>
          <w:tcPr>
            <w:tcW w:w="1256" w:type="dxa"/>
            <w:tcBorders>
              <w:top w:val="nil"/>
              <w:left w:val="nil"/>
              <w:bottom w:val="nil"/>
              <w:right w:val="nil"/>
            </w:tcBorders>
            <w:shd w:val="clear" w:color="auto" w:fill="auto"/>
            <w:noWrap/>
            <w:vAlign w:val="center"/>
            <w:hideMark/>
          </w:tcPr>
          <w:p w14:paraId="458CDC8A"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7.11E-26</w:t>
            </w:r>
          </w:p>
        </w:tc>
        <w:tc>
          <w:tcPr>
            <w:tcW w:w="1256" w:type="dxa"/>
            <w:tcBorders>
              <w:top w:val="nil"/>
              <w:left w:val="nil"/>
              <w:bottom w:val="nil"/>
              <w:right w:val="nil"/>
            </w:tcBorders>
            <w:shd w:val="clear" w:color="auto" w:fill="auto"/>
            <w:noWrap/>
            <w:vAlign w:val="center"/>
            <w:hideMark/>
          </w:tcPr>
          <w:p w14:paraId="47F584C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5.85E-06</w:t>
            </w:r>
          </w:p>
        </w:tc>
        <w:tc>
          <w:tcPr>
            <w:tcW w:w="1256" w:type="dxa"/>
            <w:tcBorders>
              <w:top w:val="nil"/>
              <w:left w:val="nil"/>
              <w:bottom w:val="nil"/>
              <w:right w:val="nil"/>
            </w:tcBorders>
            <w:shd w:val="clear" w:color="auto" w:fill="auto"/>
            <w:noWrap/>
            <w:vAlign w:val="center"/>
            <w:hideMark/>
          </w:tcPr>
          <w:p w14:paraId="30F2CC29"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0.0783</w:t>
            </w:r>
          </w:p>
        </w:tc>
        <w:tc>
          <w:tcPr>
            <w:tcW w:w="1381" w:type="dxa"/>
            <w:tcBorders>
              <w:top w:val="nil"/>
              <w:left w:val="nil"/>
              <w:bottom w:val="nil"/>
              <w:right w:val="nil"/>
            </w:tcBorders>
            <w:shd w:val="clear" w:color="auto" w:fill="auto"/>
            <w:noWrap/>
            <w:vAlign w:val="bottom"/>
            <w:hideMark/>
          </w:tcPr>
          <w:p w14:paraId="6D8F17E2"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259434E3"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1BD9EA3"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227BB99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7F8ACE28" w14:textId="5DE93D55" w:rsidR="00D06EC2" w:rsidRPr="00D06EC2" w:rsidRDefault="0092085C"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{"citationID":"wyxUAm0D","properties":{"formattedCitation":"\\super 8\\nosupersub{}","plainCitation":"8","noteIndex":0},"citationItems":[{"id":1425,"uris":["http://zotero.org/users/local/JrzyeY6I/items/IMHPYGKE"],"itemData":{"id":1425,"type":"article-journal","abstract":"BACKGROUND: Variation in liability to cannabis use disorder has a strong genetic component (estimated twin and family heritability about 50-70%) and is associated with negative outcomes, including increased risk of psychopathology. The aim of the study was to conduct a large genome-wide association study (GWAS) to identify novel genetic variants associated with cannabis use disorder.\nMETHODS: To conduct this GWAS meta-analysis of cannabis use disorder and identify associations with genetic loci, we used samples from the Psychiatric Genomics Consortium Substance Use Disorders working group, iPSYCH, and deCODE (20 916 case samples, 363 116 control samples in total), contrasting cannabis use disorder cases with controls. To examine the genetic overlap between cannabis use disorder and 22 traits of interest (chosen because of previously published phenotypic correlations [eg, psychiatric disorders] or hypothesised associations [eg, chronotype] with cannabis use disorder), we used linkage disequilibrium score regression to calculate genetic correlations.\nFINDINGS: We identified two genome-wide significant loci: a novel chromosome 7 locus (FOXP2, lead single-nucleotide polymorphism [SNP] rs7783012; odds ratio [OR] 1·11, 95% CI 1·07-1·15, p=1·84 × 10-9) and the previously identified chromosome 8 locus (near CHRNA2 and EPHX2, lead SNP rs4732724; OR 0·89, 95% CI 0·86-0·93, p=6·46 × 10-9). Cannabis use disorder and cannabis use were genetically correlated (rg 0·50, p=1·50 × 10-21), but they showed significantly different genetic correlations with 12 of the 22 traits we tested, suggesting at least partially different genetic underpinnings of cannabis use and cannabis use disorder. Cannabis use disorder was positively genetically correlated with other psychopathology, including ADHD, major depression, and schizophrenia.\nINTERPRETATION: These findings support the theory that cannabis use disorder has shared genetic liability with other psychopathology, and there is a distinction between genetic liability to cannabis use and cannabis use disorder.\nFUNDING: National Institute of Mental Health; National Institute on Alcohol Abuse and Alcoholism; National Institute on Drug Abuse; Center for Genomics and Personalized Medicine and the Centre for Integrative Sequencing; The European Commission, Horizon 2020; National Institute of Child Health and Human Development; Health Research Council of New Zealand; National Institute on Aging; Wellcome Trust Case Control Consortium; UK Research and Innovation Medical Research Council (UKRI MRC); The Brain &amp; Behavior Research Foundation; National Institute on Deafness and Other Communication Disorders; Substance Abuse and Mental Health Services Administration (SAMHSA); National Institute of Biomedical Imaging and Bioengineering; National Health and Medical Research Council (NHMRC) Australia; Tobacco-Related Disease Research Program of the University of California; Families for Borderline Personality Disorder Research (Beth and Rob Elliott) 2018 NARSAD Young Investigator Grant; The National Child Health Research Foundation (Cure Kids); The Canterbury Medical Research Foundation; The New Zealand Lottery Grants Board; The University of Otago; The Carney Centre for Pharmacogenomics; The James Hume Bequest Fund; National Institutes of Health: Genes, Environment and Health Initiative; National Institutes of Health; National Cancer Institute; The William T Grant Foundation; Australian Research Council; The Virginia Tobacco Settlement Foundation; The VISN 1 and VISN 4 Mental Illness Research, Education, and Clinical Centers of the US Department of Veterans Affairs; The 5th Framework Programme (FP-5) GenomEUtwin Project; The Lundbeck Foundation; NIH-funded Shared Instrumentation Grant S10RR025141; Clinical Translational Sciences Award grants; National Institute of Neurological Disorders and Stroke; National Heart, Lung, and Blood Institute; National Institute of General Medical Sciences.","container-title":"The Lancet. Psychiatry","DOI":"10.1016/S2215-0366(20)30339-4","ISSN":"2215-0374","issue":"12","journalAbbreviation":"Lancet Psychiatry","language":"eng","note":"PMID: 33096046\nPMCID: PMC7674631","page":"1032-1045","source":"PubMed","title":"A large-scale genome-wide association study meta-analysis of cannabis use disorder","volume":"7","author":[{"family":"Johnson","given":"Emma C."},{"family":"Demontis","given":"Ditte"},{"family":"Thorgeirsson","given":"Thorgeir E."},{"family":"Walters","given":"Raymond K."},{"family":"Polimanti","given":"Renato"},{"family":"Hatoum","given":"Alexander S."},{"family":"Sanchez-Roige","given":"Sandra"},{"family":"Paul","given":"Sarah E."},{"family":"Wendt","given":"Frank R."},{"family":"Clarke","given":"Toni-Kim"},{"family":"Lai","given":"Dongbing"},{"family":"Reginsson","given":"Gunnar W."},{"family":"Zhou","given":"Hang"},{"family":"He","given":"June"},{"family":"Baranger","given":"David A. A."},{"family":"Gudbjartsson","given":"Daniel F."},{"family":"Wedow","given":"Robbee"},{"family":"Adkins","given":"Daniel E."},{"family":"Adkins","given":"Amy E."},{"family":"Alexander","given":"Jeffry"},{"family":"Bacanu","given":"Silviu-Alin"},{"family":"Bigdeli","given":"Tim B."},{"family":"Boden","given":"Joseph"},{"family":"Brown","given":"Sandra A."},{"family":"Bucholz","given":"Kathleen K."},{"family":"Bybjerg-Grauholm","given":"Jonas"},{"family":"Corley","given":"Robin P."},{"family":"Degenhardt","given":"Louisa"},{"family":"Dick","given":"Danielle M."},{"family":"Domingue","given":"Benjamin W."},{"family":"Fox","given":"Louis"},{"family":"Goate","given":"Alison M."},{"family":"Gordon","given":"Scott D."},{"family":"Hack","given":"Laura M."},{"family":"Hancock","given":"Dana B."},{"family":"Hartz","given":"Sarah M."},{"family":"Hickie","given":"Ian B."},{"family":"Hougaard","given":"David M."},{"family":"Krauter","given":"Kenneth"},{"family":"Lind","given":"Penelope A."},{"family":"McClintick","given":"Jeanette N."},{"family":"McQueen","given":"Matthew B."},{"family":"Meyers","given":"Jacquelyn L."},{"family":"Montgomery","given":"Grant W."},{"family":"Mors","given":"Ole"},{"family":"Mortensen","given":"Preben B."},{"family":"Nordentoft","given":"Merete"},{"family":"Pearson","given":"John F."},{"family":"Peterson","given":"Roseann E."},{"family":"Reynolds","given":"Maureen D."},{"family":"Rice","given":"John P."},{"family":"Runarsdottir","given":"Valgerdur"},{"family":"Saccone","given":"Nancy L."},{"family":"Sherva","given":"Richard"},{"family":"Silberg","given":"Judy L."},{"family":"Tarter","given":"Ralph E."},{"family":"Tyrfingsson","given":"Thorarinn"},{"family":"Wall","given":"Tamara L."},{"family":"Webb","given":"Bradley T."},{"family":"Werge","given":"Thomas"},{"family":"Wetherill","given":"Leah"},{"family":"Wright","given":"Margaret J."},{"family":"Zellers","given":"Stephanie"},{"family":"Adams","given":"Mark J."},{"family":"Bierut","given":"Laura J."},{"family":"Boardman","given":"Jason D."},{"family":"Copeland","given":"William E."},{"family":"Farrer","given":"Lindsay A."},{"family":"Foroud","given":"Tatiana M."},{"family":"Gillespie","given":"Nathan A."},{"family":"Grucza","given":"Richard A."},{"family":"Harris","given":"Kathleen Mullan"},{"family":"Heath","given":"Andrew C."},{"family":"Hesselbrock","given":"Victor"},{"family":"Hewitt","given":"John K."},{"family":"Hopfer","given":"Christian J."},{"family":"Horwood","given":"John"},{"family":"Iacono","given":"William G."},{"family":"Johnson","given":"Eric O."},{"family":"Kendler","given":"Kenneth S."},{"family":"Kennedy","given":"Martin A."},{"family":"Kranzler","given":"Henry R."},{"family":"Madden","given":"Pamela A. F."},{"family":"Maes","given":"Hermine H."},{"family":"Maher","given":"Brion S."},{"family":"Martin","given":"Nicholas G."},{"family":"McGue","given":"Matthew"},{"family":"McIntosh","given":"Andrew M."},{"family":"Medland","given":"Sarah E."},{"family":"Nelson","given":"Elliot C."},{"family":"Porjesz","given":"Bernice"},{"family":"Riley","given":"Brien P."},{"family":"Stallings","given":"Michael C."},{"family":"Vanyukov","given":"Michael M."},{"family":"Vrieze","given":"Scott"},{"literal":"Psychiatric Genomics Consortium Substance Use Disorders Workgroup"},{"family":"Davis","given":"Lea K."},{"family":"Bogdan","given":"Ryan"},{"family":"Gelernter","given":"Joel"},{"family":"Edenberg","given":"Howard J."},{"family":"Stefansson","given":"Kari"},{"family":"Børglum","given":"Anders D."},{"family":"Agrawal","given":"Arpana"}],"issued":{"date-parts":[["2020",12]]}}}],"schema":"https://github.com/citation-style-language/schema/raw/master/csl-citation.json"} </w:instrText>
            </w:r>
            <w:r>
              <w:rPr>
                <w:rFonts w:ascii="Calibri" w:eastAsia="Times New Roman" w:hAnsi="Calibri" w:cs="Calibri"/>
                <w:lang w:eastAsia="zh-CN"/>
              </w:rPr>
              <w:fldChar w:fldCharType="separate"/>
            </w:r>
            <w:r w:rsidRPr="0092085C">
              <w:rPr>
                <w:rFonts w:ascii="Calibri" w:hAnsi="Calibri" w:cs="Calibri"/>
                <w:szCs w:val="24"/>
                <w:vertAlign w:val="superscript"/>
              </w:rPr>
              <w:t>8</w:t>
            </w:r>
            <w:r>
              <w:rPr>
                <w:rFonts w:ascii="Calibri" w:eastAsia="Times New Roman" w:hAnsi="Calibri" w:cs="Calibri"/>
                <w:lang w:eastAsia="zh-CN"/>
              </w:rPr>
              <w:fldChar w:fldCharType="end"/>
            </w:r>
          </w:p>
        </w:tc>
      </w:tr>
      <w:tr w:rsidR="00D06EC2" w:rsidRPr="00D06EC2" w14:paraId="4257B11A" w14:textId="77777777" w:rsidTr="00B74A41">
        <w:trPr>
          <w:trHeight w:val="300"/>
        </w:trPr>
        <w:tc>
          <w:tcPr>
            <w:tcW w:w="2970" w:type="dxa"/>
            <w:tcBorders>
              <w:top w:val="nil"/>
              <w:left w:val="nil"/>
              <w:bottom w:val="nil"/>
              <w:right w:val="nil"/>
            </w:tcBorders>
            <w:shd w:val="clear" w:color="auto" w:fill="auto"/>
            <w:noWrap/>
            <w:vAlign w:val="center"/>
            <w:hideMark/>
          </w:tcPr>
          <w:p w14:paraId="131CDEBD" w14:textId="65AEB11B"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PGC</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ADHD</w:t>
            </w:r>
          </w:p>
        </w:tc>
        <w:tc>
          <w:tcPr>
            <w:tcW w:w="1256" w:type="dxa"/>
            <w:tcBorders>
              <w:top w:val="nil"/>
              <w:left w:val="nil"/>
              <w:bottom w:val="nil"/>
              <w:right w:val="nil"/>
            </w:tcBorders>
            <w:shd w:val="clear" w:color="auto" w:fill="auto"/>
            <w:noWrap/>
            <w:vAlign w:val="center"/>
            <w:hideMark/>
          </w:tcPr>
          <w:p w14:paraId="5599B7C0"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2.19E-16</w:t>
            </w:r>
          </w:p>
        </w:tc>
        <w:tc>
          <w:tcPr>
            <w:tcW w:w="1256" w:type="dxa"/>
            <w:tcBorders>
              <w:top w:val="nil"/>
              <w:left w:val="nil"/>
              <w:bottom w:val="nil"/>
              <w:right w:val="nil"/>
            </w:tcBorders>
            <w:shd w:val="clear" w:color="auto" w:fill="auto"/>
            <w:noWrap/>
            <w:vAlign w:val="center"/>
            <w:hideMark/>
          </w:tcPr>
          <w:p w14:paraId="052B1858"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1.98E-23</w:t>
            </w:r>
          </w:p>
        </w:tc>
        <w:tc>
          <w:tcPr>
            <w:tcW w:w="1256" w:type="dxa"/>
            <w:tcBorders>
              <w:top w:val="nil"/>
              <w:left w:val="nil"/>
              <w:bottom w:val="nil"/>
              <w:right w:val="nil"/>
            </w:tcBorders>
            <w:shd w:val="clear" w:color="auto" w:fill="auto"/>
            <w:noWrap/>
            <w:vAlign w:val="center"/>
            <w:hideMark/>
          </w:tcPr>
          <w:p w14:paraId="6151A868"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0.0118</w:t>
            </w:r>
          </w:p>
        </w:tc>
        <w:tc>
          <w:tcPr>
            <w:tcW w:w="1381" w:type="dxa"/>
            <w:tcBorders>
              <w:top w:val="nil"/>
              <w:left w:val="nil"/>
              <w:bottom w:val="nil"/>
              <w:right w:val="nil"/>
            </w:tcBorders>
            <w:shd w:val="clear" w:color="auto" w:fill="auto"/>
            <w:noWrap/>
            <w:vAlign w:val="bottom"/>
            <w:hideMark/>
          </w:tcPr>
          <w:p w14:paraId="14B67FB7"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384E527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2FBE87E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B709F9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hideMark/>
          </w:tcPr>
          <w:p w14:paraId="6AA7CC5B" w14:textId="2F40D8FD" w:rsidR="00D06EC2" w:rsidRPr="00D06EC2" w:rsidRDefault="0092085C" w:rsidP="00D06EC2">
            <w:pPr>
              <w:spacing w:after="0" w:line="240" w:lineRule="auto"/>
              <w:rPr>
                <w:rFonts w:ascii="Calibri" w:eastAsia="Times New Roman" w:hAnsi="Calibri" w:cs="Calibri"/>
                <w:lang w:eastAsia="zh-CN"/>
              </w:rPr>
            </w:pPr>
            <w:r>
              <w:fldChar w:fldCharType="begin"/>
            </w:r>
            <w:r>
              <w:instrText xml:space="preserve"> ADDIN ZOTERO_ITEM CSL_CITATION {"citationID":"RiH1zCON","properties":{"formattedCitation":"\\super 9\\nosupersub{}","plainCitation":"9","noteIndex":0},"citationItems":[{"id":478,"uris":["http://zotero.org/users/local/JrzyeY6I/items/HCM5JPQ9"],"itemData":{"id":478,"type":"article-journal","abstract":"Attention deficit/hyperactivity disorder (ADHD) is a highly heritable childhood behavioral disorder affecting 5% of children and 2.5% of adults. Common genetic variants contribute substantially to ADHD susceptibility, but no variants have been robustly associated with ADHD. We report a genome-wide association meta-analysis of 20,183 individuals diagnosed with ADHD and 35,191 controls that identifies variants surpassing genome-wide significance in 12 independent loci, finding important new information about the underlying biology of ADHD. Associations are enriched in evolutionarily constrained genomic regions and loss-of-function intolerant genes and around brain-expressed regulatory marks. Analyses of three replication studies: a cohort of individuals diagnosed with ADHD, a self-reported ADHD sample and a meta-analysis of quantitative measures of ADHD symptoms in the population, support these findings while highlighting study-specific differences on genetic overlap with educational attainment. Strong concordance with GWAS of quantitative population measures of ADHD symptoms supports that clinical diagnosis of ADHD is an extreme expression of continuous heritable traits.","container-title":"Nature Genetics","DOI":"10.1038/s41588-018-0269-7","ISSN":"1546-1718","issue":"1","journalAbbreviation":"Nat Genet","language":"eng","note":"number: 1\nPMID: 30478444\nPMCID: PMC6481311","page":"63-75","source":"PubMed","title":"Discovery of the first genome-wide significant risk loci for attention deficit/hyperactivity disorder","volume":"51","author":[{"family":"Demontis","given":"Ditte"},{"family":"Walters","given":"Raymond K."},{"family":"Martin","given":"Joanna"},{"family":"Mattheisen","given":"Manuel"},{"family":"Als","given":"Thomas D."},{"family":"Agerbo","given":"Esben"},{"family":"Baldursson","given":"Gísli"},{"family":"Belliveau","given":"Rich"},{"family":"Bybjerg-Grauholm","given":"Jonas"},{"family":"Bækvad-Hansen","given":"Marie"},{"family":"Cerrato","given":"Felecia"},{"family":"Chambert","given":"Kimberly"},{"family":"Churchhouse","given":"Claire"},{"family":"Dumont","given":"Ashley"},{"family":"Eriksson","given":"Nicholas"},{"family":"Gandal","given":"Michael"},{"family":"Goldstein","given":"Jacqueline I."},{"family":"Grasby","given":"Katrina L."},{"family":"Grove","given":"Jakob"},{"family":"Gudmundsson","given":"Olafur O."},{"family":"Hansen","given":"Christine S."},{"family":"Hauberg","given":"Mads Engel"},{"family":"Hollegaard","given":"Mads V."},{"family":"Howrigan","given":"Daniel P."},{"family":"Huang","given":"Hailiang"},{"family":"Maller","given":"Julian B."},{"family":"Martin","given":"Alicia R."},{"family":"Martin","given":"Nicholas G."},{"family":"Moran","given":"Jennifer"},{"family":"Pallesen","given":"Jonatan"},{"family":"Palmer","given":"Duncan S."},{"family":"Pedersen","given":"Carsten Bøcker"},{"family":"Pedersen","given":"Marianne Giørtz"},{"family":"Poterba","given":"Timothy"},{"family":"Poulsen","given":"Jesper Buchhave"},{"family":"Ripke","given":"Stephan"},{"family":"Robinson","given":"Elise B."},{"family":"Satterstrom","given":"F. Kyle"},{"family":"Stefansson","given":"Hreinn"},{"family":"Stevens","given":"Christine"},{"family":"Turley","given":"Patrick"},{"family":"Walters","given":"G. Bragi"},{"family":"Won","given":"Hyejung"},{"family":"Wright","given":"Margaret J."},{"literal":"ADHD Working Group of the Psychiatric Genomics Consortium (PGC)"},{"literal":"Early Lifecourse &amp; Genetic Epidemiology (EAGLE) Consortium"},{"literal":"23andMe Research Team"},{"family":"Andreassen","given":"Ole A."},{"family":"Asherson","given":"Philip"},{"family":"Burton","given":"Christie L."},{"family":"Boomsma","given":"Dorret I."},{"family":"Cormand","given":"Bru"},{"family":"Dalsgaard","given":"Søren"},{"family":"Franke","given":"Barbara"},{"family":"Gelernter","given":"Joel"},{"family":"Geschwind","given":"Daniel"},{"family":"Hakonarson","given":"Hakon"},{"family":"Haavik","given":"Jan"},{"family":"Kranzler","given":"Henry R."},{"family":"Kuntsi","given":"Jonna"},{"family":"Langley","given":"Kate"},{"family":"Lesch","given":"Klaus-Peter"},{"family":"Middeldorp","given":"Christel"},{"family":"Reif","given":"Andreas"},{"family":"Rohde","given":"Luis Augusto"},{"family":"Roussos","given":"Panos"},{"family":"Schachar","given":"Russell"},{"family":"Sklar","given":"Pamela"},{"family":"Sonuga-Barke","given":"Edmund J. S."},{"family":"Sullivan","given":"Patrick F."},{"family":"Thapar","given":"Anita"},{"family":"Tung","given":"Joyce Y."},{"family":"Waldman","given":"Irwin D."},{"family":"Medland","given":"Sarah E."},{"family":"Stefansson","given":"Kari"},{"family":"Nordentoft","given":"Merete"},{"family":"Hougaard","given":"David M."},{"family":"Werge","given":"Thomas"},{"family":"Mors","given":"Ole"},{"family":"Mortensen","given":"Preben Bo"},{"family":"Daly","given":"Mark J."},{"family":"Faraone","given":"Stephen V."},{"family":"Børglum","given":"Anders D."},{"family":"Neale","given":"Benjamin M."}],"issued":{"date-parts":[["2019"]]}}}],"schema":"https://github.com/citation-style-language/schema/raw/master/csl-citation.json"} </w:instrText>
            </w:r>
            <w:r>
              <w:fldChar w:fldCharType="separate"/>
            </w:r>
            <w:r w:rsidRPr="0092085C">
              <w:rPr>
                <w:rFonts w:ascii="Calibri" w:hAnsi="Calibri" w:cs="Calibri"/>
                <w:szCs w:val="24"/>
                <w:vertAlign w:val="superscript"/>
              </w:rPr>
              <w:t>9</w:t>
            </w:r>
            <w:r>
              <w:fldChar w:fldCharType="end"/>
            </w:r>
          </w:p>
        </w:tc>
      </w:tr>
      <w:tr w:rsidR="00D06EC2" w:rsidRPr="00D06EC2" w14:paraId="610CA028" w14:textId="77777777" w:rsidTr="00B74A41">
        <w:trPr>
          <w:trHeight w:val="300"/>
        </w:trPr>
        <w:tc>
          <w:tcPr>
            <w:tcW w:w="2970" w:type="dxa"/>
            <w:tcBorders>
              <w:top w:val="nil"/>
              <w:left w:val="nil"/>
              <w:bottom w:val="nil"/>
              <w:right w:val="nil"/>
            </w:tcBorders>
            <w:shd w:val="clear" w:color="auto" w:fill="auto"/>
            <w:noWrap/>
            <w:vAlign w:val="center"/>
            <w:hideMark/>
          </w:tcPr>
          <w:p w14:paraId="3931F774" w14:textId="37411D51" w:rsidR="00D06EC2" w:rsidRPr="00D06EC2" w:rsidRDefault="00E35CB1"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C</w:t>
            </w:r>
            <w:r w:rsidR="00D06EC2" w:rsidRPr="00D06EC2">
              <w:rPr>
                <w:rFonts w:ascii="Calibri" w:eastAsia="Times New Roman" w:hAnsi="Calibri" w:cs="Calibri"/>
                <w:color w:val="000000"/>
                <w:lang w:eastAsia="zh-CN"/>
              </w:rPr>
              <w:t>ollege</w:t>
            </w:r>
            <w:r>
              <w:rPr>
                <w:rFonts w:ascii="Calibri" w:eastAsia="Times New Roman" w:hAnsi="Calibri" w:cs="Calibri"/>
                <w:color w:val="000000"/>
                <w:lang w:eastAsia="zh-CN"/>
              </w:rPr>
              <w:t>/University degree</w:t>
            </w:r>
          </w:p>
        </w:tc>
        <w:tc>
          <w:tcPr>
            <w:tcW w:w="1256" w:type="dxa"/>
            <w:tcBorders>
              <w:top w:val="nil"/>
              <w:left w:val="nil"/>
              <w:bottom w:val="nil"/>
              <w:right w:val="nil"/>
            </w:tcBorders>
            <w:shd w:val="clear" w:color="auto" w:fill="auto"/>
            <w:noWrap/>
            <w:vAlign w:val="center"/>
            <w:hideMark/>
          </w:tcPr>
          <w:p w14:paraId="4CEF0225"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0.1803</w:t>
            </w:r>
          </w:p>
        </w:tc>
        <w:tc>
          <w:tcPr>
            <w:tcW w:w="1256" w:type="dxa"/>
            <w:tcBorders>
              <w:top w:val="nil"/>
              <w:left w:val="nil"/>
              <w:bottom w:val="nil"/>
              <w:right w:val="nil"/>
            </w:tcBorders>
            <w:shd w:val="clear" w:color="auto" w:fill="auto"/>
            <w:noWrap/>
            <w:vAlign w:val="center"/>
            <w:hideMark/>
          </w:tcPr>
          <w:p w14:paraId="08321997"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4.58E-12</w:t>
            </w:r>
          </w:p>
        </w:tc>
        <w:tc>
          <w:tcPr>
            <w:tcW w:w="1256" w:type="dxa"/>
            <w:tcBorders>
              <w:top w:val="nil"/>
              <w:left w:val="nil"/>
              <w:bottom w:val="nil"/>
              <w:right w:val="nil"/>
            </w:tcBorders>
            <w:shd w:val="clear" w:color="auto" w:fill="auto"/>
            <w:noWrap/>
            <w:vAlign w:val="center"/>
            <w:hideMark/>
          </w:tcPr>
          <w:p w14:paraId="050C68A9"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0.0971</w:t>
            </w:r>
          </w:p>
        </w:tc>
        <w:tc>
          <w:tcPr>
            <w:tcW w:w="1381" w:type="dxa"/>
            <w:tcBorders>
              <w:top w:val="nil"/>
              <w:left w:val="nil"/>
              <w:bottom w:val="nil"/>
              <w:right w:val="nil"/>
            </w:tcBorders>
            <w:shd w:val="clear" w:color="auto" w:fill="auto"/>
            <w:noWrap/>
            <w:vAlign w:val="bottom"/>
            <w:hideMark/>
          </w:tcPr>
          <w:p w14:paraId="4817D4B7"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5548489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115E06F"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F4FEDC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48618A8A" w14:textId="05F535C8" w:rsidR="00D06EC2" w:rsidRPr="00D06EC2" w:rsidRDefault="0092085C"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{"citationID":"gq3GEbLL","properties":{"formattedCitation":"\\super 10\\nosupersub{}","plainCitation":"10","noteIndex":0},"citationItems":[{"id":1492,"uris":["http://zotero.org/users/local/JrzyeY6I/items/FSU528VZ"],"itemData":{"id":1492,"type":"article-journal","abstract":"People's differences in cognitive functions are partly heritable and are associated with important life outcomes. Previous genome-wide association (GWA) studies of cognitive functions have found evidence for polygenic effects yet, to date, there are few replicated genetic associations. Here we use data from the UK Biobank sample to investigate the genetic contributions to variation in tests of three cognitive functions and in educational attainment. GWA analyses were performed for verbal-numerical reasoning (N=36 035), memory (N=112 067), reaction time (N=111 483) and for the attainment of a college or a university degree (N=111 114). We report genome-wide significant single-nucleotide polymorphism (SNP)-based associations in 20 genomic regions, and significant gene-based findings in 46 regions. These include findings in the ATXN2, CYP2DG, APBA1 and CADM2 genes. We report replication of these hits in published GWA studies of cognitive function, educational attainment and childhood intelligence. There is also replication, in UK Biobank, of SNP hits reported previously in GWA studies of educational attainment and cognitive function. GCTA-GREML analyses, using common SNPs (minor allele frequency&gt;0.01), indicated significant SNP-based heritabilities of 31% (s.e.m.=1.8%) for verbal-numerical reasoning, 5% (s.e.m.=0.6%) for memory, 11% (s.e.m.=0.6%) for reaction time and 21% (s.e.m.=0.6%) for educational attainment. Polygenic score analyses indicate that up to 5% of the variance in cognitive test scores can be predicted in an independent cohort. The genomic regions identified include several novel loci, some of which have been associated with intracranial volume, neurodegeneration, Alzheimer's disease and schizophrenia.","container-title":"Molecular Psychiatry","DOI":"10.1038/mp.2016.45","ISSN":"1476-5578","issue":"6","journalAbbreviation":"Mol Psychiatry","language":"eng","note":"PMID: 27046643\nPMCID: PMC4879186","page":"758-767","source":"PubMed","title":"Genome-wide association study of cognitive functions and educational attainment in UK Biobank (N=112 151)","volume":"21","author":[{"family":"Davies","given":"G."},{"family":"Marioni","given":"R. E."},{"family":"Liewald","given":"D. C."},{"family":"Hill","given":"W. D."},{"family":"Hagenaars","given":"S. P."},{"family":"Harris","given":"S. E."},{"family":"Ritchie","given":"S. J."},{"family":"Luciano","given":"M."},{"family":"Fawns-Ritchie","given":"C."},{"family":"Lyall","given":"D."},{"family":"Cullen","given":"B."},{"family":"Cox","given":"S. R."},{"family":"Hayward","given":"C."},{"family":"Porteous","given":"D. J."},{"family":"Evans","given":"J."},{"family":"McIntosh","given":"A. M."},{"family":"Gallacher","given":"J."},{"family":"Craddock","given":"N."},{"family":"Pell","given":"J. P."},{"family":"Smith","given":"D. J."},{"family":"Gale","given":"C. R."},{"family":"Deary","given":"I. J."}],"issued":{"date-parts":[["2016",6]]}}}],"schema":"https://github.com/citation-style-language/schema/raw/master/csl-citation.json"}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10</w:t>
            </w:r>
            <w:r>
              <w:rPr>
                <w:rFonts w:ascii="Calibri" w:eastAsia="Times New Roman" w:hAnsi="Calibri" w:cs="Calibri"/>
                <w:lang w:eastAsia="zh-CN"/>
              </w:rPr>
              <w:fldChar w:fldCharType="end"/>
            </w:r>
          </w:p>
        </w:tc>
      </w:tr>
      <w:tr w:rsidR="00D06EC2" w:rsidRPr="00D06EC2" w14:paraId="0BBDD13D" w14:textId="77777777" w:rsidTr="00B74A41">
        <w:trPr>
          <w:trHeight w:val="300"/>
        </w:trPr>
        <w:tc>
          <w:tcPr>
            <w:tcW w:w="2970" w:type="dxa"/>
            <w:tcBorders>
              <w:top w:val="nil"/>
              <w:left w:val="nil"/>
              <w:bottom w:val="nil"/>
              <w:right w:val="nil"/>
            </w:tcBorders>
            <w:shd w:val="clear" w:color="auto" w:fill="auto"/>
            <w:noWrap/>
            <w:vAlign w:val="center"/>
            <w:hideMark/>
          </w:tcPr>
          <w:p w14:paraId="3C68F812" w14:textId="50FEE474" w:rsidR="00D06EC2" w:rsidRPr="00D06EC2" w:rsidRDefault="002A1E9C"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M</w:t>
            </w:r>
            <w:r w:rsidR="00D06EC2" w:rsidRPr="00D06EC2">
              <w:rPr>
                <w:rFonts w:ascii="Calibri" w:eastAsia="Times New Roman" w:hAnsi="Calibri" w:cs="Calibri"/>
                <w:color w:val="000000"/>
                <w:lang w:eastAsia="zh-CN"/>
              </w:rPr>
              <w:t>emory</w:t>
            </w:r>
          </w:p>
        </w:tc>
        <w:tc>
          <w:tcPr>
            <w:tcW w:w="1256" w:type="dxa"/>
            <w:tcBorders>
              <w:top w:val="nil"/>
              <w:left w:val="nil"/>
              <w:bottom w:val="nil"/>
              <w:right w:val="nil"/>
            </w:tcBorders>
            <w:shd w:val="clear" w:color="auto" w:fill="auto"/>
            <w:noWrap/>
            <w:vAlign w:val="center"/>
            <w:hideMark/>
          </w:tcPr>
          <w:p w14:paraId="2201A6B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3.49E-07</w:t>
            </w:r>
          </w:p>
        </w:tc>
        <w:tc>
          <w:tcPr>
            <w:tcW w:w="1256" w:type="dxa"/>
            <w:tcBorders>
              <w:top w:val="nil"/>
              <w:left w:val="nil"/>
              <w:bottom w:val="nil"/>
              <w:right w:val="nil"/>
            </w:tcBorders>
            <w:shd w:val="clear" w:color="auto" w:fill="auto"/>
            <w:noWrap/>
            <w:vAlign w:val="center"/>
            <w:hideMark/>
          </w:tcPr>
          <w:p w14:paraId="34650AE7"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0.0002</w:t>
            </w:r>
          </w:p>
        </w:tc>
        <w:tc>
          <w:tcPr>
            <w:tcW w:w="1256" w:type="dxa"/>
            <w:tcBorders>
              <w:top w:val="nil"/>
              <w:left w:val="nil"/>
              <w:bottom w:val="nil"/>
              <w:right w:val="nil"/>
            </w:tcBorders>
            <w:shd w:val="clear" w:color="auto" w:fill="auto"/>
            <w:noWrap/>
            <w:vAlign w:val="center"/>
            <w:hideMark/>
          </w:tcPr>
          <w:p w14:paraId="23600CA6"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3.07E-06</w:t>
            </w:r>
          </w:p>
        </w:tc>
        <w:tc>
          <w:tcPr>
            <w:tcW w:w="1381" w:type="dxa"/>
            <w:tcBorders>
              <w:top w:val="nil"/>
              <w:left w:val="nil"/>
              <w:bottom w:val="nil"/>
              <w:right w:val="nil"/>
            </w:tcBorders>
            <w:shd w:val="clear" w:color="auto" w:fill="auto"/>
            <w:noWrap/>
            <w:vAlign w:val="bottom"/>
            <w:hideMark/>
          </w:tcPr>
          <w:p w14:paraId="36D1EFC8"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2EE89D5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2CE878E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6D732A81"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763288FA" w14:textId="57C864EF" w:rsidR="00D06EC2" w:rsidRPr="00D06EC2" w:rsidRDefault="009B7C37"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{"citationID":"v9M1WWba","properties":{"formattedCitation":"\\super 10\\nosupersub{}","plainCitation":"10","noteIndex":0},"citationItems":[{"id":1492,"uris":["http://zotero.org/users/local/JrzyeY6I/items/FSU528VZ"],"itemData":{"id":1492,"type":"article-journal","abstract":"People's differences in cognitive functions are partly heritable and are associated with important life outcomes. Previous genome-wide association (GWA) studies of cognitive functions have found evidence for polygenic effects yet, to date, there are few replicated genetic associations. Here we use data from the UK Biobank sample to investigate the genetic contributions to variation in tests of three cognitive functions and in educational attainment. GWA analyses were performed for verbal-numerical reasoning (N=36 035), memory (N=112 067), reaction time (N=111 483) and for the attainment of a college or a university degree (N=111 114). We report genome-wide significant single-nucleotide polymorphism (SNP)-based associations in 20 genomic regions, and significant gene-based findings in 46 regions. These include findings in the ATXN2, CYP2DG, APBA1 and CADM2 genes. We report replication of these hits in published GWA studies of cognitive function, educational attainment and childhood intelligence. There is also replication, in UK Biobank, of SNP hits reported previously in GWA studies of educational attainment and cognitive function. GCTA-GREML analyses, using common SNPs (minor allele frequency&gt;0.01), indicated significant SNP-based heritabilities of 31% (s.e.m.=1.8%) for verbal-numerical reasoning, 5% (s.e.m.=0.6%) for memory, 11% (s.e.m.=0.6%) for reaction time and 21% (s.e.m.=0.6%) for educational attainment. Polygenic score analyses indicate that up to 5% of the variance in cognitive test scores can be predicted in an independent cohort. The genomic regions identified include several novel loci, some of which have been associated with intracranial volume, neurodegeneration, Alzheimer's disease and schizophrenia.","container-title":"Molecular Psychiatry","DOI":"10.1038/mp.2016.45","ISSN":"1476-5578","issue":"6","journalAbbreviation":"Mol Psychiatry","language":"eng","note":"PMID: 27046643\nPMCID: PMC4879186","page":"758-767","source":"PubMed","title":"Genome-wide association study of cognitive functions and educational attainment in UK Biobank (N=112 151)","volume":"21","author":[{"family":"Davies","given":"G."},{"family":"Marioni","given":"R. E."},{"family":"Liewald","given":"D. C."},{"family":"Hill","given":"W. D."},{"family":"Hagenaars","given":"S. P."},{"family":"Harris","given":"S. E."},{"family":"Ritchie","given":"S. J."},{"family":"Luciano","given":"M."},{"family":"Fawns-Ritchie","given":"C."},{"family":"Lyall","given":"D."},{"family":"Cullen","given":"B."},{"family":"Cox","given":"S. R."},{"family":"Hayward","given":"C."},{"family":"Porteous","given":"D. J."},{"family":"Evans","given":"J."},{"family":"McIntosh","given":"A. M."},{"family":"Gallacher","given":"J."},{"family":"Craddock","given":"N."},{"family":"Pell","given":"J. P."},{"family":"Smith","given":"D. J."},{"family":"Gale","given":"C. R."},{"family":"Deary","given":"I. J."}],"issued":{"date-parts":[["2016",6]]}}}],"schema":"https://github.com/citation-style-language/schema/raw/master/csl-citation.json"} </w:instrText>
            </w:r>
            <w:r>
              <w:rPr>
                <w:rFonts w:ascii="Calibri" w:eastAsia="Times New Roman" w:hAnsi="Calibri" w:cs="Calibri"/>
                <w:lang w:eastAsia="zh-CN"/>
              </w:rPr>
              <w:fldChar w:fldCharType="separate"/>
            </w:r>
            <w:r w:rsidRPr="009B7C37">
              <w:rPr>
                <w:rFonts w:ascii="Calibri" w:hAnsi="Calibri" w:cs="Calibri"/>
                <w:szCs w:val="24"/>
                <w:vertAlign w:val="superscript"/>
              </w:rPr>
              <w:t>10</w:t>
            </w:r>
            <w:r>
              <w:rPr>
                <w:rFonts w:ascii="Calibri" w:eastAsia="Times New Roman" w:hAnsi="Calibri" w:cs="Calibri"/>
                <w:lang w:eastAsia="zh-CN"/>
              </w:rPr>
              <w:fldChar w:fldCharType="end"/>
            </w:r>
          </w:p>
        </w:tc>
      </w:tr>
      <w:tr w:rsidR="00D06EC2" w:rsidRPr="00D06EC2" w14:paraId="6C5EBD72" w14:textId="77777777" w:rsidTr="00B74A41">
        <w:trPr>
          <w:trHeight w:val="300"/>
        </w:trPr>
        <w:tc>
          <w:tcPr>
            <w:tcW w:w="2970" w:type="dxa"/>
            <w:tcBorders>
              <w:top w:val="nil"/>
              <w:left w:val="nil"/>
              <w:bottom w:val="nil"/>
              <w:right w:val="nil"/>
            </w:tcBorders>
            <w:shd w:val="clear" w:color="auto" w:fill="auto"/>
            <w:noWrap/>
            <w:vAlign w:val="center"/>
            <w:hideMark/>
          </w:tcPr>
          <w:p w14:paraId="0C10D2BA" w14:textId="79CD3591"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Reaction</w:t>
            </w:r>
            <w:r w:rsidR="00785831">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Time</w:t>
            </w:r>
          </w:p>
        </w:tc>
        <w:tc>
          <w:tcPr>
            <w:tcW w:w="1256" w:type="dxa"/>
            <w:tcBorders>
              <w:top w:val="nil"/>
              <w:left w:val="nil"/>
              <w:bottom w:val="nil"/>
              <w:right w:val="nil"/>
            </w:tcBorders>
            <w:shd w:val="clear" w:color="auto" w:fill="auto"/>
            <w:noWrap/>
            <w:vAlign w:val="center"/>
            <w:hideMark/>
          </w:tcPr>
          <w:p w14:paraId="7C70DA9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0.0019</w:t>
            </w:r>
          </w:p>
        </w:tc>
        <w:tc>
          <w:tcPr>
            <w:tcW w:w="1256" w:type="dxa"/>
            <w:tcBorders>
              <w:top w:val="nil"/>
              <w:left w:val="nil"/>
              <w:bottom w:val="nil"/>
              <w:right w:val="nil"/>
            </w:tcBorders>
            <w:shd w:val="clear" w:color="auto" w:fill="auto"/>
            <w:noWrap/>
            <w:vAlign w:val="center"/>
            <w:hideMark/>
          </w:tcPr>
          <w:p w14:paraId="107E0B4D"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0.2667</w:t>
            </w:r>
          </w:p>
        </w:tc>
        <w:tc>
          <w:tcPr>
            <w:tcW w:w="1256" w:type="dxa"/>
            <w:tcBorders>
              <w:top w:val="nil"/>
              <w:left w:val="nil"/>
              <w:bottom w:val="nil"/>
              <w:right w:val="nil"/>
            </w:tcBorders>
            <w:shd w:val="clear" w:color="auto" w:fill="auto"/>
            <w:noWrap/>
            <w:vAlign w:val="center"/>
            <w:hideMark/>
          </w:tcPr>
          <w:p w14:paraId="4E8450FA"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0.5553</w:t>
            </w:r>
          </w:p>
        </w:tc>
        <w:tc>
          <w:tcPr>
            <w:tcW w:w="1381" w:type="dxa"/>
            <w:tcBorders>
              <w:top w:val="nil"/>
              <w:left w:val="nil"/>
              <w:bottom w:val="nil"/>
              <w:right w:val="nil"/>
            </w:tcBorders>
            <w:shd w:val="clear" w:color="auto" w:fill="auto"/>
            <w:noWrap/>
            <w:vAlign w:val="bottom"/>
            <w:hideMark/>
          </w:tcPr>
          <w:p w14:paraId="45237604"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7C73403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6C731967"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6A270D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70CFBBA6" w14:textId="07DBA3ED" w:rsidR="00D06EC2" w:rsidRPr="00D06EC2" w:rsidRDefault="009B7C37"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{"citationID":"Xppxjh1W","properties":{"formattedCitation":"\\super 10\\nosupersub{}","plainCitation":"10","noteIndex":0},"citationItems":[{"id":1492,"uris":["http://zotero.org/users/local/JrzyeY6I/items/FSU528VZ"],"itemData":{"id":1492,"type":"article-journal","abstract":"People's differences in cognitive functions are partly heritable and are associated with important life outcomes. Previous genome-wide association (GWA) studies of cognitive functions have found evidence for polygenic effects yet, to date, there are few replicated genetic associations. Here we use data from the UK Biobank sample to investigate the genetic contributions to variation in tests of three cognitive functions and in educational attainment. GWA analyses were performed for verbal-numerical reasoning (N=36 035), memory (N=112 067), reaction time (N=111 483) and for the attainment of a college or a university degree (N=111 114). We report genome-wide significant single-nucleotide polymorphism (SNP)-based associations in 20 genomic regions, and significant gene-based findings in 46 regions. These include findings in the ATXN2, CYP2DG, APBA1 and CADM2 genes. We report replication of these hits in published GWA studies of cognitive function, educational attainment and childhood intelligence. There is also replication, in UK Biobank, of SNP hits reported previously in GWA studies of educational attainment and cognitive function. GCTA-GREML analyses, using common SNPs (minor allele frequency&gt;0.01), indicated significant SNP-based heritabilities of 31% (s.e.m.=1.8%) for verbal-numerical reasoning, 5% (s.e.m.=0.6%) for memory, 11% (s.e.m.=0.6%) for reaction time and 21% (s.e.m.=0.6%) for educational attainment. Polygenic score analyses indicate that up to 5% of the variance in cognitive test scores can be predicted in an independent cohort. The genomic regions identified include several novel loci, some of which have been associated with intracranial volume, neurodegeneration, Alzheimer's disease and schizophrenia.","container-title":"Molecular Psychiatry","DOI":"10.1038/mp.2016.45","ISSN":"1476-5578","issue":"6","journalAbbreviation":"Mol Psychiatry","language":"eng","note":"PMID: 27046643\nPMCID: PMC4879186","page":"758-767","source":"PubMed","title":"Genome-wide association study of cognitive functions and educational attainment in UK Biobank (N=112 151)","volume":"21","author":[{"family":"Davies","given":"G."},{"family":"Marioni","given":"R. E."},{"family":"Liewald","given":"D. C."},{"family":"Hill","given":"W. D."},{"family":"Hagenaars","given":"S. P."},{"family":"Harris","given":"S. E."},{"family":"Ritchie","given":"S. J."},{"family":"Luciano","given":"M."},{"family":"Fawns-Ritchie","given":"C."},{"family":"Lyall","given":"D."},{"family":"Cullen","given":"B."},{"family":"Cox","given":"S. R."},{"family":"Hayward","given":"C."},{"family":"Porteous","given":"D. J."},{"family":"Evans","given":"J."},{"family":"McIntosh","given":"A. M."},{"family":"Gallacher","given":"J."},{"family":"Craddock","given":"N."},{"family":"Pell","given":"J. P."},{"family":"Smith","given":"D. J."},{"family":"Gale","given":"C. R."},{"family":"Deary","given":"I. J."}],"issued":{"date-parts":[["2016",6]]}}}],"schema":"https://github.com/citation-style-language/schema/raw/master/csl-citation.json"} </w:instrText>
            </w:r>
            <w:r>
              <w:rPr>
                <w:rFonts w:ascii="Calibri" w:eastAsia="Times New Roman" w:hAnsi="Calibri" w:cs="Calibri"/>
                <w:lang w:eastAsia="zh-CN"/>
              </w:rPr>
              <w:fldChar w:fldCharType="separate"/>
            </w:r>
            <w:r w:rsidRPr="009B7C37">
              <w:rPr>
                <w:rFonts w:ascii="Calibri" w:hAnsi="Calibri" w:cs="Calibri"/>
                <w:szCs w:val="24"/>
                <w:vertAlign w:val="superscript"/>
              </w:rPr>
              <w:t>10</w:t>
            </w:r>
            <w:r>
              <w:rPr>
                <w:rFonts w:ascii="Calibri" w:eastAsia="Times New Roman" w:hAnsi="Calibri" w:cs="Calibri"/>
                <w:lang w:eastAsia="zh-CN"/>
              </w:rPr>
              <w:fldChar w:fldCharType="end"/>
            </w:r>
          </w:p>
        </w:tc>
      </w:tr>
      <w:tr w:rsidR="00D06EC2" w:rsidRPr="00D06EC2" w14:paraId="609601BC" w14:textId="77777777" w:rsidTr="00B74A41">
        <w:trPr>
          <w:trHeight w:val="300"/>
        </w:trPr>
        <w:tc>
          <w:tcPr>
            <w:tcW w:w="2970" w:type="dxa"/>
            <w:tcBorders>
              <w:top w:val="nil"/>
              <w:left w:val="nil"/>
              <w:bottom w:val="nil"/>
              <w:right w:val="nil"/>
            </w:tcBorders>
            <w:shd w:val="clear" w:color="auto" w:fill="auto"/>
            <w:noWrap/>
            <w:vAlign w:val="center"/>
            <w:hideMark/>
          </w:tcPr>
          <w:p w14:paraId="0996BF38" w14:textId="02571D45"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V</w:t>
            </w:r>
            <w:r w:rsidR="00E35CB1">
              <w:rPr>
                <w:rFonts w:ascii="Calibri" w:eastAsia="Times New Roman" w:hAnsi="Calibri" w:cs="Calibri"/>
                <w:color w:val="000000"/>
                <w:lang w:eastAsia="zh-CN"/>
              </w:rPr>
              <w:t>erbal-numerical reasoning</w:t>
            </w:r>
          </w:p>
        </w:tc>
        <w:tc>
          <w:tcPr>
            <w:tcW w:w="1256" w:type="dxa"/>
            <w:tcBorders>
              <w:top w:val="nil"/>
              <w:left w:val="nil"/>
              <w:bottom w:val="nil"/>
              <w:right w:val="nil"/>
            </w:tcBorders>
            <w:shd w:val="clear" w:color="auto" w:fill="auto"/>
            <w:noWrap/>
            <w:vAlign w:val="center"/>
            <w:hideMark/>
          </w:tcPr>
          <w:p w14:paraId="7732841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2.13E-14</w:t>
            </w:r>
          </w:p>
        </w:tc>
        <w:tc>
          <w:tcPr>
            <w:tcW w:w="1256" w:type="dxa"/>
            <w:tcBorders>
              <w:top w:val="nil"/>
              <w:left w:val="nil"/>
              <w:bottom w:val="nil"/>
              <w:right w:val="nil"/>
            </w:tcBorders>
            <w:shd w:val="clear" w:color="auto" w:fill="auto"/>
            <w:noWrap/>
            <w:vAlign w:val="center"/>
            <w:hideMark/>
          </w:tcPr>
          <w:p w14:paraId="68030BEC"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0.8083</w:t>
            </w:r>
          </w:p>
        </w:tc>
        <w:tc>
          <w:tcPr>
            <w:tcW w:w="1256" w:type="dxa"/>
            <w:tcBorders>
              <w:top w:val="nil"/>
              <w:left w:val="nil"/>
              <w:bottom w:val="nil"/>
              <w:right w:val="nil"/>
            </w:tcBorders>
            <w:shd w:val="clear" w:color="auto" w:fill="auto"/>
            <w:noWrap/>
            <w:vAlign w:val="center"/>
            <w:hideMark/>
          </w:tcPr>
          <w:p w14:paraId="57ED5059"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6.94E-08</w:t>
            </w:r>
          </w:p>
        </w:tc>
        <w:tc>
          <w:tcPr>
            <w:tcW w:w="1381" w:type="dxa"/>
            <w:tcBorders>
              <w:top w:val="nil"/>
              <w:left w:val="nil"/>
              <w:bottom w:val="nil"/>
              <w:right w:val="nil"/>
            </w:tcBorders>
            <w:shd w:val="clear" w:color="auto" w:fill="auto"/>
            <w:noWrap/>
            <w:vAlign w:val="bottom"/>
            <w:hideMark/>
          </w:tcPr>
          <w:p w14:paraId="46304A96"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45AA37AE"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2E26EA39"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25F468A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2C5F56E9" w14:textId="1BAAFE37" w:rsidR="00D06EC2" w:rsidRPr="00D06EC2" w:rsidRDefault="009B7C37"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Pr>
                <w:rFonts w:ascii="Calibri" w:eastAsia="Times New Roman" w:hAnsi="Calibri" w:cs="Calibri"/>
                <w:lang w:eastAsia="zh-CN"/>
              </w:rPr>
              <w:instrText xml:space="preserve"> ADDIN ZOTERO_ITEM CSL_CITATION {"citationID":"wIMbCcX1","properties":{"formattedCitation":"\\super 10\\nosupersub{}","plainCitation":"10","noteIndex":0},"citationItems":[{"id":1492,"uris":["http://zotero.org/users/local/JrzyeY6I/items/FSU528VZ"],"itemData":{"id":1492,"type":"article-journal","abstract":"People's differences in cognitive functions are partly heritable and are associated with important life outcomes. Previous genome-wide association (GWA) studies of cognitive functions have found evidence for polygenic effects yet, to date, there are few replicated genetic associations. Here we use data from the UK Biobank sample to investigate the genetic contributions to variation in tests of three cognitive functions and in educational attainment. GWA analyses were performed for verbal-numerical reasoning (N=36 035), memory (N=112 067), reaction time (N=111 483) and for the attainment of a college or a university degree (N=111 114). We report genome-wide significant single-nucleotide polymorphism (SNP)-based associations in 20 genomic regions, and significant gene-based findings in 46 regions. These include findings in the ATXN2, CYP2DG, APBA1 and CADM2 genes. We report replication of these hits in published GWA studies of cognitive function, educational attainment and childhood intelligence. There is also replication, in UK Biobank, of SNP hits reported previously in GWA studies of educational attainment and cognitive function. GCTA-GREML analyses, using common SNPs (minor allele frequency&gt;0.01), indicated significant SNP-based heritabilities of 31% (s.e.m.=1.8%) for verbal-numerical reasoning, 5% (s.e.m.=0.6%) for memory, 11% (s.e.m.=0.6%) for reaction time and 21% (s.e.m.=0.6%) for educational attainment. Polygenic score analyses indicate that up to 5% of the variance in cognitive test scores can be predicted in an independent cohort. The genomic regions identified include several novel loci, some of which have been associated with intracranial volume, neurodegeneration, Alzheimer's disease and schizophrenia.","container-title":"Molecular Psychiatry","DOI":"10.1038/mp.2016.45","ISSN":"1476-5578","issue":"6","journalAbbreviation":"Mol Psychiatry","language":"eng","note":"PMID: 27046643\nPMCID: PMC4879186","page":"758-767","source":"PubMed","title":"Genome-wide association study of cognitive functions and educational attainment in UK Biobank (N=112 151)","volume":"21","author":[{"family":"Davies","given":"G."},{"family":"Marioni","given":"R. E."},{"family":"Liewald","given":"D. C."},{"family":"Hill","given":"W. D."},{"family":"Hagenaars","given":"S. P."},{"family":"Harris","given":"S. E."},{"family":"Ritchie","given":"S. J."},{"family":"Luciano","given":"M."},{"family":"Fawns-Ritchie","given":"C."},{"family":"Lyall","given":"D."},{"family":"Cullen","given":"B."},{"family":"Cox","given":"S. R."},{"family":"Hayward","given":"C."},{"family":"Porteous","given":"D. J."},{"family":"Evans","given":"J."},{"family":"McIntosh","given":"A. M."},{"family":"Gallacher","given":"J."},{"family":"Craddock","given":"N."},{"family":"Pell","given":"J. P."},{"family":"Smith","given":"D. J."},{"family":"Gale","given":"C. R."},{"family":"Deary","given":"I. J."}],"issued":{"date-parts":[["2016",6]]}}}],"schema":"https://github.com/citation-style-language/schema/raw/master/csl-citation.json"} </w:instrText>
            </w:r>
            <w:r>
              <w:rPr>
                <w:rFonts w:ascii="Calibri" w:eastAsia="Times New Roman" w:hAnsi="Calibri" w:cs="Calibri"/>
                <w:lang w:eastAsia="zh-CN"/>
              </w:rPr>
              <w:fldChar w:fldCharType="separate"/>
            </w:r>
            <w:r w:rsidRPr="009B7C37">
              <w:rPr>
                <w:rFonts w:ascii="Calibri" w:hAnsi="Calibri" w:cs="Calibri"/>
                <w:szCs w:val="24"/>
                <w:vertAlign w:val="superscript"/>
              </w:rPr>
              <w:t>10</w:t>
            </w:r>
            <w:r>
              <w:rPr>
                <w:rFonts w:ascii="Calibri" w:eastAsia="Times New Roman" w:hAnsi="Calibri" w:cs="Calibri"/>
                <w:lang w:eastAsia="zh-CN"/>
              </w:rPr>
              <w:fldChar w:fldCharType="end"/>
            </w:r>
          </w:p>
        </w:tc>
      </w:tr>
      <w:tr w:rsidR="00D06EC2" w:rsidRPr="00D06EC2" w14:paraId="3F3436A2" w14:textId="77777777" w:rsidTr="00B74A41">
        <w:trPr>
          <w:trHeight w:val="300"/>
        </w:trPr>
        <w:tc>
          <w:tcPr>
            <w:tcW w:w="2970" w:type="dxa"/>
            <w:tcBorders>
              <w:top w:val="nil"/>
              <w:left w:val="nil"/>
              <w:bottom w:val="nil"/>
              <w:right w:val="nil"/>
            </w:tcBorders>
            <w:shd w:val="clear" w:color="auto" w:fill="auto"/>
            <w:noWrap/>
            <w:vAlign w:val="center"/>
            <w:hideMark/>
          </w:tcPr>
          <w:p w14:paraId="75CD6202" w14:textId="30D2B3A3" w:rsidR="00D06EC2" w:rsidRPr="00D605B2" w:rsidRDefault="00D06EC2" w:rsidP="00D06EC2">
            <w:pPr>
              <w:spacing w:after="0" w:line="240" w:lineRule="auto"/>
              <w:rPr>
                <w:rFonts w:ascii="Calibri" w:eastAsia="Times New Roman" w:hAnsi="Calibri" w:cs="Calibri"/>
                <w:color w:val="000000"/>
                <w:lang w:eastAsia="zh-CN"/>
              </w:rPr>
            </w:pPr>
            <w:r w:rsidRPr="00D605B2">
              <w:rPr>
                <w:rFonts w:ascii="Calibri" w:eastAsia="Times New Roman" w:hAnsi="Calibri" w:cs="Calibri"/>
                <w:color w:val="000000"/>
                <w:lang w:eastAsia="zh-CN"/>
              </w:rPr>
              <w:t>D</w:t>
            </w:r>
            <w:r w:rsidR="0039290B" w:rsidRPr="00D605B2">
              <w:rPr>
                <w:rFonts w:ascii="Calibri" w:eastAsia="Times New Roman" w:hAnsi="Calibri" w:cs="Calibri"/>
                <w:color w:val="000000"/>
                <w:lang w:eastAsia="zh-CN"/>
              </w:rPr>
              <w:t>epressive symptoms</w:t>
            </w:r>
          </w:p>
        </w:tc>
        <w:tc>
          <w:tcPr>
            <w:tcW w:w="1256" w:type="dxa"/>
            <w:tcBorders>
              <w:top w:val="nil"/>
              <w:left w:val="nil"/>
              <w:bottom w:val="nil"/>
              <w:right w:val="nil"/>
            </w:tcBorders>
            <w:shd w:val="clear" w:color="auto" w:fill="auto"/>
            <w:noWrap/>
            <w:vAlign w:val="center"/>
            <w:hideMark/>
          </w:tcPr>
          <w:p w14:paraId="6335E953"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2.08E-32</w:t>
            </w:r>
          </w:p>
        </w:tc>
        <w:tc>
          <w:tcPr>
            <w:tcW w:w="1256" w:type="dxa"/>
            <w:tcBorders>
              <w:top w:val="nil"/>
              <w:left w:val="nil"/>
              <w:bottom w:val="nil"/>
              <w:right w:val="nil"/>
            </w:tcBorders>
            <w:shd w:val="clear" w:color="auto" w:fill="auto"/>
            <w:noWrap/>
            <w:vAlign w:val="center"/>
            <w:hideMark/>
          </w:tcPr>
          <w:p w14:paraId="26450612"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0.0044</w:t>
            </w:r>
          </w:p>
        </w:tc>
        <w:tc>
          <w:tcPr>
            <w:tcW w:w="1256" w:type="dxa"/>
            <w:tcBorders>
              <w:top w:val="nil"/>
              <w:left w:val="nil"/>
              <w:bottom w:val="nil"/>
              <w:right w:val="nil"/>
            </w:tcBorders>
            <w:shd w:val="clear" w:color="auto" w:fill="auto"/>
            <w:noWrap/>
            <w:vAlign w:val="center"/>
            <w:hideMark/>
          </w:tcPr>
          <w:p w14:paraId="4106B01D"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1.04E-45</w:t>
            </w:r>
          </w:p>
        </w:tc>
        <w:tc>
          <w:tcPr>
            <w:tcW w:w="1381" w:type="dxa"/>
            <w:tcBorders>
              <w:top w:val="nil"/>
              <w:left w:val="nil"/>
              <w:bottom w:val="nil"/>
              <w:right w:val="nil"/>
            </w:tcBorders>
            <w:shd w:val="clear" w:color="auto" w:fill="auto"/>
            <w:noWrap/>
            <w:vAlign w:val="bottom"/>
            <w:hideMark/>
          </w:tcPr>
          <w:p w14:paraId="389F1EA1" w14:textId="77777777" w:rsidR="00D06EC2" w:rsidRPr="00D605B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4B66D503" w14:textId="77777777" w:rsidR="00D06EC2" w:rsidRPr="00D605B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306BBB7" w14:textId="2826BFEC"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745C3D55" w14:textId="4A5B8B6C" w:rsidR="00D06EC2" w:rsidRPr="00D605B2" w:rsidRDefault="00596D22"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11A9EEA0" w14:textId="20356095" w:rsidR="00D06EC2" w:rsidRPr="00D06EC2" w:rsidRDefault="0092085C"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{"citationID":"HmOrA54r","properties":{"formattedCitation":"\\super 11\\nosupersub{}","plainCitation":"11","noteIndex":0},"citationItems":[{"id":1431,"uris":["http://zotero.org/users/local/JrzyeY6I/items/IV8DEIKT"],"itemData":{"id":1431,"type":"article-journal","abstract":"Very few genetic variants have been associated with depression and neuroticism, likely because of limitations on sample size in previous studies. Subjective well-being, a phenotype that is genetically correlated with both of these traits, has not yet been studied with genome-wide data. We conducted genome-wide association studies of three phenotypes: subjective well-being (n = 298,420), depressive symptoms (n = 161,460), and neuroticism (n = 170,911). We identify 3 variants associated with subjective well-being, 2 variants associated with depressive symptoms, and 11 variants associated with neuroticism, including 2 inversion polymorphisms. The two loci associated with depressive symptoms replicate in an independent depression sample. Joint analyses that exploit the high genetic correlations between the phenotypes (|ρ^| ≈ 0.8) strengthen the overall credibility of the findings and allow us to identify additional variants. Across our phenotypes, loci regulating expression in central nervous system and adrenal or pancreas tissues are strongly enriched for association.","container-title":"Nature Genetics","DOI":"10.1038/ng.3552","ISSN":"1546-1718","issue":"6","journalAbbreviation":"Nat Genet","language":"eng","note":"PMID: 27089181\nPMCID: PMC4884152","page":"624-633","source":"PubMed","title":"Genetic variants associated with subjective well-being, depressive symptoms, and neuroticism identified through genome-wide analyses","volume":"48","author":[{"family":"Okbay","given":"Aysu"},{"family":"Baselmans","given":"Bart M. L."},{"family":"De Neve","given":"Jan-Emmanuel"},{"family":"Turley","given":"Patrick"},{"family":"Nivard","given":"Michel G."},{"family":"Fontana","given":"Mark Alan"},{"family":"Meddens","given":"S. Fleur W."},{"family":"Linnér","given":"Richard Karlsson"},{"family":"Rietveld","given":"Cornelius A."},{"family":"Derringer","given":"Jaime"},{"family":"Gratten","given":"Jacob"},{"family":"Lee","given":"James J."},{"family":"Liu","given":"Jimmy Z."},{"family":"Vlaming","given":"Ronald","non-dropping-particle":"de"},{"family":"Ahluwalia","given":"Tarunveer S."},{"family":"Buchwald","given":"Jadwiga"},{"family":"Cavadino","given":"Alana"},{"family":"Frazier-Wood","given":"Alexis C."},{"family":"Furlotte","given":"Nicholas A."},{"family":"Garfield","given":"Victoria"},{"family":"Geisel","given":"Marie Henrike"},{"family":"Gonzalez","given":"Juan R."},{"family":"Haitjema","given":"Saskia"},{"family":"Karlsson","given":"Robert"},{"family":"Laan","given":"Sander W.","non-dropping-particle":"van der"},{"family":"Ladwig","given":"Karl-Heinz"},{"family":"Lahti","given":"Jari"},{"family":"Lee","given":"Sven J.","non-dropping-particle":"van der"},{"family":"Lind","given":"Penelope A."},{"family":"Liu","given":"Tian"},{"family":"Matteson","given":"Lindsay"},{"family":"Mihailov","given":"Evelin"},{"family":"Miller","given":"Michael B."},{"family":"Minica","given":"Camelia C."},{"family":"Nolte","given":"Ilja M."},{"family":"Mook-Kanamori","given":"Dennis"},{"family":"Most","given":"Peter J.","non-dropping-particle":"van der"},{"family":"Oldmeadow","given":"Christopher"},{"family":"Qian","given":"Yong"},{"family":"Raitakari","given":"Olli"},{"family":"Rawal","given":"Rajesh"},{"family":"Realo","given":"Anu"},{"family":"Rueedi","given":"Rico"},{"family":"Schmidt","given":"Börge"},{"family":"Smith","given":"Albert V."},{"family":"Stergiakouli","given":"Evie"},{"family":"Tanaka","given":"Toshiko"},{"family":"Taylor","given":"Kent"},{"family":"Thorleifsson","given":"Gudmar"},{"family":"Wedenoja","given":"Juho"},{"family":"Wellmann","given":"Juergen"},{"family":"Westra","given":"Harm-Jan"},{"family":"Willems","given":"Sara M."},{"family":"Zhao","given":"Wei"},{"literal":"LifeLines Cohort Study"},{"family":"Amin","given":"Najaf"},{"family":"Bakshi","given":"Andrew"},{"family":"Bergmann","given":"Sven"},{"family":"Bjornsdottir","given":"Gyda"},{"family":"Boyle","given":"Patricia A."},{"family":"Cherney","given":"Samantha"},{"family":"Cox","given":"Simon R."},{"family":"Davies","given":"Gail"},{"family":"Davis","given":"Oliver S. P."},{"family":"Ding","given":"Jun"},{"family":"Direk","given":"Nese"},{"family":"Eibich","given":"Peter"},{"family":"Emeny","given":"Rebecca T."},{"family":"Fatemifar","given":"Ghazaleh"},{"family":"Faul","given":"Jessica D."},{"family":"Ferrucci","given":"Luigi"},{"family":"Forstner","given":"Andreas J."},{"family":"Gieger","given":"Christian"},{"family":"Gupta","given":"Richa"},{"family":"Harris","given":"Tamara B."},{"family":"Harris","given":"Juliette M."},{"family":"Holliday","given":"Elizabeth G."},{"family":"Hottenga","given":"Jouke-Jan"},{"family":"De Jager","given":"Philip L."},{"family":"Kaakinen","given":"Marika A."},{"family":"Kajantie","given":"Eero"},{"family":"Karhunen","given":"Ville"},{"family":"Kolcic","given":"Ivana"},{"family":"Kumari","given":"Meena"},{"family":"Launer","given":"Lenore J."},{"family":"Franke","given":"Lude"},{"family":"Li-Gao","given":"Ruifang"},{"family":"Liewald","given":"David C."},{"family":"Koini","given":"Marisa"},{"family":"Loukola","given":"Anu"},{"family":"Marques-Vidal","given":"Pedro"},{"family":"Montgomery","given":"Grant W."},{"family":"Mosing","given":"Miriam A."},{"family":"Paternoster","given":"Lavinia"},{"family":"Pattie","given":"Alison"},{"family":"Petrovic","given":"Katja E."},{"family":"Pulkki-Råback","given":"Laura"},{"family":"Quaye","given":"Lydia"},{"family":"Räikkönen","given":"Katri"},{"family":"Rudan","given":"Igor"},{"family":"Scott","given":"Rodney J."},{"family":"Smith","given":"Jennifer A."},{"family":"Sutin","given":"Angelina R."},{"family":"Trzaskowski","given":"Maciej"},{"family":"Vinkhuyzen","given":"Anna E."},{"family":"Yu","given":"Lei"},{"family":"Zabaneh","given":"Delilah"},{"family":"Attia","given":"John R."},{"family":"Bennett","given":"David A."},{"family":"Berger","given":"Klaus"},{"family":"Bertram","given":"Lars"},{"family":"Boomsma","given":"Dorret I."},{"family":"Snieder","given":"Harold"},{"family":"Chang","given":"Shun-Chiao"},{"family":"Cucca","given":"Francesco"},{"family":"Deary","given":"Ian J."},{"family":"Duijn","given":"Cornelia M.","non-dropping-particle":"van"},{"family":"Eriksson","given":"Johan G."},{"family":"Bültmann","given":"Ute"},{"family":"Geus","given":"Eco J. C.","non-dropping-particle":"de"},{"family":"Groenen","given":"Patrick J. F."},{"family":"Gudnason","given":"Vilmundur"},{"family":"Hansen","given":"Torben"},{"family":"Hartman","given":"Catharine A."},{"family":"Haworth","given":"Claire M. A."},{"family":"Hayward","given":"Caroline"},{"family":"Heath","given":"Andrew C."},{"family":"Hinds","given":"David A."},{"family":"Hyppönen","given":"Elina"},{"family":"Iacono","given":"William G."},{"family":"Järvelin","given":"Marjo-Riitta"},{"family":"Jöckel","given":"Karl-Heinz"},{"family":"Kaprio","given":"Jaakko"},{"family":"Kardia","given":"Sharon L. R."},{"family":"Keltikangas-Järvinen","given":"Liisa"},{"family":"Kraft","given":"Peter"},{"family":"Kubzansky","given":"Laura D."},{"family":"Lehtimäki","given":"Terho"},{"family":"Magnusson","given":"Patrik K. E."},{"family":"Martin","given":"Nicholas G."},{"family":"McGue","given":"Matt"},{"family":"Metspalu","given":"Andres"},{"family":"Mills","given":"Melinda"},{"family":"Mutsert","given":"Renée","non-dropping-particle":"de"},{"family":"Oldehinkel","given":"Albertine J."},{"family":"Pasterkamp","given":"Gerard"},{"family":"Pedersen","given":"Nancy L."},{"family":"Plomin","given":"Robert"},{"family":"Polasek","given":"Ozren"},{"family":"Power","given":"Christine"},{"family":"Rich","given":"Stephen S."},{"family":"Rosendaal","given":"Frits R."},{"family":"Ruijter","given":"Hester M.","non-dropping-particle":"den"},{"family":"Schlessinger","given":"David"},{"family":"Schmidt","given":"Helena"},{"family":"Svento","given":"Rauli"},{"family":"Schmidt","given":"Reinhold"},{"family":"Alizadeh","given":"Behrooz Z."},{"family":"Sørensen","given":"Thorkild I. A."},{"family":"Spector","given":"Tim D."},{"family":"Starr","given":"John M."},{"family":"Stefansson","given":"Kari"},{"family":"Steptoe","given":"Andrew"},{"family":"Terracciano","given":"Antonio"},{"family":"Thorsteinsdottir","given":"Unnur"},{"family":"Thurik","given":"A. Roy"},{"family":"Timpson","given":"Nicholas J."},{"family":"Tiemeier","given":"Henning"},{"family":"Uitterlinden","given":"André G."},{"family":"Vollenweider","given":"Peter"},{"family":"Wagner","given":"Gert G."},{"family":"Weir","given":"David R."},{"family":"Yang","given":"Jian"},{"family":"Conley","given":"Dalton C."},{"family":"Smith","given":"George Davey"},{"family":"Hofman","given":"Albert"},{"family":"Johannesson","given":"Magnus"},{"family":"Laibson","given":"David I."},{"family":"Medland","given":"Sarah E."},{"family":"Meyer","given":"Michelle N."},{"family":"Pickrell","given":"Joseph K."},{"family":"Esko","given":"Tõnu"},{"family":"Krueger","given":"Robert F."},{"family":"Beauchamp","given":"Jonathan P."},{"family":"Koellinger","given":"Philipp D."},{"family":"Benjamin","given":"Daniel J."},{"family":"Bartels","given":"Meike"},{"family":"Cesarini","given":"David"}],"issued":{"date-parts":[["2016",6]]}}}],"schema":"https://github.com/citation-style-language/schema/raw/master/csl-citation.json"} </w:instrText>
            </w:r>
            <w:r>
              <w:fldChar w:fldCharType="separate"/>
            </w:r>
            <w:r w:rsidR="009B7C37" w:rsidRPr="009B7C37">
              <w:rPr>
                <w:rFonts w:ascii="Calibri" w:hAnsi="Calibri" w:cs="Calibri"/>
                <w:szCs w:val="24"/>
                <w:vertAlign w:val="superscript"/>
              </w:rPr>
              <w:t>11</w:t>
            </w:r>
            <w:r>
              <w:fldChar w:fldCharType="end"/>
            </w:r>
          </w:p>
        </w:tc>
      </w:tr>
      <w:tr w:rsidR="00D06EC2" w:rsidRPr="00D06EC2" w14:paraId="689E919B" w14:textId="77777777" w:rsidTr="00B74A41">
        <w:trPr>
          <w:trHeight w:val="300"/>
        </w:trPr>
        <w:tc>
          <w:tcPr>
            <w:tcW w:w="2970" w:type="dxa"/>
            <w:tcBorders>
              <w:top w:val="nil"/>
              <w:left w:val="nil"/>
              <w:bottom w:val="nil"/>
              <w:right w:val="nil"/>
            </w:tcBorders>
            <w:shd w:val="clear" w:color="auto" w:fill="auto"/>
            <w:noWrap/>
            <w:vAlign w:val="center"/>
            <w:hideMark/>
          </w:tcPr>
          <w:p w14:paraId="5120BBC5" w14:textId="315D0EBB"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Y</w:t>
            </w:r>
            <w:r w:rsidR="0039290B">
              <w:rPr>
                <w:rFonts w:ascii="Calibri" w:eastAsia="Times New Roman" w:hAnsi="Calibri" w:cs="Calibri"/>
                <w:color w:val="000000"/>
                <w:lang w:eastAsia="zh-CN"/>
              </w:rPr>
              <w:t>ears of schooling</w:t>
            </w:r>
          </w:p>
        </w:tc>
        <w:tc>
          <w:tcPr>
            <w:tcW w:w="1256" w:type="dxa"/>
            <w:tcBorders>
              <w:top w:val="nil"/>
              <w:left w:val="nil"/>
              <w:bottom w:val="nil"/>
              <w:right w:val="nil"/>
            </w:tcBorders>
            <w:shd w:val="clear" w:color="auto" w:fill="auto"/>
            <w:noWrap/>
            <w:vAlign w:val="center"/>
            <w:hideMark/>
          </w:tcPr>
          <w:p w14:paraId="6FD0430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1.12E-05</w:t>
            </w:r>
          </w:p>
        </w:tc>
        <w:tc>
          <w:tcPr>
            <w:tcW w:w="1256" w:type="dxa"/>
            <w:tcBorders>
              <w:top w:val="nil"/>
              <w:left w:val="nil"/>
              <w:bottom w:val="nil"/>
              <w:right w:val="nil"/>
            </w:tcBorders>
            <w:shd w:val="clear" w:color="auto" w:fill="auto"/>
            <w:noWrap/>
            <w:vAlign w:val="center"/>
            <w:hideMark/>
          </w:tcPr>
          <w:p w14:paraId="23A7D11D"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6.91E-11</w:t>
            </w:r>
          </w:p>
        </w:tc>
        <w:tc>
          <w:tcPr>
            <w:tcW w:w="1256" w:type="dxa"/>
            <w:tcBorders>
              <w:top w:val="nil"/>
              <w:left w:val="nil"/>
              <w:bottom w:val="nil"/>
              <w:right w:val="nil"/>
            </w:tcBorders>
            <w:shd w:val="clear" w:color="auto" w:fill="auto"/>
            <w:noWrap/>
            <w:vAlign w:val="center"/>
            <w:hideMark/>
          </w:tcPr>
          <w:p w14:paraId="780E054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0.0069</w:t>
            </w:r>
          </w:p>
        </w:tc>
        <w:tc>
          <w:tcPr>
            <w:tcW w:w="1381" w:type="dxa"/>
            <w:tcBorders>
              <w:top w:val="nil"/>
              <w:left w:val="nil"/>
              <w:bottom w:val="nil"/>
              <w:right w:val="nil"/>
            </w:tcBorders>
            <w:shd w:val="clear" w:color="auto" w:fill="auto"/>
            <w:noWrap/>
            <w:vAlign w:val="bottom"/>
            <w:hideMark/>
          </w:tcPr>
          <w:p w14:paraId="4CEE248D"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66FD1D7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75F91A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8639B7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304F2DD8" w14:textId="1F533255" w:rsidR="00D06EC2" w:rsidRPr="00D06EC2" w:rsidRDefault="00E3080F"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{"citationID":"cB9PgWsk","properties":{"formattedCitation":"\\super 12\\nosupersub{}","plainCitation":"12","noteIndex":0},"citationItems":[{"id":1434,"uris":["http://zotero.org/users/local/JrzyeY6I/items/274RCSMV"],"itemData":{"id":1434,"type":"article-journal","abstract":"Educational attainment is strongly influenced by social and other environmental factors, but genetic factors are estimated to account for at least 20% of the variation across individuals. Here we report the results of a genome-wide association study (GWAS) for educational attainment that extends our earlier discovery sample of 101,069 individuals to 293,723 individuals, and a replication study in an independent sample of 111,349 individuals from the UK Biobank. We identify 74 genome-wide significant loci associated with the number of years of schooling completed. Single-nucleotide polymorphisms associated with educational attainment are disproportionately found in genomic regions regulating gene expression in the fetal brain. Candidate genes are preferentially expressed in neural tissue, especially during the prenatal period, and enriched for biological pathways involved in neural development. Our findings demonstrate that, even for a behavioural phenotype that is mostly environmentally determined, a well-powered GWAS identifies replicable associated genetic variants that suggest biologically relevant pathways. Because educational attainment is measured in large numbers of individuals, it will continue to be useful as a proxy phenotype in efforts to characterize the genetic influences of related phenotypes, including cognition and neuropsychiatric diseases.","container-title":"Nature","DOI":"10.1038/nature17671","ISSN":"1476-4687","issue":"7604","journalAbbreviation":"Nature","language":"eng","note":"PMID: 27225129\nPMCID: PMC4883595","page":"539-542","source":"PubMed","title":"Genome-wide association study identifies 74 loci associated with educational attainment","volume":"533","author":[{"family":"Okbay","given":"Aysu"},{"family":"Beauchamp","given":"Jonathan P."},{"family":"Fontana","given":"Mark Alan"},{"family":"Lee","given":"James J."},{"family":"Pers","given":"Tune H."},{"family":"Rietveld","given":"Cornelius A."},{"family":"Turley","given":"Patrick"},{"family":"Chen","given":"Guo-Bo"},{"family":"Emilsson","given":"Valur"},{"family":"Meddens","given":"S. Fleur W."},{"family":"Oskarsson","given":"Sven"},{"family":"Pickrell","given":"Joseph K."},{"family":"Thom","given":"Kevin"},{"family":"Timshel","given":"Pascal"},{"family":"Vlaming","given":"Ronald","non-dropping-particle":"de"},{"family":"Abdellaoui","given":"Abdel"},{"family":"Ahluwalia","given":"Tarunveer S."},{"family":"Bacelis","given":"Jonas"},{"family":"Baumbach","given":"Clemens"},{"family":"Bjornsdottir","given":"Gyda"},{"family":"Brandsma","given":"Johannes H."},{"family":"Pina Concas","given":"Maria"},{"family":"Derringer","given":"Jaime"},{"family":"Furlotte","given":"Nicholas A."},{"family":"Galesloot","given":"Tessel E."},{"family":"Girotto","given":"Giorgia"},{"family":"Gupta","given":"Richa"},{"family":"Hall","given":"Leanne M."},{"family":"Harris","given":"Sarah E."},{"family":"Hofer","given":"Edith"},{"family":"Horikoshi","given":"Momoko"},{"family":"Huffman","given":"Jennifer E."},{"family":"Kaasik","given":"Kadri"},{"family":"Kalafati","given":"Ioanna P."},{"family":"Karlsson","given":"Robert"},{"family":"Kong","given":"Augustine"},{"family":"Lahti","given":"Jari"},{"family":"Lee","given":"Sven J.","non-dropping-particle":"van der"},{"family":"deLeeuw","given":"Christiaan"},{"family":"Lind","given":"Penelope A."},{"family":"Lindgren","given":"Karl-Oskar"},{"family":"Liu","given":"Tian"},{"family":"Mangino","given":"Massimo"},{"family":"Marten","given":"Jonathan"},{"family":"Mihailov","given":"Evelin"},{"family":"Miller","given":"Michael B."},{"family":"Most","given":"Peter J.","non-dropping-particle":"van der"},{"family":"Oldmeadow","given":"Christopher"},{"family":"Payton","given":"Antony"},{"family":"Pervjakova","given":"Natalia"},{"family":"Peyrot","given":"Wouter J."},{"family":"Qian","given":"Yong"},{"family":"Raitakari","given":"Olli"},{"family":"Rueedi","given":"Rico"},{"family":"Salvi","given":"Erika"},{"family":"Schmidt","given":"Börge"},{"family":"Schraut","given":"Katharina E."},{"family":"Shi","given":"Jianxin"},{"family":"Smith","given":"Albert V."},{"family":"Poot","given":"Raymond A."},{"family":"St Pourcain","given":"Beate"},{"family":"Teumer","given":"Alexander"},{"family":"Thorleifsson","given":"Gudmar"},{"family":"Verweij","given":"Niek"},{"family":"Vuckovic","given":"Dragana"},{"family":"Wellmann","given":"Juergen"},{"family":"Westra","given":"Harm-Jan"},{"family":"Yang","given":"Jingyun"},{"family":"Zhao","given":"Wei"},{"family":"Zhu","given":"Zhihong"},{"family":"Alizadeh","given":"Behrooz Z."},{"family":"Amin","given":"Najaf"},{"family":"Bakshi","given":"Andrew"},{"family":"Baumeister","given":"Sebastian E."},{"family":"Biino","given":"Ginevra"},{"family":"Bønnelykke","given":"Klaus"},{"family":"Boyle","given":"Patricia A."},{"family":"Campbell","given":"Harry"},{"family":"Cappuccio","given":"Francesco P."},{"family":"Davies","given":"Gail"},{"family":"De Neve","given":"Jan-Emmanuel"},{"family":"Deloukas","given":"Panos"},{"family":"Demuth","given":"Ilja"},{"family":"Ding","given":"Jun"},{"family":"Eibich","given":"Peter"},{"family":"Eisele","given":"Lewin"},{"family":"Eklund","given":"Niina"},{"family":"Evans","given":"David M."},{"family":"Faul","given":"Jessica D."},{"family":"Feitosa","given":"Mary F."},{"family":"Forstner","given":"Andreas J."},{"family":"Gandin","given":"Ilaria"},{"family":"Gunnarsson","given":"Bjarni"},{"family":"Halldórsson","given":"Bjarni V."},{"family":"Harris","given":"Tamara B."},{"family":"Heath","given":"Andrew C."},{"family":"Hocking","given":"Lynne J."},{"family":"Holliday","given":"Elizabeth G."},{"family":"Homuth","given":"Georg"},{"family":"Horan","given":"Michael A."},{"family":"Hottenga","given":"Jouke-Jan"},{"family":"Jager","given":"Philip L.","non-dropping-particle":"de"},{"family":"Joshi","given":"Peter K."},{"family":"Jugessur","given":"Astanand"},{"family":"Kaakinen","given":"Marika A."},{"family":"Kähönen","given":"Mika"},{"family":"Kanoni","given":"Stavroula"},{"family":"Keltigangas-Järvinen","given":"Liisa"},{"family":"Kiemeney","given":"Lambertus A. L. M."},{"family":"Kolcic","given":"Ivana"},{"family":"Koskinen","given":"Seppo"},{"family":"Kraja","given":"Aldi T."},{"family":"Kroh","given":"Martin"},{"family":"Kutalik","given":"Zoltan"},{"family":"Latvala","given":"Antti"},{"family":"Launer","given":"Lenore J."},{"family":"Lebreton","given":"Maël P."},{"family":"Levinson","given":"Douglas F."},{"family":"Lichtenstein","given":"Paul"},{"family":"Lichtner","given":"Peter"},{"family":"Liewald","given":"David C. M."},{"literal":"LifeLines Cohort Study"},{"family":"Loukola","given":"Anu"},{"family":"Madden","given":"Pamela A."},{"family":"Mägi","given":"Reedik"},{"family":"Mäki-Opas","given":"Tomi"},{"family":"Marioni","given":"Riccardo E."},{"family":"Marques-Vidal","given":"Pedro"},{"family":"Meddens","given":"Gerardus A."},{"family":"McMahon","given":"George"},{"family":"Meisinger","given":"Christa"},{"family":"Meitinger","given":"Thomas"},{"family":"Milaneschi","given":"Yusplitri"},{"family":"Milani","given":"Lili"},{"family":"Montgomery","given":"Grant W."},{"family":"Myhre","given":"Ronny"},{"family":"Nelson","given":"Christopher P."},{"family":"Nyholt","given":"Dale R."},{"family":"Ollier","given":"William E. R."},{"family":"Palotie","given":"Aarno"},{"family":"Paternoster","given":"Lavinia"},{"family":"Pedersen","given":"Nancy L."},{"family":"Petrovic","given":"Katja E."},{"family":"Porteous","given":"David J."},{"family":"Räikkönen","given":"Katri"},{"family":"Ring","given":"Susan M."},{"family":"Robino","given":"Antonietta"},{"family":"Rostapshova","given":"Olga"},{"family":"Rudan","given":"Igor"},{"family":"Rustichini","given":"Aldo"},{"family":"Salomaa","given":"Veikko"},{"family":"Sanders","given":"Alan R."},{"family":"Sarin","given":"Antti-Pekka"},{"family":"Schmidt","given":"Helena"},{"family":"Scott","given":"Rodney J."},{"family":"Smith","given":"Blair H."},{"family":"Smith","given":"Jennifer A."},{"family":"Staessen","given":"Jan A."},{"family":"Steinhagen-Thiessen","given":"Elisabeth"},{"family":"Strauch","given":"Konstantin"},{"family":"Terracciano","given":"Antonio"},{"family":"Tobin","given":"Martin D."},{"family":"Ulivi","given":"Sheila"},{"family":"Vaccargiu","given":"Simona"},{"family":"Quaye","given":"Lydia"},{"family":"Rooij","given":"Frank J. A.","non-dropping-particle":"van"},{"family":"Venturini","given":"Cristina"},{"family":"Vinkhuyzen","given":"Anna A. E."},{"family":"Völker","given":"Uwe"},{"family":"Völzke","given":"Henry"},{"family":"Vonk","given":"Judith M."},{"family":"Vozzi","given":"Diego"},{"family":"Waage","given":"Johannes"},{"family":"Ware","given":"Erin B."},{"family":"Willemsen","given":"Gonneke"},{"family":"Attia","given":"John R."},{"family":"Bennett","given":"David A."},{"family":"Berger","given":"Klaus"},{"family":"Bertram","given":"Lars"},{"family":"Bisgaard","given":"Hans"},{"family":"Boomsma","given":"Dorret I."},{"family":"Borecki","given":"Ingrid B."},{"family":"Bültmann","given":"Ute"},{"family":"Chabris","given":"Christopher F."},{"family":"Cucca","given":"Francesco"},{"family":"Cusi","given":"Daniele"},{"family":"Deary","given":"Ian J."},{"family":"Dedoussis","given":"George V."},{"family":"Duijn","given":"Cornelia M.","non-dropping-particle":"van"},{"family":"Eriksson","given":"Johan G."},{"family":"Franke","given":"Barbara"},{"family":"Franke","given":"Lude"},{"family":"Gasparini","given":"Paolo"},{"family":"Gejman","given":"Pablo V."},{"family":"Gieger","given":"Christian"},{"family":"Grabe","given":"Hans-Jörgen"},{"family":"Gratten","given":"Jacob"},{"family":"Groenen","given":"Patrick J. F."},{"family":"Gudnason","given":"Vilmundur"},{"family":"Harst","given":"Pim","non-dropping-particle":"van der"},{"family":"Hayward","given":"Caroline"},{"family":"Hinds","given":"David A."},{"family":"Hoffmann","given":"Wolfgang"},{"family":"Hyppönen","given":"Elina"},{"family":"Iacono","given":"William G."},{"family":"Jacobsson","given":"Bo"},{"family":"Järvelin","given":"Marjo-Riitta"},{"family":"Jöckel","given":"Karl-Heinz"},{"family":"Kaprio","given":"Jaakko"},{"family":"Kardia","given":"Sharon L. R."},{"family":"Lehtimäki","given":"Terho"},{"family":"Lehrer","given":"Steven F."},{"family":"Magnusson","given":"Patrik K. E."},{"family":"Martin","given":"Nicholas G."},{"family":"McGue","given":"Matt"},{"family":"Metspalu","given":"Andres"},{"family":"Pendleton","given":"Neil"},{"family":"Penninx","given":"Brenda W. J. H."},{"family":"Perola","given":"Markus"},{"family":"Pirastu","given":"Nicola"},{"family":"Pirastu","given":"Mario"},{"family":"Polasek","given":"Ozren"},{"family":"Posthuma","given":"Danielle"},{"family":"Power","given":"Christine"},{"family":"Province","given":"Michael A."},{"family":"Samani","given":"Nilesh J."},{"family":"Schlessinger","given":"David"},{"family":"Schmidt","given":"Reinhold"},{"family":"Sørensen","given":"Thorkild I. A."},{"family":"Spector","given":"Tim D."},{"family":"Stefansson","given":"Kari"},{"family":"Thorsteinsdottir","given":"Unnur"},{"family":"Thurik","given":"A. Roy"},{"family":"Timpson","given":"Nicholas J."},{"family":"Tiemeier","given":"Henning"},{"family":"Tung","given":"Joyce Y."},{"family":"Uitterlinden","given":"André G."},{"family":"Vitart","given":"Veronique"},{"family":"Vollenweider","given":"Peter"},{"family":"Weir","given":"David R."},{"family":"Wilson","given":"James F."},{"family":"Wright","given":"Alan F."},{"family":"Conley","given":"Dalton C."},{"family":"Krueger","given":"Robert F."},{"family":"Davey Smith","given":"George"},{"family":"Hofman","given":"Albert"},{"family":"Laibson","given":"David I."},{"family":"Medland","given":"Sarah E."},{"family":"Meyer","given":"Michelle N."},{"family":"Yang","given":"Jian"},{"family":"Johannesson","given":"Magnus"},{"family":"Visscher","given":"Peter M."},{"family":"Esko","given":"Tõnu"},{"family":"Koellinger","given":"Philipp D."},{"family":"Cesarini","given":"David"},{"family":"Benjamin","given":"Daniel J."}],"issued":{"date-parts":[["2016",5,26]]}}}],"schema":"https://github.com/citation-style-language/schema/raw/master/csl-citation.json"}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12</w:t>
            </w:r>
            <w:r>
              <w:rPr>
                <w:rFonts w:ascii="Calibri" w:eastAsia="Times New Roman" w:hAnsi="Calibri" w:cs="Calibri"/>
                <w:lang w:eastAsia="zh-CN"/>
              </w:rPr>
              <w:fldChar w:fldCharType="end"/>
            </w:r>
          </w:p>
        </w:tc>
      </w:tr>
      <w:tr w:rsidR="00D06EC2" w:rsidRPr="00D06EC2" w14:paraId="2650456A" w14:textId="77777777" w:rsidTr="00B74A41">
        <w:trPr>
          <w:trHeight w:val="300"/>
        </w:trPr>
        <w:tc>
          <w:tcPr>
            <w:tcW w:w="2970" w:type="dxa"/>
            <w:tcBorders>
              <w:top w:val="nil"/>
              <w:left w:val="nil"/>
              <w:bottom w:val="nil"/>
              <w:right w:val="nil"/>
            </w:tcBorders>
            <w:shd w:val="clear" w:color="auto" w:fill="auto"/>
            <w:noWrap/>
            <w:vAlign w:val="center"/>
            <w:hideMark/>
          </w:tcPr>
          <w:p w14:paraId="2644D4DB" w14:textId="6C852292" w:rsidR="00D06EC2" w:rsidRPr="00D06EC2" w:rsidRDefault="00C70634"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Household income</w:t>
            </w:r>
          </w:p>
        </w:tc>
        <w:tc>
          <w:tcPr>
            <w:tcW w:w="1256" w:type="dxa"/>
            <w:tcBorders>
              <w:top w:val="nil"/>
              <w:left w:val="nil"/>
              <w:bottom w:val="nil"/>
              <w:right w:val="nil"/>
            </w:tcBorders>
            <w:shd w:val="clear" w:color="auto" w:fill="auto"/>
            <w:noWrap/>
            <w:vAlign w:val="center"/>
            <w:hideMark/>
          </w:tcPr>
          <w:p w14:paraId="39A69E77"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0.0836</w:t>
            </w:r>
          </w:p>
        </w:tc>
        <w:tc>
          <w:tcPr>
            <w:tcW w:w="1256" w:type="dxa"/>
            <w:tcBorders>
              <w:top w:val="nil"/>
              <w:left w:val="nil"/>
              <w:bottom w:val="nil"/>
              <w:right w:val="nil"/>
            </w:tcBorders>
            <w:shd w:val="clear" w:color="auto" w:fill="auto"/>
            <w:noWrap/>
            <w:vAlign w:val="center"/>
            <w:hideMark/>
          </w:tcPr>
          <w:p w14:paraId="481A0AF4"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0.7966</w:t>
            </w:r>
          </w:p>
        </w:tc>
        <w:tc>
          <w:tcPr>
            <w:tcW w:w="1256" w:type="dxa"/>
            <w:tcBorders>
              <w:top w:val="nil"/>
              <w:left w:val="nil"/>
              <w:bottom w:val="nil"/>
              <w:right w:val="nil"/>
            </w:tcBorders>
            <w:shd w:val="clear" w:color="auto" w:fill="auto"/>
            <w:noWrap/>
            <w:vAlign w:val="center"/>
            <w:hideMark/>
          </w:tcPr>
          <w:p w14:paraId="2A2316A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0.0025</w:t>
            </w:r>
          </w:p>
        </w:tc>
        <w:tc>
          <w:tcPr>
            <w:tcW w:w="1381" w:type="dxa"/>
            <w:tcBorders>
              <w:top w:val="nil"/>
              <w:left w:val="nil"/>
              <w:bottom w:val="nil"/>
              <w:right w:val="nil"/>
            </w:tcBorders>
            <w:shd w:val="clear" w:color="auto" w:fill="auto"/>
            <w:noWrap/>
            <w:vAlign w:val="bottom"/>
            <w:hideMark/>
          </w:tcPr>
          <w:p w14:paraId="1F298AC5"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17BD699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8882D9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7B49664C"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49E66227" w14:textId="6B5F0899" w:rsidR="00D06EC2" w:rsidRPr="00D06EC2" w:rsidRDefault="00D76C8E"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{"citationID":"83dxr6XH","properties":{"formattedCitation":"\\super 13\\nosupersub{}","plainCitation":"13","noteIndex":0},"citationItems":[{"id":1437,"uris":["http://zotero.org/users/local/JrzyeY6I/items/ZEZ5NG3Q"],"itemData":{"id":1437,"type":"article-journal","abstract":"Individuals with lower socio-economic status (SES) are at increased risk of physical and mental illnesses and tend to die at an earlier age [1-3]. Explanations for the association between SES and health typically focus on factors that are environmental in origin [4]. However, common SNPs have been found collectively to explain around 18% of the phenotypic variance of an area-based social deprivation measure of SES [5]. Molecular genetic studies have also shown that common physical and psychiatric diseases are partly heritable [6]. It is possible that phenotypic associations between SES and health arise partly due to a shared genetic etiology. We conducted a genome-wide association study (GWAS) on social deprivation and on household income using 112,151 participants of UK Biobank. We find that common SNPs explain 21% of the variation in social deprivation and 11% of household income. Two independent loci attained genome-wide significance for household income, with the most significant SNP in each of these loci being rs187848990 on chromosome 2 and rs8100891 on chromosome 19. Genes in the regions of these SNPs have been associated with intellectual disabilities, schizophrenia, and synaptic plasticity. Extensive genetic correlations were found between both measures of SES and illnesses, anthropometric variables, psychiatric disorders, and cognitive ability. These findings suggest that some SNPs associated with SES are involved in the brain and central nervous system. The genetic associations with SES obviously do not reflect direct causal effects and are probably mediated via other partly heritable variables, including cognitive ability, personality, and health.","container-title":"Current biology: CB","DOI":"10.1016/j.cub.2016.09.035","ISSN":"1879-0445","issue":"22","journalAbbreviation":"Curr Biol","language":"eng","note":"PMID: 27818178\nPMCID: PMC5130721","page":"3083-3089","source":"PubMed","title":"Molecular Genetic Contributions to Social Deprivation and Household Income in UK Biobank","volume":"26","author":[{"family":"Hill","given":"W. David"},{"family":"Hagenaars","given":"Saskia P."},{"family":"Marioni","given":"Riccardo E."},{"family":"Harris","given":"Sarah E."},{"family":"Liewald","given":"David C. M."},{"family":"Davies","given":"Gail"},{"family":"Okbay","given":"Aysu"},{"family":"McIntosh","given":"Andrew M."},{"family":"Gale","given":"Catharine R."},{"family":"Deary","given":"Ian J."}],"issued":{"date-parts":[["2016",11,21]]}}}],"schema":"https://github.com/citation-style-language/schema/raw/master/csl-citation.json"} </w:instrText>
            </w:r>
            <w:r>
              <w:fldChar w:fldCharType="separate"/>
            </w:r>
            <w:r w:rsidR="009B7C37" w:rsidRPr="009B7C37">
              <w:rPr>
                <w:rFonts w:ascii="Calibri" w:hAnsi="Calibri" w:cs="Calibri"/>
                <w:szCs w:val="24"/>
                <w:vertAlign w:val="superscript"/>
              </w:rPr>
              <w:t>13</w:t>
            </w:r>
            <w:r>
              <w:fldChar w:fldCharType="end"/>
            </w:r>
          </w:p>
        </w:tc>
      </w:tr>
      <w:tr w:rsidR="00D06EC2" w:rsidRPr="00D06EC2" w14:paraId="1A97DBEF" w14:textId="77777777" w:rsidTr="00B74A41">
        <w:trPr>
          <w:trHeight w:val="300"/>
        </w:trPr>
        <w:tc>
          <w:tcPr>
            <w:tcW w:w="2970" w:type="dxa"/>
            <w:tcBorders>
              <w:top w:val="nil"/>
              <w:left w:val="nil"/>
              <w:bottom w:val="nil"/>
              <w:right w:val="nil"/>
            </w:tcBorders>
            <w:shd w:val="clear" w:color="auto" w:fill="auto"/>
            <w:noWrap/>
            <w:vAlign w:val="center"/>
            <w:hideMark/>
          </w:tcPr>
          <w:p w14:paraId="7083C5C7" w14:textId="7A8A0B4E" w:rsidR="00D06EC2" w:rsidRPr="00D06EC2" w:rsidRDefault="00443B75"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Social deprivation, </w:t>
            </w:r>
            <w:r w:rsidR="00D06EC2" w:rsidRPr="00D06EC2">
              <w:rPr>
                <w:rFonts w:ascii="Calibri" w:eastAsia="Times New Roman" w:hAnsi="Calibri" w:cs="Calibri"/>
                <w:color w:val="000000"/>
                <w:lang w:eastAsia="zh-CN"/>
              </w:rPr>
              <w:t>Townsend</w:t>
            </w:r>
          </w:p>
        </w:tc>
        <w:tc>
          <w:tcPr>
            <w:tcW w:w="1256" w:type="dxa"/>
            <w:tcBorders>
              <w:top w:val="nil"/>
              <w:left w:val="nil"/>
              <w:bottom w:val="nil"/>
              <w:right w:val="nil"/>
            </w:tcBorders>
            <w:shd w:val="clear" w:color="auto" w:fill="auto"/>
            <w:noWrap/>
            <w:vAlign w:val="center"/>
            <w:hideMark/>
          </w:tcPr>
          <w:p w14:paraId="0A474E1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0.0255</w:t>
            </w:r>
          </w:p>
        </w:tc>
        <w:tc>
          <w:tcPr>
            <w:tcW w:w="1256" w:type="dxa"/>
            <w:tcBorders>
              <w:top w:val="nil"/>
              <w:left w:val="nil"/>
              <w:bottom w:val="nil"/>
              <w:right w:val="nil"/>
            </w:tcBorders>
            <w:shd w:val="clear" w:color="auto" w:fill="auto"/>
            <w:noWrap/>
            <w:vAlign w:val="center"/>
            <w:hideMark/>
          </w:tcPr>
          <w:p w14:paraId="6C8AB5DE"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0.09</w:t>
            </w:r>
          </w:p>
        </w:tc>
        <w:tc>
          <w:tcPr>
            <w:tcW w:w="1256" w:type="dxa"/>
            <w:tcBorders>
              <w:top w:val="nil"/>
              <w:left w:val="nil"/>
              <w:bottom w:val="nil"/>
              <w:right w:val="nil"/>
            </w:tcBorders>
            <w:shd w:val="clear" w:color="auto" w:fill="auto"/>
            <w:noWrap/>
            <w:vAlign w:val="center"/>
            <w:hideMark/>
          </w:tcPr>
          <w:p w14:paraId="207001BB"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0.002</w:t>
            </w:r>
          </w:p>
        </w:tc>
        <w:tc>
          <w:tcPr>
            <w:tcW w:w="1381" w:type="dxa"/>
            <w:tcBorders>
              <w:top w:val="nil"/>
              <w:left w:val="nil"/>
              <w:bottom w:val="nil"/>
              <w:right w:val="nil"/>
            </w:tcBorders>
            <w:shd w:val="clear" w:color="auto" w:fill="auto"/>
            <w:noWrap/>
            <w:vAlign w:val="bottom"/>
            <w:hideMark/>
          </w:tcPr>
          <w:p w14:paraId="03FF34FC"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70A0570C"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2386DB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9D5867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6F93F7D7" w14:textId="3D33C690" w:rsidR="00D06EC2" w:rsidRPr="00D06EC2" w:rsidRDefault="00D76C8E"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{"citationID":"siqc6niN","properties":{"formattedCitation":"\\super 13\\nosupersub{}","plainCitation":"13","noteIndex":0},"citationItems":[{"id":1437,"uris":["http://zotero.org/users/local/JrzyeY6I/items/ZEZ5NG3Q"],"itemData":{"id":1437,"type":"article-journal","abstract":"Individuals with lower socio-economic status (SES) are at increased risk of physical and mental illnesses and tend to die at an earlier age [1-3]. Explanations for the association between SES and health typically focus on factors that are environmental in origin [4]. However, common SNPs have been found collectively to explain around 18% of the phenotypic variance of an area-based social deprivation measure of SES [5]. Molecular genetic studies have also shown that common physical and psychiatric diseases are partly heritable [6]. It is possible that phenotypic associations between SES and health arise partly due to a shared genetic etiology. We conducted a genome-wide association study (GWAS) on social deprivation and on household income using 112,151 participants of UK Biobank. We find that common SNPs explain 21% of the variation in social deprivation and 11% of household income. Two independent loci attained genome-wide significance for household income, with the most significant SNP in each of these loci being rs187848990 on chromosome 2 and rs8100891 on chromosome 19. Genes in the regions of these SNPs have been associated with intellectual disabilities, schizophrenia, and synaptic plasticity. Extensive genetic correlations were found between both measures of SES and illnesses, anthropometric variables, psychiatric disorders, and cognitive ability. These findings suggest that some SNPs associated with SES are involved in the brain and central nervous system. The genetic associations with SES obviously do not reflect direct causal effects and are probably mediated via other partly heritable variables, including cognitive ability, personality, and health.","container-title":"Current biology: CB","DOI":"10.1016/j.cub.2016.09.035","ISSN":"1879-0445","issue":"22","journalAbbreviation":"Curr Biol","language":"eng","note":"PMID: 27818178\nPMCID: PMC5130721","page":"3083-3089","source":"PubMed","title":"Molecular Genetic Contributions to Social Deprivation and Household Income in UK Biobank","volume":"26","author":[{"family":"Hill","given":"W. David"},{"family":"Hagenaars","given":"Saskia P."},{"family":"Marioni","given":"Riccardo E."},{"family":"Harris","given":"Sarah E."},{"family":"Liewald","given":"David C. M."},{"family":"Davies","given":"Gail"},{"family":"Okbay","given":"Aysu"},{"family":"McIntosh","given":"Andrew M."},{"family":"Gale","given":"Catharine R."},{"family":"Deary","given":"Ian J."}],"issued":{"date-parts":[["2016",11,21]]}}}],"schema":"https://github.com/citation-style-language/schema/raw/master/csl-citation.json"} </w:instrText>
            </w:r>
            <w:r>
              <w:fldChar w:fldCharType="separate"/>
            </w:r>
            <w:r w:rsidR="009B7C37" w:rsidRPr="009B7C37">
              <w:rPr>
                <w:rFonts w:ascii="Calibri" w:hAnsi="Calibri" w:cs="Calibri"/>
                <w:szCs w:val="24"/>
                <w:vertAlign w:val="superscript"/>
              </w:rPr>
              <w:t>13</w:t>
            </w:r>
            <w:r>
              <w:fldChar w:fldCharType="end"/>
            </w:r>
          </w:p>
        </w:tc>
      </w:tr>
      <w:tr w:rsidR="00D06EC2" w:rsidRPr="00D06EC2" w14:paraId="4E1965CC" w14:textId="77777777" w:rsidTr="00B74A41">
        <w:trPr>
          <w:trHeight w:val="300"/>
        </w:trPr>
        <w:tc>
          <w:tcPr>
            <w:tcW w:w="2970" w:type="dxa"/>
            <w:tcBorders>
              <w:top w:val="nil"/>
              <w:left w:val="nil"/>
              <w:bottom w:val="nil"/>
              <w:right w:val="nil"/>
            </w:tcBorders>
            <w:shd w:val="clear" w:color="auto" w:fill="auto"/>
            <w:noWrap/>
            <w:vAlign w:val="center"/>
            <w:hideMark/>
          </w:tcPr>
          <w:p w14:paraId="4EDD17CC" w14:textId="03D7A9ED"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A</w:t>
            </w:r>
            <w:r w:rsidR="00082A77">
              <w:rPr>
                <w:rFonts w:ascii="Calibri" w:eastAsia="Times New Roman" w:hAnsi="Calibri" w:cs="Calibri"/>
                <w:color w:val="000000"/>
                <w:lang w:eastAsia="zh-CN"/>
              </w:rPr>
              <w:t xml:space="preserve">utism spectral disorder </w:t>
            </w:r>
            <w:r w:rsidRPr="00D06EC2">
              <w:rPr>
                <w:rFonts w:ascii="Calibri" w:eastAsia="Times New Roman" w:hAnsi="Calibri" w:cs="Calibri"/>
                <w:color w:val="000000"/>
                <w:lang w:eastAsia="zh-CN"/>
              </w:rPr>
              <w:t>2017</w:t>
            </w:r>
          </w:p>
        </w:tc>
        <w:tc>
          <w:tcPr>
            <w:tcW w:w="1256" w:type="dxa"/>
            <w:tcBorders>
              <w:top w:val="nil"/>
              <w:left w:val="nil"/>
              <w:bottom w:val="nil"/>
              <w:right w:val="nil"/>
            </w:tcBorders>
            <w:shd w:val="clear" w:color="auto" w:fill="auto"/>
            <w:noWrap/>
            <w:vAlign w:val="center"/>
            <w:hideMark/>
          </w:tcPr>
          <w:p w14:paraId="12E6BAE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2.57E-19</w:t>
            </w:r>
          </w:p>
        </w:tc>
        <w:tc>
          <w:tcPr>
            <w:tcW w:w="1256" w:type="dxa"/>
            <w:tcBorders>
              <w:top w:val="nil"/>
              <w:left w:val="nil"/>
              <w:bottom w:val="nil"/>
              <w:right w:val="nil"/>
            </w:tcBorders>
            <w:shd w:val="clear" w:color="auto" w:fill="auto"/>
            <w:noWrap/>
            <w:vAlign w:val="center"/>
            <w:hideMark/>
          </w:tcPr>
          <w:p w14:paraId="389C5EC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0.0047</w:t>
            </w:r>
          </w:p>
        </w:tc>
        <w:tc>
          <w:tcPr>
            <w:tcW w:w="1256" w:type="dxa"/>
            <w:tcBorders>
              <w:top w:val="nil"/>
              <w:left w:val="nil"/>
              <w:bottom w:val="nil"/>
              <w:right w:val="nil"/>
            </w:tcBorders>
            <w:shd w:val="clear" w:color="auto" w:fill="auto"/>
            <w:noWrap/>
            <w:vAlign w:val="center"/>
            <w:hideMark/>
          </w:tcPr>
          <w:p w14:paraId="61EC904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2.70E-06</w:t>
            </w:r>
          </w:p>
        </w:tc>
        <w:tc>
          <w:tcPr>
            <w:tcW w:w="1381" w:type="dxa"/>
            <w:tcBorders>
              <w:top w:val="nil"/>
              <w:left w:val="nil"/>
              <w:bottom w:val="nil"/>
              <w:right w:val="nil"/>
            </w:tcBorders>
            <w:shd w:val="clear" w:color="auto" w:fill="auto"/>
            <w:noWrap/>
            <w:vAlign w:val="bottom"/>
            <w:hideMark/>
          </w:tcPr>
          <w:p w14:paraId="4B6785B3"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5D810DAD"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AF6840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E340D1C"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4DE7BBB8" w14:textId="147A84FA" w:rsidR="00D06EC2" w:rsidRPr="00D06EC2" w:rsidRDefault="00D76C8E"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{"citationID":"gJ9VTYhu","properties":{"formattedCitation":"\\super 14\\nosupersub{}","plainCitation":"14","noteIndex":0},"citationItems":[{"id":1440,"uris":["http://zotero.org/users/local/JrzyeY6I/items/2P9HPDMS"],"itemData":{"id":1440,"type":"article-journal","abstract":"BACKGROUND: Over the past decade genome-wide association studies (GWAS) have been applied to aid in the understanding of the biology of traits. The success of this approach is governed by the underlying effect sizes carried by the true risk variants and the corresponding statistical power to observe such effects given the study design and sample size under investigation. Previous ASD GWAS have identified genome-wide significant (GWS) risk loci; however, these studies were of only of low statistical power to identify GWS loci at the lower effect sizes (odds ratio (OR) &lt;1.15).\nMETHODS: We conducted a large-scale coordinated international collaboration to combine independent genotyping data to improve the statistical power and aid in robust discovery of GWS loci. This study uses genome-wide genotyping data from a discovery sample (7387 ASD cases and 8567 controls) followed by meta-analysis of summary statistics from two replication sets (7783 ASD cases and 11359 controls; and 1369 ASD cases and 137308 controls).\nRESULTS: We observe a GWS locus at 10q24.32 that overlaps several genes including PITX3, which encodes a transcription factor identified as playing a role in neuronal differentiation and CUEDC2 previously reported to be associated with social skills in an independent population cohort. We also observe overlap with regions previously implicated in schizophrenia which was further supported by a strong genetic correlation between these disorders (Rg = 0.23; P = 9 × 10-6). We further combined these Psychiatric Genomics Consortium (PGC) ASD GWAS data with the recent PGC schizophrenia GWAS to identify additional regions which may be important in a common neurodevelopmental phenotype and identified 12 novel GWS loci. These include loci previously implicated in ASD such as FOXP1 at 3p13, ATP2B2 at 3p25.3, and a 'neurodevelopmental hub' on chromosome 8p11.23.\nCONCLUSIONS: This study is an important step in the ongoing endeavour to identify the loci which underpin the common variant signal in ASD. In addition to novel GWS loci, we have identified a significant genetic correlation with schizophrenia and association of ASD with several neurodevelopmental-related genes such as EXT1, ASTN2, MACROD2, and HDAC4.","container-title":"Molecular Autism","DOI":"10.1186/s13229-017-0137-9","ISSN":"2040-2392","journalAbbreviation":"Mol Autism","language":"eng","note":"PMID: 28540026\nPMCID: PMC5441062","page":"21","source":"PubMed","title":"Meta-analysis of GWAS of over 16,000 individuals with autism spectrum disorder highlights a novel locus at 10q24.32 and a significant overlap with schizophrenia","volume":"8","author":[{"literal":"Autism Spectrum Disorders Working Group of The Psychiatric Genomics Consortium"}],"issued":{"date-parts":[["2017"]]}}}],"schema":"https://github.com/citation-style-language/schema/raw/master/csl-citation.json"} </w:instrText>
            </w:r>
            <w:r>
              <w:fldChar w:fldCharType="separate"/>
            </w:r>
            <w:r w:rsidR="009B7C37" w:rsidRPr="009B7C37">
              <w:rPr>
                <w:rFonts w:ascii="Calibri" w:hAnsi="Calibri" w:cs="Calibri"/>
                <w:szCs w:val="24"/>
                <w:vertAlign w:val="superscript"/>
              </w:rPr>
              <w:t>14</w:t>
            </w:r>
            <w:r>
              <w:fldChar w:fldCharType="end"/>
            </w:r>
          </w:p>
        </w:tc>
      </w:tr>
      <w:tr w:rsidR="00D06EC2" w:rsidRPr="00D06EC2" w14:paraId="2C0CF272" w14:textId="77777777" w:rsidTr="00B74A41">
        <w:trPr>
          <w:trHeight w:val="300"/>
        </w:trPr>
        <w:tc>
          <w:tcPr>
            <w:tcW w:w="2970" w:type="dxa"/>
            <w:tcBorders>
              <w:top w:val="nil"/>
              <w:left w:val="nil"/>
              <w:bottom w:val="nil"/>
              <w:right w:val="nil"/>
            </w:tcBorders>
            <w:shd w:val="clear" w:color="auto" w:fill="auto"/>
            <w:noWrap/>
            <w:vAlign w:val="center"/>
            <w:hideMark/>
          </w:tcPr>
          <w:p w14:paraId="3F6328CA" w14:textId="5339A847"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T</w:t>
            </w:r>
            <w:r w:rsidR="00E93FD7">
              <w:rPr>
                <w:rFonts w:ascii="Calibri" w:eastAsia="Times New Roman" w:hAnsi="Calibri" w:cs="Calibri"/>
                <w:color w:val="000000"/>
                <w:lang w:eastAsia="zh-CN"/>
              </w:rPr>
              <w:t>riglycerides</w:t>
            </w:r>
          </w:p>
        </w:tc>
        <w:tc>
          <w:tcPr>
            <w:tcW w:w="1256" w:type="dxa"/>
            <w:tcBorders>
              <w:top w:val="nil"/>
              <w:left w:val="nil"/>
              <w:bottom w:val="nil"/>
              <w:right w:val="nil"/>
            </w:tcBorders>
            <w:shd w:val="clear" w:color="auto" w:fill="auto"/>
            <w:noWrap/>
            <w:vAlign w:val="center"/>
            <w:hideMark/>
          </w:tcPr>
          <w:p w14:paraId="5A20938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0.0432</w:t>
            </w:r>
          </w:p>
        </w:tc>
        <w:tc>
          <w:tcPr>
            <w:tcW w:w="1256" w:type="dxa"/>
            <w:tcBorders>
              <w:top w:val="nil"/>
              <w:left w:val="nil"/>
              <w:bottom w:val="nil"/>
              <w:right w:val="nil"/>
            </w:tcBorders>
            <w:shd w:val="clear" w:color="auto" w:fill="auto"/>
            <w:noWrap/>
            <w:vAlign w:val="center"/>
            <w:hideMark/>
          </w:tcPr>
          <w:p w14:paraId="2EC80965"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0.7582</w:t>
            </w:r>
          </w:p>
        </w:tc>
        <w:tc>
          <w:tcPr>
            <w:tcW w:w="1256" w:type="dxa"/>
            <w:tcBorders>
              <w:top w:val="nil"/>
              <w:left w:val="nil"/>
              <w:bottom w:val="nil"/>
              <w:right w:val="nil"/>
            </w:tcBorders>
            <w:shd w:val="clear" w:color="auto" w:fill="auto"/>
            <w:noWrap/>
            <w:vAlign w:val="center"/>
            <w:hideMark/>
          </w:tcPr>
          <w:p w14:paraId="4B1D2462"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0.4188</w:t>
            </w:r>
          </w:p>
        </w:tc>
        <w:tc>
          <w:tcPr>
            <w:tcW w:w="1381" w:type="dxa"/>
            <w:tcBorders>
              <w:top w:val="nil"/>
              <w:left w:val="nil"/>
              <w:bottom w:val="nil"/>
              <w:right w:val="nil"/>
            </w:tcBorders>
            <w:shd w:val="clear" w:color="auto" w:fill="auto"/>
            <w:noWrap/>
            <w:vAlign w:val="bottom"/>
            <w:hideMark/>
          </w:tcPr>
          <w:p w14:paraId="3809A263"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64A7812F"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913E46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B2D4430"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729DD54D" w14:textId="072BD335" w:rsidR="00D06EC2" w:rsidRPr="00D06EC2" w:rsidRDefault="00D76C8E"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{"citationID":"ZxLbmlMQ","properties":{"formattedCitation":"\\super 15\\nosupersub{}","plainCitation":"15","noteIndex":0},"citationItems":[{"id":1443,"uris":["http://zotero.org/users/local/JrzyeY6I/items/RKKI3T8E"],"itemData":{"id":1443,"type":"article-journal","abstract":"Levels of low-density lipoprotein (LDL) cholesterol, high-density lipoprotein (HDL) cholesterol, triglycerides and total cholesterol are heritable, modifiable risk factors for coronary artery disease. To identify new loci and refine known loci influencing these lipids, we examined 188,577 individuals using genome-wide and custom genotyping arrays. We identify and annotate 157 loci associated with lipid levels at P &lt; 5 × 10(-8), including 62 loci not previously associated with lipid levels in humans. Using dense genotyping in individuals of European, East Asian, South Asian and African ancestry, we narrow association signals in 12 loci. We find that loci associated with blood lipid levels are often associated with cardiovascular and metabolic traits, including coronary artery disease, type 2 diabetes, blood pressure, waist-hip ratio and body mass index. Our results demonstrate the value of using genetic data from individuals of diverse ancestry and provide insights into the biological mechanisms regulating blood lipids to guide future genetic, biological and therapeutic research.","container-title":"Nature Genetics","DOI":"10.1038/ng.2797","ISSN":"1546-1718","issue":"11","journalAbbreviation":"Nat Genet","language":"eng","note":"PMID: 24097068\nPMCID: PMC3838666","page":"1274-1283","source":"PubMed","title":"Discovery and refinement of loci associated with lipid levels","volume":"45","author":[{"family":"Willer","given":"Cristen J."},{"family":"Schmidt","given":"Ellen M."},{"family":"Sengupta","given":"Sebanti"},{"family":"Peloso","given":"Gina M."},{"family":"Gustafsson","given":"Stefan"},{"family":"Kanoni","given":"Stavroula"},{"family":"Ganna","given":"Andrea"},{"family":"Chen","given":"Jin"},{"family":"Buchkovich","given":"Martin L."},{"family":"Mora","given":"Samia"},{"family":"Beckmann","given":"Jacques S."},{"family":"Bragg-Gresham","given":"Jennifer L."},{"family":"Chang","given":"Hsing-Yi"},{"family":"Demirkan","given":"Ayşe"},{"family":"Den Hertog","given":"Heleen M."},{"family":"Do","given":"Ron"},{"family":"Donnelly","given":"Louise A."},{"family":"Ehret","given":"Georg B."},{"family":"Esko","given":"Tõnu"},{"family":"Feitosa","given":"Mary F."},{"family":"Ferreira","given":"Teresa"},{"family":"Fischer","given":"Krista"},{"family":"Fontanillas","given":"Pierre"},{"family":"Fraser","given":"Ross M."},{"family":"Freitag","given":"Daniel F."},{"family":"Gurdasani","given":"Deepti"},{"family":"Heikkilä","given":"Kauko"},{"family":"Hyppönen","given":"Elina"},{"family":"Isaacs","given":"Aaron"},{"family":"Jackson","given":"Anne U."},{"family":"Johansson","given":"Åsa"},{"family":"Johnson","given":"Toby"},{"family":"Kaakinen","given":"Marika"},{"family":"Kettunen","given":"Johannes"},{"family":"Kleber","given":"Marcus E."},{"family":"Li","given":"Xiaohui"},{"family":"Luan","given":"Jian'an"},{"family":"Lyytikäinen","given":"Leo-Pekka"},{"family":"Magnusson","given":"Patrik K. E."},{"family":"Mangino","given":"Massimo"},{"family":"Mihailov","given":"Evelin"},{"family":"Montasser","given":"May E."},{"family":"Müller-Nurasyid","given":"Martina"},{"family":"Nolte","given":"Ilja M."},{"family":"O'Connell","given":"Jeffrey R."},{"family":"Palmer","given":"Cameron D."},{"family":"Perola","given":"Markus"},{"family":"Petersen","given":"Ann-Kristin"},{"family":"Sanna","given":"Serena"},{"family":"Saxena","given":"Richa"},{"family":"Service","given":"Susan K."},{"family":"Shah","given":"Sonia"},{"family":"Shungin","given":"Dmitry"},{"family":"Sidore","given":"Carlo"},{"family":"Song","given":"Ci"},{"family":"Strawbridge","given":"Rona J."},{"family":"Surakka","given":"Ida"},{"family":"Tanaka","given":"Toshiko"},{"family":"Teslovich","given":"Tanya M."},{"family":"Thorleifsson","given":"Gudmar"},{"family":"Van den Herik","given":"Evita G."},{"family":"Voight","given":"Benjamin F."},{"family":"Volcik","given":"Kelly A."},{"family":"Waite","given":"Lindsay L."},{"family":"Wong","given":"Andrew"},{"family":"Wu","given":"Ying"},{"family":"Zhang","given":"Weihua"},{"family":"Absher","given":"Devin"},{"family":"Asiki","given":"Gershim"},{"family":"Barroso","given":"Inês"},{"family":"Been","given":"Latonya F."},{"family":"Bolton","given":"Jennifer L."},{"family":"Bonnycastle","given":"Lori L."},{"family":"Brambilla","given":"Paolo"},{"family":"Burnett","given":"Mary S."},{"family":"Cesana","given":"Giancarlo"},{"family":"Dimitriou","given":"Maria"},{"family":"Doney","given":"Alex S. F."},{"family":"Döring","given":"Angela"},{"family":"Elliott","given":"Paul"},{"family":"Epstein","given":"Stephen E."},{"family":"Ingi Eyjolfsson","given":"Gudmundur"},{"family":"Gigante","given":"Bruna"},{"family":"Goodarzi","given":"Mark O."},{"family":"Grallert","given":"Harald"},{"family":"Gravito","given":"Martha L."},{"family":"Groves","given":"Christopher J."},{"family":"Hallmans","given":"Göran"},{"family":"Hartikainen","given":"Anna-Liisa"},{"family":"Hayward","given":"Caroline"},{"family":"Hernandez","given":"Dena"},{"family":"Hicks","given":"Andrew A."},{"family":"Holm","given":"Hilma"},{"family":"Hung","given":"Yi-Jen"},{"family":"Illig","given":"Thomas"},{"family":"Jones","given":"Michelle R."},{"family":"Kaleebu","given":"Pontiano"},{"family":"Kastelein","given":"John J. P."},{"family":"Khaw","given":"Kay-Tee"},{"family":"Kim","given":"Eric"},{"family":"Klopp","given":"Norman"},{"family":"Komulainen","given":"Pirjo"},{"family":"Kumari","given":"Meena"},{"family":"Langenberg","given":"Claudia"},{"family":"Lehtimäki","given":"Terho"},{"family":"Lin","given":"Shih-Yi"},{"family":"Lindström","given":"Jaana"},{"family":"Loos","given":"Ruth J. F."},{"family":"Mach","given":"François"},{"family":"McArdle","given":"Wendy L."},{"family":"Meisinger","given":"Christa"},{"family":"Mitchell","given":"Braxton D."},{"family":"Müller","given":"Gabrielle"},{"family":"Nagaraja","given":"Ramaiah"},{"family":"Narisu","given":"Narisu"},{"family":"Nieminen","given":"Tuomo V. M."},{"family":"Nsubuga","given":"Rebecca N."},{"family":"Olafsson","given":"Isleifur"},{"family":"Ong","given":"Ken K."},{"family":"Palotie","given":"Aarno"},{"family":"Papamarkou","given":"Theodore"},{"family":"Pomilla","given":"Cristina"},{"family":"Pouta","given":"Anneli"},{"family":"Rader","given":"Daniel J."},{"family":"Reilly","given":"Muredach P."},{"family":"Ridker","given":"Paul M."},{"family":"Rivadeneira","given":"Fernando"},{"family":"Rudan","given":"Igor"},{"family":"Ruokonen","given":"Aimo"},{"family":"Samani","given":"Nilesh"},{"family":"Scharnagl","given":"Hubert"},{"family":"Seeley","given":"Janet"},{"family":"Silander","given":"Kaisa"},{"family":"Stančáková","given":"Alena"},{"family":"Stirrups","given":"Kathleen"},{"family":"Swift","given":"Amy J."},{"family":"Tiret","given":"Laurence"},{"family":"Uitterlinden","given":"Andre G."},{"family":"Pelt","given":"L. Joost","non-dropping-particle":"van"},{"family":"Vedantam","given":"Sailaja"},{"family":"Wainwright","given":"Nicholas"},{"family":"Wijmenga","given":"Cisca"},{"family":"Wild","given":"Sarah H."},{"family":"Willemsen","given":"Gonneke"},{"family":"Wilsgaard","given":"Tom"},{"family":"Wilson","given":"James F."},{"family":"Young","given":"Elizabeth H."},{"family":"Zhao","given":"Jing Hua"},{"family":"Adair","given":"Linda S."},{"family":"Arveiler","given":"Dominique"},{"family":"Assimes","given":"Themistocles L."},{"family":"Bandinelli","given":"Stefania"},{"family":"Bennett","given":"Franklyn"},{"family":"Bochud","given":"Murielle"},{"family":"Boehm","given":"Bernhard O."},{"family":"Boomsma","given":"Dorret I."},{"family":"Borecki","given":"Ingrid B."},{"family":"Bornstein","given":"Stefan R."},{"family":"Bovet","given":"Pascal"},{"family":"Burnier","given":"Michel"},{"family":"Campbell","given":"Harry"},{"family":"Chakravarti","given":"Aravinda"},{"family":"Chambers","given":"John C."},{"family":"Chen","given":"Yii-Der Ida"},{"family":"Collins","given":"Francis S."},{"family":"Cooper","given":"Richard S."},{"family":"Danesh","given":"John"},{"family":"Dedoussis","given":"George"},{"family":"Faire","given":"Ulf","non-dropping-particle":"de"},{"family":"Feranil","given":"Alan B."},{"family":"Ferrières","given":"Jean"},{"family":"Ferrucci","given":"Luigi"},{"family":"Freimer","given":"Nelson B."},{"family":"Gieger","given":"Christian"},{"family":"Groop","given":"Leif C."},{"family":"Gudnason","given":"Vilmundur"},{"family":"Gyllensten","given":"Ulf"},{"family":"Hamsten","given":"Anders"},{"family":"Harris","given":"Tamara B."},{"family":"Hingorani","given":"Aroon"},{"family":"Hirschhorn","given":"Joel N."},{"family":"Hofman","given":"Albert"},{"family":"Hovingh","given":"G. Kees"},{"family":"Hsiung","given":"Chao Agnes"},{"family":"Humphries","given":"Steve E."},{"family":"Hunt","given":"Steven C."},{"family":"Hveem","given":"Kristian"},{"family":"Iribarren","given":"Carlos"},{"family":"Järvelin","given":"Marjo-Riitta"},{"family":"Jula","given":"Antti"},{"family":"Kähönen","given":"Mika"},{"family":"Kaprio","given":"Jaakko"},{"family":"Kesäniemi","given":"Antero"},{"family":"Kivimaki","given":"Mika"},{"family":"Kooner","given":"Jaspal S."},{"family":"Koudstaal","given":"Peter J."},{"family":"Krauss","given":"Ronald M."},{"family":"Kuh","given":"Diana"},{"family":"Kuusisto","given":"Johanna"},{"family":"Kyvik","given":"Kirsten O."},{"family":"Laakso","given":"Markku"},{"family":"Lakka","given":"Timo A."},{"family":"Lind","given":"Lars"},{"family":"Lindgren","given":"Cecilia M."},{"family":"Martin","given":"Nicholas G."},{"family":"März","given":"Winfried"},{"family":"McCarthy","given":"Mark I."},{"family":"McKenzie","given":"Colin A."},{"family":"Meneton","given":"Pierre"},{"family":"Metspalu","given":"Andres"},{"family":"Moilanen","given":"Leena"},{"family":"Morris","given":"Andrew D."},{"family":"Munroe","given":"Patricia B."},{"family":"Njølstad","given":"Inger"},{"family":"Pedersen","given":"Nancy L."},{"family":"Power","given":"Chris"},{"family":"Pramstaller","given":"Peter P."},{"family":"Price","given":"Jackie F."},{"family":"Psaty","given":"Bruce M."},{"family":"Quertermous","given":"Thomas"},{"family":"Rauramaa","given":"Rainer"},{"family":"Saleheen","given":"Danish"},{"family":"Salomaa","given":"Veikko"},{"family":"Sanghera","given":"Dharambir K."},{"family":"Saramies","given":"Jouko"},{"family":"Schwarz","given":"Peter E. H."},{"family":"Sheu","given":"Wayne H.-H."},{"family":"Shuldiner","given":"Alan R."},{"family":"Siegbahn","given":"Agneta"},{"family":"Spector","given":"Tim D."},{"family":"Stefansson","given":"Kari"},{"family":"Strachan","given":"David P."},{"family":"Tayo","given":"Bamidele O."},{"family":"Tremoli","given":"Elena"},{"family":"Tuomilehto","given":"Jaakko"},{"family":"Uusitupa","given":"Matti"},{"family":"Duijn","given":"Cornelia M.","non-dropping-particle":"van"},{"family":"Vollenweider","given":"Peter"},{"family":"Wallentin","given":"Lars"},{"family":"Wareham","given":"Nicholas J."},{"family":"Whitfield","given":"John B."},{"family":"Wolffenbuttel","given":"Bruce H. R."},{"family":"Ordovas","given":"Jose M."},{"family":"Boerwinkle","given":"Eric"},{"family":"Palmer","given":"Colin N. A."},{"family":"Thorsteinsdottir","given":"Unnur"},{"family":"Chasman","given":"Daniel I."},{"family":"Rotter","given":"Jerome I."},{"family":"Franks","given":"Paul W."},{"family":"Ripatti","given":"Samuli"},{"family":"Cupples","given":"L. Adrienne"},{"family":"Sandhu","given":"Manjinder S."},{"family":"Rich","given":"Stephen S."},{"family":"Boehnke","given":"Michael"},{"family":"Deloukas","given":"Panos"},{"family":"Kathiresan","given":"Sekar"},{"family":"Mohlke","given":"Karen L."},{"family":"Ingelsson","given":"Erik"},{"family":"Abecasis","given":"Gonçalo R."},{"literal":"Global Lipids Genetics Consortium"}],"issued":{"date-parts":[["2013",11]]}}}],"schema":"https://github.com/citation-style-language/schema/raw/master/csl-citation.json"} </w:instrText>
            </w:r>
            <w:r>
              <w:fldChar w:fldCharType="separate"/>
            </w:r>
            <w:r w:rsidR="009B7C37" w:rsidRPr="009B7C37">
              <w:rPr>
                <w:rFonts w:ascii="Calibri" w:hAnsi="Calibri" w:cs="Calibri"/>
                <w:szCs w:val="24"/>
                <w:vertAlign w:val="superscript"/>
              </w:rPr>
              <w:t>15</w:t>
            </w:r>
            <w:r>
              <w:fldChar w:fldCharType="end"/>
            </w:r>
          </w:p>
        </w:tc>
      </w:tr>
      <w:tr w:rsidR="00D06EC2" w:rsidRPr="00D06EC2" w14:paraId="51F41FE9" w14:textId="77777777" w:rsidTr="00B74A41">
        <w:trPr>
          <w:trHeight w:val="300"/>
        </w:trPr>
        <w:tc>
          <w:tcPr>
            <w:tcW w:w="2970" w:type="dxa"/>
            <w:tcBorders>
              <w:top w:val="nil"/>
              <w:left w:val="nil"/>
              <w:bottom w:val="nil"/>
              <w:right w:val="nil"/>
            </w:tcBorders>
            <w:shd w:val="clear" w:color="auto" w:fill="auto"/>
            <w:noWrap/>
            <w:vAlign w:val="center"/>
            <w:hideMark/>
          </w:tcPr>
          <w:p w14:paraId="07BDC27B" w14:textId="5E0F72F9" w:rsidR="00D06EC2" w:rsidRPr="00D06EC2" w:rsidRDefault="0039290B"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N</w:t>
            </w:r>
            <w:r w:rsidR="00D06EC2" w:rsidRPr="00D06EC2">
              <w:rPr>
                <w:rFonts w:ascii="Calibri" w:eastAsia="Times New Roman" w:hAnsi="Calibri" w:cs="Calibri"/>
                <w:color w:val="000000"/>
                <w:lang w:eastAsia="zh-CN"/>
              </w:rPr>
              <w:t>euroticism</w:t>
            </w:r>
            <w:r>
              <w:rPr>
                <w:rFonts w:ascii="Calibri" w:eastAsia="Times New Roman" w:hAnsi="Calibri" w:cs="Calibri"/>
                <w:color w:val="000000"/>
                <w:lang w:eastAsia="zh-CN"/>
              </w:rPr>
              <w:t xml:space="preserve"> </w:t>
            </w:r>
            <w:r w:rsidR="00D06EC2" w:rsidRPr="00D06EC2">
              <w:rPr>
                <w:rFonts w:ascii="Calibri" w:eastAsia="Times New Roman" w:hAnsi="Calibri" w:cs="Calibri"/>
                <w:color w:val="000000"/>
                <w:lang w:eastAsia="zh-CN"/>
              </w:rPr>
              <w:t>2021</w:t>
            </w:r>
          </w:p>
        </w:tc>
        <w:tc>
          <w:tcPr>
            <w:tcW w:w="1256" w:type="dxa"/>
            <w:tcBorders>
              <w:top w:val="nil"/>
              <w:left w:val="nil"/>
              <w:bottom w:val="nil"/>
              <w:right w:val="nil"/>
            </w:tcBorders>
            <w:shd w:val="clear" w:color="auto" w:fill="auto"/>
            <w:noWrap/>
            <w:vAlign w:val="center"/>
            <w:hideMark/>
          </w:tcPr>
          <w:p w14:paraId="15DA8B9A"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4.89E-10</w:t>
            </w:r>
          </w:p>
        </w:tc>
        <w:tc>
          <w:tcPr>
            <w:tcW w:w="1256" w:type="dxa"/>
            <w:tcBorders>
              <w:top w:val="nil"/>
              <w:left w:val="nil"/>
              <w:bottom w:val="nil"/>
              <w:right w:val="nil"/>
            </w:tcBorders>
            <w:shd w:val="clear" w:color="auto" w:fill="auto"/>
            <w:noWrap/>
            <w:vAlign w:val="center"/>
            <w:hideMark/>
          </w:tcPr>
          <w:p w14:paraId="7C2A5F2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0.0002</w:t>
            </w:r>
          </w:p>
        </w:tc>
        <w:tc>
          <w:tcPr>
            <w:tcW w:w="1256" w:type="dxa"/>
            <w:tcBorders>
              <w:top w:val="nil"/>
              <w:left w:val="nil"/>
              <w:bottom w:val="nil"/>
              <w:right w:val="nil"/>
            </w:tcBorders>
            <w:shd w:val="clear" w:color="auto" w:fill="auto"/>
            <w:noWrap/>
            <w:vAlign w:val="center"/>
            <w:hideMark/>
          </w:tcPr>
          <w:p w14:paraId="0091043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2.36E-11</w:t>
            </w:r>
          </w:p>
        </w:tc>
        <w:tc>
          <w:tcPr>
            <w:tcW w:w="1381" w:type="dxa"/>
            <w:tcBorders>
              <w:top w:val="nil"/>
              <w:left w:val="nil"/>
              <w:bottom w:val="nil"/>
              <w:right w:val="nil"/>
            </w:tcBorders>
            <w:shd w:val="clear" w:color="auto" w:fill="auto"/>
            <w:noWrap/>
            <w:vAlign w:val="bottom"/>
            <w:hideMark/>
          </w:tcPr>
          <w:p w14:paraId="565C1397"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25685EA0"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002EC1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7B288253"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5C1CA509" w14:textId="446B92E8" w:rsidR="00D06EC2" w:rsidRPr="00D06EC2" w:rsidRDefault="00D76C8E"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{"citationID":"K0wxz3hh","properties":{"formattedCitation":"\\super 11\\nosupersub{}","plainCitation":"11","noteIndex":0},"citationItems":[{"id":1431,"uris":["http://zotero.org/users/local/JrzyeY6I/items/IV8DEIKT"],"itemData":{"id":1431,"type":"article-journal","abstract":"Very few genetic variants have been associated with depression and neuroticism, likely because of limitations on sample size in previous studies. Subjective well-being, a phenotype that is genetically correlated with both of these traits, has not yet been studied with genome-wide data. We conducted genome-wide association studies of three phenotypes: subjective well-being (n = 298,420), depressive symptoms (n = 161,460), and neuroticism (n = 170,911). We identify 3 variants associated with subjective well-being, 2 variants associated with depressive symptoms, and 11 variants associated with neuroticism, including 2 inversion polymorphisms. The two loci associated with depressive symptoms replicate in an independent depression sample. Joint analyses that exploit the high genetic correlations between the phenotypes (|ρ^| ≈ 0.8) strengthen the overall credibility of the findings and allow us to identify additional variants. Across our phenotypes, loci regulating expression in central nervous system and adrenal or pancreas tissues are strongly enriched for association.","container-title":"Nature Genetics","DOI":"10.1038/ng.3552","ISSN":"1546-1718","issue":"6","journalAbbreviation":"Nat Genet","language":"eng","note":"PMID: 27089181\nPMCID: PMC4884152","page":"624-633","source":"PubMed","title":"Genetic variants associated with subjective well-being, depressive symptoms, and neuroticism identified through genome-wide analyses","volume":"48","author":[{"family":"Okbay","given":"Aysu"},{"family":"Baselmans","given":"Bart M. L."},{"family":"De Neve","given":"Jan-Emmanuel"},{"family":"Turley","given":"Patrick"},{"family":"Nivard","given":"Michel G."},{"family":"Fontana","given":"Mark Alan"},{"family":"Meddens","given":"S. Fleur W."},{"family":"Linnér","given":"Richard Karlsson"},{"family":"Rietveld","given":"Cornelius A."},{"family":"Derringer","given":"Jaime"},{"family":"Gratten","given":"Jacob"},{"family":"Lee","given":"James J."},{"family":"Liu","given":"Jimmy Z."},{"family":"Vlaming","given":"Ronald","non-dropping-particle":"de"},{"family":"Ahluwalia","given":"Tarunveer S."},{"family":"Buchwald","given":"Jadwiga"},{"family":"Cavadino","given":"Alana"},{"family":"Frazier-Wood","given":"Alexis C."},{"family":"Furlotte","given":"Nicholas A."},{"family":"Garfield","given":"Victoria"},{"family":"Geisel","given":"Marie Henrike"},{"family":"Gonzalez","given":"Juan R."},{"family":"Haitjema","given":"Saskia"},{"family":"Karlsson","given":"Robert"},{"family":"Laan","given":"Sander W.","non-dropping-particle":"van der"},{"family":"Ladwig","given":"Karl-Heinz"},{"family":"Lahti","given":"Jari"},{"family":"Lee","given":"Sven J.","non-dropping-particle":"van der"},{"family":"Lind","given":"Penelope A."},{"family":"Liu","given":"Tian"},{"family":"Matteson","given":"Lindsay"},{"family":"Mihailov","given":"Evelin"},{"family":"Miller","given":"Michael B."},{"family":"Minica","given":"Camelia C."},{"family":"Nolte","given":"Ilja M."},{"family":"Mook-Kanamori","given":"Dennis"},{"family":"Most","given":"Peter J.","non-dropping-particle":"van der"},{"family":"Oldmeadow","given":"Christopher"},{"family":"Qian","given":"Yong"},{"family":"Raitakari","given":"Olli"},{"family":"Rawal","given":"Rajesh"},{"family":"Realo","given":"Anu"},{"family":"Rueedi","given":"Rico"},{"family":"Schmidt","given":"Börge"},{"family":"Smith","given":"Albert V."},{"family":"Stergiakouli","given":"Evie"},{"family":"Tanaka","given":"Toshiko"},{"family":"Taylor","given":"Kent"},{"family":"Thorleifsson","given":"Gudmar"},{"family":"Wedenoja","given":"Juho"},{"family":"Wellmann","given":"Juergen"},{"family":"Westra","given":"Harm-Jan"},{"family":"Willems","given":"Sara M."},{"family":"Zhao","given":"Wei"},{"literal":"LifeLines Cohort Study"},{"family":"Amin","given":"Najaf"},{"family":"Bakshi","given":"Andrew"},{"family":"Bergmann","given":"Sven"},{"family":"Bjornsdottir","given":"Gyda"},{"family":"Boyle","given":"Patricia A."},{"family":"Cherney","given":"Samantha"},{"family":"Cox","given":"Simon R."},{"family":"Davies","given":"Gail"},{"family":"Davis","given":"Oliver S. P."},{"family":"Ding","given":"Jun"},{"family":"Direk","given":"Nese"},{"family":"Eibich","given":"Peter"},{"family":"Emeny","given":"Rebecca T."},{"family":"Fatemifar","given":"Ghazaleh"},{"family":"Faul","given":"Jessica D."},{"family":"Ferrucci","given":"Luigi"},{"family":"Forstner","given":"Andreas J."},{"family":"Gieger","given":"Christian"},{"family":"Gupta","given":"Richa"},{"family":"Harris","given":"Tamara B."},{"family":"Harris","given":"Juliette M."},{"family":"Holliday","given":"Elizabeth G."},{"family":"Hottenga","given":"Jouke-Jan"},{"family":"De Jager","given":"Philip L."},{"family":"Kaakinen","given":"Marika A."},{"family":"Kajantie","given":"Eero"},{"family":"Karhunen","given":"Ville"},{"family":"Kolcic","given":"Ivana"},{"family":"Kumari","given":"Meena"},{"family":"Launer","given":"Lenore J."},{"family":"Franke","given":"Lude"},{"family":"Li-Gao","given":"Ruifang"},{"family":"Liewald","given":"David C."},{"family":"Koini","given":"Marisa"},{"family":"Loukola","given":"Anu"},{"family":"Marques-Vidal","given":"Pedro"},{"family":"Montgomery","given":"Grant W."},{"family":"Mosing","given":"Miriam A."},{"family":"Paternoster","given":"Lavinia"},{"family":"Pattie","given":"Alison"},{"family":"Petrovic","given":"Katja E."},{"family":"Pulkki-Råback","given":"Laura"},{"family":"Quaye","given":"Lydia"},{"family":"Räikkönen","given":"Katri"},{"family":"Rudan","given":"Igor"},{"family":"Scott","given":"Rodney J."},{"family":"Smith","given":"Jennifer A."},{"family":"Sutin","given":"Angelina R."},{"family":"Trzaskowski","given":"Maciej"},{"family":"Vinkhuyzen","given":"Anna E."},{"family":"Yu","given":"Lei"},{"family":"Zabaneh","given":"Delilah"},{"family":"Attia","given":"John R."},{"family":"Bennett","given":"David A."},{"family":"Berger","given":"Klaus"},{"family":"Bertram","given":"Lars"},{"family":"Boomsma","given":"Dorret I."},{"family":"Snieder","given":"Harold"},{"family":"Chang","given":"Shun-Chiao"},{"family":"Cucca","given":"Francesco"},{"family":"Deary","given":"Ian J."},{"family":"Duijn","given":"Cornelia M.","non-dropping-particle":"van"},{"family":"Eriksson","given":"Johan G."},{"family":"Bültmann","given":"Ute"},{"family":"Geus","given":"Eco J. C.","non-dropping-particle":"de"},{"family":"Groenen","given":"Patrick J. F."},{"family":"Gudnason","given":"Vilmundur"},{"family":"Hansen","given":"Torben"},{"family":"Hartman","given":"Catharine A."},{"family":"Haworth","given":"Claire M. A."},{"family":"Hayward","given":"Caroline"},{"family":"Heath","given":"Andrew C."},{"family":"Hinds","given":"David A."},{"family":"Hyppönen","given":"Elina"},{"family":"Iacono","given":"William G."},{"family":"Järvelin","given":"Marjo-Riitta"},{"family":"Jöckel","given":"Karl-Heinz"},{"family":"Kaprio","given":"Jaakko"},{"family":"Kardia","given":"Sharon L. R."},{"family":"Keltikangas-Järvinen","given":"Liisa"},{"family":"Kraft","given":"Peter"},{"family":"Kubzansky","given":"Laura D."},{"family":"Lehtimäki","given":"Terho"},{"family":"Magnusson","given":"Patrik K. E."},{"family":"Martin","given":"Nicholas G."},{"family":"McGue","given":"Matt"},{"family":"Metspalu","given":"Andres"},{"family":"Mills","given":"Melinda"},{"family":"Mutsert","given":"Renée","non-dropping-particle":"de"},{"family":"Oldehinkel","given":"Albertine J."},{"family":"Pasterkamp","given":"Gerard"},{"family":"Pedersen","given":"Nancy L."},{"family":"Plomin","given":"Robert"},{"family":"Polasek","given":"Ozren"},{"family":"Power","given":"Christine"},{"family":"Rich","given":"Stephen S."},{"family":"Rosendaal","given":"Frits R."},{"family":"Ruijter","given":"Hester M.","non-dropping-particle":"den"},{"family":"Schlessinger","given":"David"},{"family":"Schmidt","given":"Helena"},{"family":"Svento","given":"Rauli"},{"family":"Schmidt","given":"Reinhold"},{"family":"Alizadeh","given":"Behrooz Z."},{"family":"Sørensen","given":"Thorkild I. A."},{"family":"Spector","given":"Tim D."},{"family":"Starr","given":"John M."},{"family":"Stefansson","given":"Kari"},{"family":"Steptoe","given":"Andrew"},{"family":"Terracciano","given":"Antonio"},{"family":"Thorsteinsdottir","given":"Unnur"},{"family":"Thurik","given":"A. Roy"},{"family":"Timpson","given":"Nicholas J."},{"family":"Tiemeier","given":"Henning"},{"family":"Uitterlinden","given":"André G."},{"family":"Vollenweider","given":"Peter"},{"family":"Wagner","given":"Gert G."},{"family":"Weir","given":"David R."},{"family":"Yang","given":"Jian"},{"family":"Conley","given":"Dalton C."},{"family":"Smith","given":"George Davey"},{"family":"Hofman","given":"Albert"},{"family":"Johannesson","given":"Magnus"},{"family":"Laibson","given":"David I."},{"family":"Medland","given":"Sarah E."},{"family":"Meyer","given":"Michelle N."},{"family":"Pickrell","given":"Joseph K."},{"family":"Esko","given":"Tõnu"},{"family":"Krueger","given":"Robert F."},{"family":"Beauchamp","given":"Jonathan P."},{"family":"Koellinger","given":"Philipp D."},{"family":"Benjamin","given":"Daniel J."},{"family":"Bartels","given":"Meike"},{"family":"Cesarini","given":"David"}],"issued":{"date-parts":[["2016",6]]}}}],"schema":"https://github.com/citation-style-language/schema/raw/master/csl-citation.json"} </w:instrText>
            </w:r>
            <w:r>
              <w:fldChar w:fldCharType="separate"/>
            </w:r>
            <w:r w:rsidR="009B7C37" w:rsidRPr="009B7C37">
              <w:rPr>
                <w:rFonts w:ascii="Calibri" w:hAnsi="Calibri" w:cs="Calibri"/>
                <w:szCs w:val="24"/>
                <w:vertAlign w:val="superscript"/>
              </w:rPr>
              <w:t>11</w:t>
            </w:r>
            <w:r>
              <w:fldChar w:fldCharType="end"/>
            </w:r>
          </w:p>
        </w:tc>
      </w:tr>
      <w:tr w:rsidR="00D06EC2" w:rsidRPr="00D06EC2" w14:paraId="120D2501" w14:textId="77777777" w:rsidTr="00B74A41">
        <w:trPr>
          <w:trHeight w:val="300"/>
        </w:trPr>
        <w:tc>
          <w:tcPr>
            <w:tcW w:w="2970" w:type="dxa"/>
            <w:tcBorders>
              <w:top w:val="nil"/>
              <w:left w:val="nil"/>
              <w:bottom w:val="nil"/>
              <w:right w:val="nil"/>
            </w:tcBorders>
            <w:shd w:val="clear" w:color="auto" w:fill="auto"/>
            <w:noWrap/>
            <w:vAlign w:val="center"/>
            <w:hideMark/>
          </w:tcPr>
          <w:p w14:paraId="1D791F17" w14:textId="0773C84E" w:rsidR="00D06EC2" w:rsidRPr="00D06EC2" w:rsidRDefault="0039290B"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OCD </w:t>
            </w:r>
            <w:r w:rsidR="00D06EC2" w:rsidRPr="00D06EC2">
              <w:rPr>
                <w:rFonts w:ascii="Calibri" w:eastAsia="Times New Roman" w:hAnsi="Calibri" w:cs="Calibri"/>
                <w:color w:val="000000"/>
                <w:lang w:eastAsia="zh-CN"/>
              </w:rPr>
              <w:t>2017</w:t>
            </w:r>
          </w:p>
        </w:tc>
        <w:tc>
          <w:tcPr>
            <w:tcW w:w="1256" w:type="dxa"/>
            <w:tcBorders>
              <w:top w:val="nil"/>
              <w:left w:val="nil"/>
              <w:bottom w:val="nil"/>
              <w:right w:val="nil"/>
            </w:tcBorders>
            <w:shd w:val="clear" w:color="auto" w:fill="auto"/>
            <w:noWrap/>
            <w:vAlign w:val="center"/>
            <w:hideMark/>
          </w:tcPr>
          <w:p w14:paraId="4AAA68FB"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0.1792</w:t>
            </w:r>
          </w:p>
        </w:tc>
        <w:tc>
          <w:tcPr>
            <w:tcW w:w="1256" w:type="dxa"/>
            <w:tcBorders>
              <w:top w:val="nil"/>
              <w:left w:val="nil"/>
              <w:bottom w:val="nil"/>
              <w:right w:val="nil"/>
            </w:tcBorders>
            <w:shd w:val="clear" w:color="auto" w:fill="auto"/>
            <w:noWrap/>
            <w:vAlign w:val="center"/>
            <w:hideMark/>
          </w:tcPr>
          <w:p w14:paraId="068A44CC"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3.19E-06</w:t>
            </w:r>
          </w:p>
        </w:tc>
        <w:tc>
          <w:tcPr>
            <w:tcW w:w="1256" w:type="dxa"/>
            <w:tcBorders>
              <w:top w:val="nil"/>
              <w:left w:val="nil"/>
              <w:bottom w:val="nil"/>
              <w:right w:val="nil"/>
            </w:tcBorders>
            <w:shd w:val="clear" w:color="auto" w:fill="auto"/>
            <w:noWrap/>
            <w:vAlign w:val="center"/>
            <w:hideMark/>
          </w:tcPr>
          <w:p w14:paraId="017DF0E6"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0.001276</w:t>
            </w:r>
          </w:p>
        </w:tc>
        <w:tc>
          <w:tcPr>
            <w:tcW w:w="1381" w:type="dxa"/>
            <w:tcBorders>
              <w:top w:val="nil"/>
              <w:left w:val="nil"/>
              <w:bottom w:val="nil"/>
              <w:right w:val="nil"/>
            </w:tcBorders>
            <w:shd w:val="clear" w:color="auto" w:fill="auto"/>
            <w:noWrap/>
            <w:vAlign w:val="bottom"/>
            <w:hideMark/>
          </w:tcPr>
          <w:p w14:paraId="578F502A"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3003465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8ADFF7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62EA192"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15F92500" w14:textId="794CEB72" w:rsidR="00D06EC2" w:rsidRPr="00D06EC2" w:rsidRDefault="00D76C8E"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{"citationID":"yB29Bp7q","properties":{"formattedCitation":"\\super 16\\nosupersub{}","plainCitation":"16","noteIndex":0},"citationItems":[{"id":1446,"uris":["http://zotero.org/users/local/JrzyeY6I/items/62V49UJ4"],"itemData":{"id":1446,"type":"article-journal","abstract":"Two obsessive-compulsive disorder (OCD) genome-wide association studies (GWASs) have been published by independent OCD consortia, the International Obsessive-Compulsive Disorder Foundation Genetics Collaborative (IOCDF-GC) and the OCD Collaborative Genetics Association Study (OCGAS), but many of the top-ranked signals were supported in only one study. We therefore conducted a meta-analysis from the two consortia, investigating a total of 2688 individuals of European ancestry with OCD and 7037 genomically matched controls. No single-nucleotide polymorphisms (SNPs) reached genome-wide significance. However, in comparison with the two individual GWASs, the distribution of P-values shifted toward significance. The top haplotypic blocks were tagged with rs4733767 (P=7.1 × 10-7; odds ratio (OR)=1.21; confidence interval (CI): 1.12-1.31, CASC8/CASC11), rs1030757 (P=1.1 × 10-6; OR=1.18; CI: 1.10-1.26, GRID2) and rs12504244 (P=1.6 × 10-6; OR=1.18; CI: 1.11-1.27, KIT). Variants located in or near the genes ASB13, RSPO4, DLGAP1, PTPRD, GRIK2, FAIM2 and CDH20, identified in linkage peaks and the original GWASs, were among the top signals. Polygenic risk scores for each individual study predicted case-control status in the other by explaining 0.9% (P=0.003) and 0.3% (P=0.0009) of the phenotypic variance in OCGAS and the European IOCDF-GC target samples, respectively. The common SNP heritability in the combined OCGAS and IOCDF-GC sample was estimated to be 0.28 (s.e.=0.04). Strikingly, </w:instrText>
            </w:r>
            <w:r w:rsidR="009B7C37">
              <w:rPr>
                <w:rFonts w:ascii="Cambria Math" w:hAnsi="Cambria Math" w:cs="Cambria Math"/>
              </w:rPr>
              <w:instrText>∼</w:instrText>
            </w:r>
            <w:r w:rsidR="009B7C37">
              <w:instrText xml:space="preserve">65% of the SNP-based heritability in the OCGAS sample was accounted for by SNPs with minor allele frequencies of </w:instrText>
            </w:r>
            <w:r w:rsidR="009B7C37">
              <w:rPr>
                <w:rFonts w:ascii="Cambria Math" w:hAnsi="Cambria Math" w:cs="Cambria Math"/>
              </w:rPr>
              <w:instrText>⩾</w:instrText>
            </w:r>
            <w:r w:rsidR="009B7C37">
              <w:instrText xml:space="preserve">40%. This joint analysis constituting the largest single OCD genome-wide study to date represents a major integrative step in elucidating the genetic causes of OCD.","container-title":"Molecular Psychiatry","DOI":"10.1038/mp.2017.154","ISSN":"1476-5578","issue":"5","journalAbbreviation":"Mol Psychiatry","language":"eng","note":"PMID: 28761083\nPMCID: PMC6660151","page":"1181-1188","source":"PubMed","title":"Revealing the complex genetic architecture of obsessive-compulsive disorder using meta-analysis","volume":"23","author":[{"literal":"International Obsessive Compulsive Disorder Foundation Genetics Collaborative (IOCDF-GC) and OCD Collaborative Genetics Association Studies (OCGAS)"}],"issued":{"date-parts":[["2018",5]]}}}],"schema":"https://github.com/citation-style-language/schema/raw/master/csl-citation.json"} </w:instrText>
            </w:r>
            <w:r>
              <w:fldChar w:fldCharType="separate"/>
            </w:r>
            <w:r w:rsidR="009B7C37" w:rsidRPr="009B7C37">
              <w:rPr>
                <w:rFonts w:ascii="Calibri" w:hAnsi="Calibri" w:cs="Calibri"/>
                <w:szCs w:val="24"/>
                <w:vertAlign w:val="superscript"/>
              </w:rPr>
              <w:t>16</w:t>
            </w:r>
            <w:r>
              <w:fldChar w:fldCharType="end"/>
            </w:r>
          </w:p>
        </w:tc>
      </w:tr>
      <w:tr w:rsidR="00D06EC2" w:rsidRPr="00D06EC2" w14:paraId="2E7E7DFF" w14:textId="77777777" w:rsidTr="00B74A41">
        <w:trPr>
          <w:trHeight w:val="300"/>
        </w:trPr>
        <w:tc>
          <w:tcPr>
            <w:tcW w:w="2970" w:type="dxa"/>
            <w:tcBorders>
              <w:top w:val="nil"/>
              <w:left w:val="nil"/>
              <w:bottom w:val="nil"/>
              <w:right w:val="nil"/>
            </w:tcBorders>
            <w:shd w:val="clear" w:color="auto" w:fill="auto"/>
            <w:noWrap/>
            <w:vAlign w:val="center"/>
            <w:hideMark/>
          </w:tcPr>
          <w:p w14:paraId="1D514D17" w14:textId="4D2CC216" w:rsidR="00D06EC2" w:rsidRPr="00D06EC2" w:rsidRDefault="0039290B"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Alcohol dependence </w:t>
            </w:r>
            <w:r w:rsidR="00D06EC2" w:rsidRPr="00D06EC2">
              <w:rPr>
                <w:rFonts w:ascii="Calibri" w:eastAsia="Times New Roman" w:hAnsi="Calibri" w:cs="Calibri"/>
                <w:color w:val="000000"/>
                <w:lang w:eastAsia="zh-CN"/>
              </w:rPr>
              <w:t>2018</w:t>
            </w:r>
          </w:p>
        </w:tc>
        <w:tc>
          <w:tcPr>
            <w:tcW w:w="1256" w:type="dxa"/>
            <w:tcBorders>
              <w:top w:val="nil"/>
              <w:left w:val="nil"/>
              <w:bottom w:val="nil"/>
              <w:right w:val="nil"/>
            </w:tcBorders>
            <w:shd w:val="clear" w:color="auto" w:fill="auto"/>
            <w:noWrap/>
            <w:vAlign w:val="center"/>
            <w:hideMark/>
          </w:tcPr>
          <w:p w14:paraId="530727E6"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4.14E-26</w:t>
            </w:r>
          </w:p>
        </w:tc>
        <w:tc>
          <w:tcPr>
            <w:tcW w:w="1256" w:type="dxa"/>
            <w:tcBorders>
              <w:top w:val="nil"/>
              <w:left w:val="nil"/>
              <w:bottom w:val="nil"/>
              <w:right w:val="nil"/>
            </w:tcBorders>
            <w:shd w:val="clear" w:color="auto" w:fill="auto"/>
            <w:noWrap/>
            <w:vAlign w:val="center"/>
            <w:hideMark/>
          </w:tcPr>
          <w:p w14:paraId="54927367"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0.0002</w:t>
            </w:r>
          </w:p>
        </w:tc>
        <w:tc>
          <w:tcPr>
            <w:tcW w:w="1256" w:type="dxa"/>
            <w:tcBorders>
              <w:top w:val="nil"/>
              <w:left w:val="nil"/>
              <w:bottom w:val="nil"/>
              <w:right w:val="nil"/>
            </w:tcBorders>
            <w:shd w:val="clear" w:color="auto" w:fill="auto"/>
            <w:noWrap/>
            <w:vAlign w:val="center"/>
            <w:hideMark/>
          </w:tcPr>
          <w:p w14:paraId="11620FE3"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0.0607</w:t>
            </w:r>
          </w:p>
        </w:tc>
        <w:tc>
          <w:tcPr>
            <w:tcW w:w="1381" w:type="dxa"/>
            <w:tcBorders>
              <w:top w:val="nil"/>
              <w:left w:val="nil"/>
              <w:bottom w:val="nil"/>
              <w:right w:val="nil"/>
            </w:tcBorders>
            <w:shd w:val="clear" w:color="auto" w:fill="auto"/>
            <w:noWrap/>
            <w:vAlign w:val="bottom"/>
            <w:hideMark/>
          </w:tcPr>
          <w:p w14:paraId="7A08264B"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25B1F93E"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7B38BE0"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7E09EDB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hideMark/>
          </w:tcPr>
          <w:p w14:paraId="5DF22B93" w14:textId="227B31FB" w:rsidR="00D06EC2" w:rsidRPr="00D06EC2" w:rsidRDefault="00B40D47"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{"citationID":"pxAYIbqA","properties":{"formattedCitation":"\\super 17\\nosupersub{}","plainCitation":"17","noteIndex":0},"citationItems":[{"id":481,"uris":["http://zotero.org/users/local/JrzyeY6I/items/S4RCL2VU"],"itemData":{"id":481,"type":"article-journal","abstract":"Liability to alcohol dependence (AD) is heritable, but little is known about its complex polygenic architecture or its genetic relationship with other disorders. To discover loci associated with AD and characterize the relationship between AD and other psychiatric and behavioral outcomes, we carried out the largest genome-wide association study to date of DSM-IV-diagnosed AD. Genome-wide data on 14,904 individuals with AD and 37,944 controls from 28 case-control and family-based studies were meta-analyzed, stratified by genetic ancestry (European, n = 46,568; African, n = 6,280). Independent, genome-wide significant effects of different ADH1B variants were identified in European (rs1229984; P = 9.8 × 10-13) and African ancestries (rs2066702; P = 2.2 × 10-9). Significant genetic correlations were observed with 17 phenotypes, including schizophrenia, attention deficit-hyperactivity disorder, depression, and use of cigarettes and cannabis. The genetic underpinnings of AD only partially overlap with those for alcohol consumption, underscoring the genetic distinction between pathological and nonpathological drinking behaviors.","container-title":"Nature Neuroscience","DOI":"10.1038/s41593-018-0275-1","ISSN":"1546-1726","issue":"12","journalAbbreviation":"Nat Neurosci","language":"eng","note":"number: 12\nPMID: 30482948\nPMCID: PMC6430207","page":"1656-1669","source":"PubMed","title":"Transancestral GWAS of alcohol dependence reveals common genetic underpinnings with psychiatric disorders","volume":"21","author":[{"family":"Walters","given":"Raymond K."},{"family":"Polimanti","given":"Renato"},{"family":"Johnson","given":"Emma C."},{"family":"McClintick","given":"Jeanette N."},{"family":"Adams","given":"Mark J."},{"family":"Adkins","given":"Amy E."},{"family":"Aliev","given":"Fazil"},{"family":"Bacanu","given":"Silviu-Alin"},{"family":"Batzler","given":"Anthony"},{"family":"Bertelsen","given":"Sarah"},{"family":"Biernacka","given":"Joanna M."},{"family":"Bigdeli","given":"Tim B."},{"family":"Chen","given":"Li-Shiun"},{"family":"Clarke","given":"Toni-Kim"},{"family":"Chou","given":"Yi-Ling"},{"family":"Degenhardt","given":"Franziska"},{"family":"Docherty","given":"Anna R."},{"family":"Edwards","given":"Alexis C."},{"family":"Fontanillas","given":"Pierre"},{"family":"Foo","given":"Jerome C."},{"family":"Fox","given":"Louis"},{"family":"Frank","given":"Josef"},{"family":"Giegling","given":"Ina"},{"family":"Gordon","given":"Scott"},{"family":"Hack","given":"Laura M."},{"family":"Hartmann","given":"Annette M."},{"family":"Hartz","given":"Sarah M."},{"family":"Heilmann-Heimbach","given":"Stefanie"},{"family":"Herms","given":"Stefan"},{"family":"Hodgkinson","given":"Colin"},{"family":"Hoffmann","given":"Per"},{"family":"Jan Hottenga","given":"Jouke"},{"family":"Kennedy","given":"Martin A."},{"family":"Alanne-Kinnunen","given":"Mervi"},{"family":"Konte","given":"Bettina"},{"family":"Lahti","given":"Jari"},{"family":"Lahti-Pulkkinen","given":"Marius"},{"family":"Lai","given":"Dongbing"},{"family":"Ligthart","given":"Lannie"},{"family":"Loukola","given":"Anu"},{"family":"Maher","given":"Brion S."},{"family":"Mbarek","given":"Hamdi"},{"family":"McIntosh","given":"Andrew M."},{"family":"McQueen","given":"Matthew B."},{"family":"Meyers","given":"Jacquelyn L."},{"family":"Milaneschi","given":"Yuri"},{"family":"Palviainen","given":"Teemu"},{"family":"Pearson","given":"John F."},{"family":"Peterson","given":"Roseann E."},{"family":"Ripatti","given":"Samuli"},{"family":"Ryu","given":"Euijung"},{"family":"Saccone","given":"Nancy L."},{"family":"Salvatore","given":"Jessica E."},{"family":"Sanchez-Roige","given":"Sandra"},{"family":"Schwandt","given":"Melanie"},{"family":"Sherva","given":"Richard"},{"family":"Streit","given":"Fabian"},{"family":"Strohmaier","given":"Jana"},{"family":"Thomas","given":"Nathaniel"},{"family":"Wang","given":"Jen-Chyong"},{"family":"Webb","given":"Bradley T."},{"family":"Wedow","given":"Robbee"},{"family":"Wetherill","given":"Leah"},{"family":"Wills","given":"Amanda G."},{"literal":"23andMe Research Team"},{"family":"Boardman","given":"Jason D."},{"family":"Chen","given":"Danfeng"},{"family":"Choi","given":"Doo-Sup"},{"family":"Copeland","given":"William E."},{"family":"Culverhouse","given":"Robert C."},{"family":"Dahmen","given":"Norbert"},{"family":"Degenhardt","given":"Louisa"},{"family":"Domingue","given":"Benjamin W."},{"family":"Elson","given":"Sarah L."},{"family":"Frye","given":"Mark A."},{"family":"Gäbel","given":"Wolfgang"},{"family":"Hayward","given":"Caroline"},{"family":"Ising","given":"Marcus"},{"family":"Keyes","given":"Margaret"},{"family":"Kiefer","given":"Falk"},{"family":"Kramer","given":"John"},{"family":"Kuperman","given":"Samuel"},{"family":"Lucae","given":"Susanne"},{"family":"Lynskey","given":"Michael T."},{"family":"Maier","given":"Wolfgang"},{"family":"Mann","given":"Karl"},{"family":"Männistö","given":"Satu"},{"family":"Müller-Myhsok","given":"Bertram"},{"family":"Murray","given":"Alison D."},{"family":"Nurnberger","given":"John I."},{"family":"Palotie","given":"Aarno"},{"family":"Preuss","given":"Ulrich"},{"family":"Räikkönen","given":"Katri"},{"family":"Reynolds","given":"Maureen D."},{"family":"Ridinger","given":"Monika"},{"family":"Scherbaum","given":"Norbert"},{"family":"Schuckit","given":"Marc A."},{"family":"Soyka","given":"Michael"},{"family":"Treutlein","given":"Jens"},{"family":"Witt","given":"Stephanie"},{"family":"Wodarz","given":"Norbert"},{"family":"Zill","given":"Peter"},{"family":"Adkins","given":"Daniel E."},{"family":"Boden","given":"Joseph M."},{"family":"Boomsma","given":"Dorret I."},{"family":"Bierut","given":"Laura J."},{"family":"Brown","given":"Sandra A."},{"family":"Bucholz","given":"Kathleen K."},{"family":"Cichon","given":"Sven"},{"family":"Costello","given":"E. Jane"},{"family":"Wit","given":"Harriet","non-dropping-particle":"de"},{"family":"Diazgranados","given":"Nancy"},{"family":"Dick","given":"Danielle M."},{"family":"Eriksson","given":"Johan G."},{"family":"Farrer","given":"Lindsay A."},{"family":"Foroud","given":"Tatiana M."},{"family":"Gillespie","given":"Nathan A."},{"family":"Goate","given":"Alison M."},{"family":"Goldman","given":"David"},{"family":"Grucza","given":"Richard A."},{"family":"Hancock","given":"Dana B."},{"family":"Harris","given":"Kathleen Mullan"},{"family":"Heath","given":"Andrew C."},{"family":"Hesselbrock","given":"Victor"},{"family":"Hewitt","given":"John K."},{"family":"Hopfer","given":"Christian J."},{"family":"Horwood","given":"John"},{"family":"Iacono","given":"William"},{"family":"Johnson","given":"Eric O."},{"family":"Kaprio","given":"Jaakko A."},{"family":"Karpyak","given":"Victor M."},{"family":"Kendler","given":"Kenneth S."},{"family":"Kranzler","given":"Henry R."},{"family":"Krauter","given":"Kenneth"},{"family":"Lichtenstein","given":"Paul"},{"family":"Lind","given":"Penelope A."},{"family":"McGue","given":"Matt"},{"family":"MacKillop","given":"James"},{"family":"Madden","given":"Pamela A. F."},{"family":"Maes","given":"Hermine H."},{"family":"Magnusson","given":"Patrik"},{"family":"Martin","given":"Nicholas G."},{"family":"Medland","given":"Sarah E."},{"family":"Montgomery","given":"Grant W."},{"family":"Nelson","given":"Elliot C."},{"family":"Nöthen","given":"Markus M."},{"family":"Palmer","given":"Abraham A."},{"family":"Pedersen","given":"Nancy L."},{"family":"Penninx","given":"Brenda W. J. H."},{"family":"Porjesz","given":"Bernice"},{"family":"Rice","given":"John P."},{"family":"Rietschel","given":"Marcella"},{"family":"Riley","given":"Brien P."},{"family":"Rose","given":"Richard"},{"family":"Rujescu","given":"Dan"},{"family":"Shen","given":"Pei-Hong"},{"family":"Silberg","given":"Judy"},{"family":"Stallings","given":"Michael C."},{"family":"Tarter","given":"Ralph E."},{"family":"Vanyukov","given":"Michael M."},{"family":"Vrieze","given":"Scott"},{"family":"Wall","given":"Tamara L."},{"family":"Whitfield","given":"John B."},{"family":"Zhao","given":"Hongyu"},{"family":"Neale","given":"Benjamin M."},{"family":"Gelernter","given":"Joel"},{"family":"Edenberg","given":"Howard J."},{"family":"Agrawal","given":"Arpana"}],"issued":{"date-parts":[["2018"]]}}}],"schema":"https://github.com/citation-style-language/schema/raw/master/csl-citation.json"} </w:instrText>
            </w:r>
            <w:r>
              <w:fldChar w:fldCharType="separate"/>
            </w:r>
            <w:r w:rsidR="009B7C37" w:rsidRPr="009B7C37">
              <w:rPr>
                <w:rFonts w:ascii="Calibri" w:hAnsi="Calibri" w:cs="Calibri"/>
                <w:szCs w:val="24"/>
                <w:vertAlign w:val="superscript"/>
              </w:rPr>
              <w:t>17</w:t>
            </w:r>
            <w:r>
              <w:fldChar w:fldCharType="end"/>
            </w:r>
          </w:p>
        </w:tc>
      </w:tr>
      <w:tr w:rsidR="00D06EC2" w:rsidRPr="00D06EC2" w14:paraId="610F2FF3" w14:textId="77777777" w:rsidTr="00B74A41">
        <w:trPr>
          <w:trHeight w:val="300"/>
        </w:trPr>
        <w:tc>
          <w:tcPr>
            <w:tcW w:w="2970" w:type="dxa"/>
            <w:tcBorders>
              <w:top w:val="nil"/>
              <w:left w:val="nil"/>
              <w:bottom w:val="nil"/>
              <w:right w:val="nil"/>
            </w:tcBorders>
            <w:shd w:val="clear" w:color="auto" w:fill="auto"/>
            <w:noWrap/>
            <w:vAlign w:val="center"/>
            <w:hideMark/>
          </w:tcPr>
          <w:p w14:paraId="45B46013" w14:textId="62B22B67" w:rsidR="00D06EC2" w:rsidRPr="00D605B2" w:rsidRDefault="00FA6C9A" w:rsidP="00D06EC2">
            <w:pPr>
              <w:spacing w:after="0" w:line="240" w:lineRule="auto"/>
              <w:rPr>
                <w:rFonts w:ascii="Calibri" w:eastAsia="Times New Roman" w:hAnsi="Calibri" w:cs="Calibri"/>
                <w:color w:val="000000"/>
                <w:lang w:eastAsia="zh-CN"/>
              </w:rPr>
            </w:pPr>
            <w:r w:rsidRPr="00D605B2">
              <w:rPr>
                <w:rFonts w:ascii="Calibri" w:eastAsia="Times New Roman" w:hAnsi="Calibri" w:cs="Calibri"/>
                <w:color w:val="000000"/>
                <w:lang w:eastAsia="zh-CN"/>
              </w:rPr>
              <w:t xml:space="preserve">PGC cross disorder study </w:t>
            </w:r>
            <w:r w:rsidR="00D06EC2" w:rsidRPr="00D605B2">
              <w:rPr>
                <w:rFonts w:ascii="Calibri" w:eastAsia="Times New Roman" w:hAnsi="Calibri" w:cs="Calibri"/>
                <w:color w:val="000000"/>
                <w:lang w:eastAsia="zh-CN"/>
              </w:rPr>
              <w:t>2019</w:t>
            </w:r>
          </w:p>
        </w:tc>
        <w:tc>
          <w:tcPr>
            <w:tcW w:w="1256" w:type="dxa"/>
            <w:tcBorders>
              <w:top w:val="nil"/>
              <w:left w:val="nil"/>
              <w:bottom w:val="nil"/>
              <w:right w:val="nil"/>
            </w:tcBorders>
            <w:shd w:val="clear" w:color="auto" w:fill="auto"/>
            <w:noWrap/>
            <w:vAlign w:val="center"/>
            <w:hideMark/>
          </w:tcPr>
          <w:p w14:paraId="33D69AD6"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4AFEC6BA"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1.88E-240</w:t>
            </w:r>
          </w:p>
        </w:tc>
        <w:tc>
          <w:tcPr>
            <w:tcW w:w="1256" w:type="dxa"/>
            <w:tcBorders>
              <w:top w:val="nil"/>
              <w:left w:val="nil"/>
              <w:bottom w:val="nil"/>
              <w:right w:val="nil"/>
            </w:tcBorders>
            <w:shd w:val="clear" w:color="auto" w:fill="auto"/>
            <w:noWrap/>
            <w:vAlign w:val="center"/>
            <w:hideMark/>
          </w:tcPr>
          <w:p w14:paraId="2B1AB63F"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3.13E-18</w:t>
            </w:r>
          </w:p>
        </w:tc>
        <w:tc>
          <w:tcPr>
            <w:tcW w:w="1381" w:type="dxa"/>
            <w:tcBorders>
              <w:top w:val="nil"/>
              <w:left w:val="nil"/>
              <w:bottom w:val="nil"/>
              <w:right w:val="nil"/>
            </w:tcBorders>
            <w:shd w:val="clear" w:color="auto" w:fill="auto"/>
            <w:noWrap/>
            <w:vAlign w:val="bottom"/>
            <w:hideMark/>
          </w:tcPr>
          <w:p w14:paraId="3ACE5F36" w14:textId="4334CE1F" w:rsidR="00D06EC2" w:rsidRPr="00D605B2" w:rsidRDefault="00443B75" w:rsidP="00B90239">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1A2769AB" w14:textId="7FD9DDFB"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750D90CC" w14:textId="719D8644"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2478CD7C" w14:textId="6425D719"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496FCCC3" w14:textId="3E11AE1F" w:rsidR="00D06EC2" w:rsidRPr="00D06EC2" w:rsidRDefault="00B40D47"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{"citationID":"J89XmhwA","properties":{"formattedCitation":"\\super 18\\nosupersub{}","plainCitation":"18","noteIndex":0},"citationItems":[{"id":473,"uris":["http://zotero.org/users/local/JrzyeY6I/items/G2TT66UJ"],"itemData":{"id":473,"type":"article-journal","abstract":"Genetic influences on psychiatric disorders transcend diagnostic boundaries, suggesting substantial pleiotropy of contributing loci. However, the nature and mechanisms of these pleiotropic effects remain unclear. We performed analyses of 232,964 cases and 494,162 controls from genome-wide studies of anorexia nervosa, attention-deficit/hyperactivity disorder, autism spectrum disorder, bipolar disorder, major depression, obsessive-compulsive disorder, schizophrenia, and Tourette syndrome. Genetic correlation analyses revealed a meaningful structure within the eight disorders, identifying three groups of inter-related disorders. Meta-analysis across these eight disorders detected 109 loci associated with at least two psychiatric disorders, including 23 loci with pleiotropic effects on four or more disorders and 11 loci with antagonistic effects on multiple disorders. The pleiotropic loci are located within genes that show heightened expression in the brain throughout the lifespan, beginning prenatally in the second trimester, and play prominent roles in neurodevelopmental processes. These findings have important implications for psychiatric nosology, drug development, and risk prediction.","container-title":"Cell","DOI":"10.1016/j.cell.2019.11.020","ISSN":"1097-4172","issue":"7","journalAbbreviation":"Cell","language":"eng","note":"number: 7\nPMID: 31835028\nPMCID: PMC7077032","page":"1469-1482.e11","source":"PubMed","title":"Genomic Relationships, Novel Loci, and Pleiotropic Mechanisms across Eight Psychiatric Disorders","volume":"179","author":[{"literal":"Cross-Disorder Group of the Psychiatric Genomics Consortium. Electronic address: plee0@mgh.harvard.edu"},{"literal":"Cross-Disorder Group of the Psychiatric Genomics Consortium"}],"issued":{"date-parts":[["2019"]],"season":"12"}}}],"schema":"https://github.com/citation-style-language/schema/raw/master/csl-citation.json"} </w:instrText>
            </w:r>
            <w:r>
              <w:fldChar w:fldCharType="separate"/>
            </w:r>
            <w:r w:rsidR="009B7C37" w:rsidRPr="009B7C37">
              <w:rPr>
                <w:rFonts w:ascii="Calibri" w:hAnsi="Calibri" w:cs="Calibri"/>
                <w:szCs w:val="24"/>
                <w:vertAlign w:val="superscript"/>
              </w:rPr>
              <w:t>18</w:t>
            </w:r>
            <w:r>
              <w:fldChar w:fldCharType="end"/>
            </w:r>
          </w:p>
        </w:tc>
      </w:tr>
      <w:tr w:rsidR="00D06EC2" w:rsidRPr="00D06EC2" w14:paraId="48E5834F" w14:textId="77777777" w:rsidTr="00B74A41">
        <w:trPr>
          <w:trHeight w:val="300"/>
        </w:trPr>
        <w:tc>
          <w:tcPr>
            <w:tcW w:w="2970" w:type="dxa"/>
            <w:tcBorders>
              <w:top w:val="nil"/>
              <w:left w:val="nil"/>
              <w:bottom w:val="nil"/>
              <w:right w:val="nil"/>
            </w:tcBorders>
            <w:shd w:val="clear" w:color="auto" w:fill="auto"/>
            <w:noWrap/>
            <w:vAlign w:val="center"/>
            <w:hideMark/>
          </w:tcPr>
          <w:p w14:paraId="1EAF78B0" w14:textId="0A70A16B"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lastRenderedPageBreak/>
              <w:t>D</w:t>
            </w:r>
            <w:r w:rsidR="00D06EC2" w:rsidRPr="00D06EC2">
              <w:rPr>
                <w:rFonts w:ascii="Calibri" w:eastAsia="Times New Roman" w:hAnsi="Calibri" w:cs="Calibri"/>
                <w:color w:val="000000"/>
                <w:lang w:eastAsia="zh-CN"/>
              </w:rPr>
              <w:t>epression</w:t>
            </w:r>
            <w:r>
              <w:rPr>
                <w:rFonts w:ascii="Calibri" w:eastAsia="Times New Roman" w:hAnsi="Calibri" w:cs="Calibri"/>
                <w:color w:val="000000"/>
                <w:lang w:eastAsia="zh-CN"/>
              </w:rPr>
              <w:t xml:space="preserve"> </w:t>
            </w:r>
            <w:r w:rsidR="00D06EC2" w:rsidRPr="00D06EC2">
              <w:rPr>
                <w:rFonts w:ascii="Calibri" w:eastAsia="Times New Roman" w:hAnsi="Calibri" w:cs="Calibri"/>
                <w:color w:val="000000"/>
                <w:lang w:eastAsia="zh-CN"/>
              </w:rPr>
              <w:t>2019</w:t>
            </w:r>
          </w:p>
        </w:tc>
        <w:tc>
          <w:tcPr>
            <w:tcW w:w="1256" w:type="dxa"/>
            <w:tcBorders>
              <w:top w:val="nil"/>
              <w:left w:val="nil"/>
              <w:bottom w:val="nil"/>
              <w:right w:val="nil"/>
            </w:tcBorders>
            <w:shd w:val="clear" w:color="auto" w:fill="auto"/>
            <w:noWrap/>
            <w:vAlign w:val="center"/>
            <w:hideMark/>
          </w:tcPr>
          <w:p w14:paraId="4CB5B1A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3.52E-103</w:t>
            </w:r>
          </w:p>
        </w:tc>
        <w:tc>
          <w:tcPr>
            <w:tcW w:w="1256" w:type="dxa"/>
            <w:tcBorders>
              <w:top w:val="nil"/>
              <w:left w:val="nil"/>
              <w:bottom w:val="nil"/>
              <w:right w:val="nil"/>
            </w:tcBorders>
            <w:shd w:val="clear" w:color="auto" w:fill="auto"/>
            <w:noWrap/>
            <w:vAlign w:val="center"/>
            <w:hideMark/>
          </w:tcPr>
          <w:p w14:paraId="716C687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6.17E-34</w:t>
            </w:r>
          </w:p>
        </w:tc>
        <w:tc>
          <w:tcPr>
            <w:tcW w:w="1256" w:type="dxa"/>
            <w:tcBorders>
              <w:top w:val="nil"/>
              <w:left w:val="nil"/>
              <w:bottom w:val="nil"/>
              <w:right w:val="nil"/>
            </w:tcBorders>
            <w:shd w:val="clear" w:color="auto" w:fill="auto"/>
            <w:noWrap/>
            <w:vAlign w:val="center"/>
            <w:hideMark/>
          </w:tcPr>
          <w:p w14:paraId="66EFBA06"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3.77E-108</w:t>
            </w:r>
          </w:p>
        </w:tc>
        <w:tc>
          <w:tcPr>
            <w:tcW w:w="1381" w:type="dxa"/>
            <w:tcBorders>
              <w:top w:val="nil"/>
              <w:left w:val="nil"/>
              <w:bottom w:val="nil"/>
              <w:right w:val="nil"/>
            </w:tcBorders>
            <w:shd w:val="clear" w:color="auto" w:fill="auto"/>
            <w:noWrap/>
            <w:vAlign w:val="bottom"/>
            <w:hideMark/>
          </w:tcPr>
          <w:p w14:paraId="15C06581"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1102B9DE"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center"/>
            <w:hideMark/>
          </w:tcPr>
          <w:p w14:paraId="30A12F60"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center"/>
            <w:hideMark/>
          </w:tcPr>
          <w:p w14:paraId="32A3326B"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39D203B8" w14:textId="2E82E2D0" w:rsidR="00D06EC2" w:rsidRPr="00D06EC2" w:rsidRDefault="00B40D47"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{"citationID":"mvXOB4Ae","properties":{"formattedCitation":"\\super 19\\nosupersub{}","plainCitation":"19","noteIndex":0},"citationItems":[{"id":1454,"uris":["http://zotero.org/users/local/JrzyeY6I/items/3BT7FZHP"],"itemData":{"id":1454,"type":"article-journal","abstract":"Major depression is a debilitating psychiatric illness that is typically associated with low mood and anhedonia. Depression has a heritable component that has remained difficult to elucidate with current sample sizes due to the polygenic nature of the disorder. To maximize sample size, we meta-analyzed data on 807,553 individuals (246,363 cases and 561,190 controls) from the three largest genome-wide association studies of depression. We identified 102 independent variants, 269 genes, and 15 genesets associated with depression, including both genes and gene pathways associated with synaptic structure and neurotransmission. An enrichment analysis provided further evidence of the importance of prefrontal brain regions. In an independent replication sample of 1,306,354 individuals (414,055 cases and 892,299 controls), 87 of the 102 associated variants were significant after multiple testing correction. These findings advance our understanding of the complex genetic architecture of depression and provide several future avenues for understanding etiology and developing new treatment approaches.","container-title":"Nature Neuroscience","DOI":"10.1038/s41593-018-0326-7","ISSN":"1546-1726","issue":"3","journalAbbreviation":"Nat Neurosci","language":"eng","note":"PMID: 30718901\nPMCID: PMC6522363","page":"343-352","source":"PubMed","title":"Genome-wide meta-analysis of depression identifies 102 independent variants and highlights the importance of the prefrontal brain regions","volume":"22","author":[{"family":"Howard","given":"David M."},{"family":"Adams","given":"Mark J."},{"family":"Clarke","given":"Toni-Kim"},{"family":"Hafferty","given":"Jonathan D."},{"family":"Gibson","given":"Jude"},{"family":"Shirali","given":"Masoud"},{"family":"Coleman","given":"Jonathan R. I."},{"family":"Hagenaars","given":"Saskia P."},{"family":"Ward","given":"Joey"},{"family":"Wigmore","given":"Eleanor M."},{"family":"Alloza","given":"Clara"},{"family":"Shen","given":"Xueyi"},{"family":"Barbu","given":"Miruna C."},{"family":"Xu","given":"Eileen Y."},{"family":"Whalley","given":"Heather C."},{"family":"Marioni","given":"Riccardo E."},{"family":"Porteous","given":"David J."},{"family":"Davies","given":"Gail"},{"family":"Deary","given":"Ian J."},{"family":"Hemani","given":"Gibran"},{"family":"Berger","given":"Klaus"},{"family":"Teismann","given":"Henning"},{"family":"Rawal","given":"Rajesh"},{"family":"Arolt","given":"Volker"},{"family":"Baune","given":"Bernhard T."},{"family":"Dannlowski","given":"Udo"},{"family":"Domschke","given":"Katharina"},{"family":"Tian","given":"Chao"},{"family":"Hinds","given":"David A."},{"literal":"23andMe Research Team"},{"literal":"Major Depressive Disorder Working Group of the Psychiatric Genomics Consortium"},{"family":"Trzaskowski","given":"Maciej"},{"family":"Byrne","given":"Enda M."},{"family":"Ripke","given":"Stephan"},{"family":"Smith","given":"Daniel J."},{"family":"Sullivan","given":"Patrick F."},{"family":"Wray","given":"Naomi R."},{"family":"Breen","given":"Gerome"},{"family":"Lewis","given":"Cathryn M."},{"family":"McIntosh","given":"Andrew M."}],"issued":{"date-parts":[["2019",3]]}}}],"schema":"https://github.com/citation-style-language/schema/raw/master/csl-citation.json"}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19</w:t>
            </w:r>
            <w:r>
              <w:rPr>
                <w:rFonts w:ascii="Calibri" w:eastAsia="Times New Roman" w:hAnsi="Calibri" w:cs="Calibri"/>
                <w:lang w:eastAsia="zh-CN"/>
              </w:rPr>
              <w:fldChar w:fldCharType="end"/>
            </w:r>
          </w:p>
        </w:tc>
      </w:tr>
      <w:tr w:rsidR="00D06EC2" w:rsidRPr="00D06EC2" w14:paraId="23ACADA9" w14:textId="77777777" w:rsidTr="00B74A41">
        <w:trPr>
          <w:trHeight w:val="300"/>
        </w:trPr>
        <w:tc>
          <w:tcPr>
            <w:tcW w:w="2970" w:type="dxa"/>
            <w:tcBorders>
              <w:top w:val="nil"/>
              <w:left w:val="nil"/>
              <w:bottom w:val="nil"/>
              <w:right w:val="nil"/>
            </w:tcBorders>
            <w:shd w:val="clear" w:color="auto" w:fill="auto"/>
            <w:noWrap/>
            <w:vAlign w:val="center"/>
            <w:hideMark/>
          </w:tcPr>
          <w:p w14:paraId="27EB42E5" w14:textId="0ABF79DC"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PGC3 SCZ </w:t>
            </w:r>
            <w:r w:rsidR="00D06EC2" w:rsidRPr="00D06EC2">
              <w:rPr>
                <w:rFonts w:ascii="Calibri" w:eastAsia="Times New Roman" w:hAnsi="Calibri" w:cs="Calibri"/>
                <w:color w:val="000000"/>
                <w:lang w:eastAsia="zh-CN"/>
              </w:rPr>
              <w:t>2021</w:t>
            </w:r>
          </w:p>
        </w:tc>
        <w:tc>
          <w:tcPr>
            <w:tcW w:w="1256" w:type="dxa"/>
            <w:tcBorders>
              <w:top w:val="nil"/>
              <w:left w:val="nil"/>
              <w:bottom w:val="nil"/>
              <w:right w:val="nil"/>
            </w:tcBorders>
            <w:shd w:val="clear" w:color="auto" w:fill="auto"/>
            <w:noWrap/>
            <w:vAlign w:val="center"/>
            <w:hideMark/>
          </w:tcPr>
          <w:p w14:paraId="077212D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3E48F50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5.62E-285</w:t>
            </w:r>
          </w:p>
        </w:tc>
        <w:tc>
          <w:tcPr>
            <w:tcW w:w="1256" w:type="dxa"/>
            <w:tcBorders>
              <w:top w:val="nil"/>
              <w:left w:val="nil"/>
              <w:bottom w:val="nil"/>
              <w:right w:val="nil"/>
            </w:tcBorders>
            <w:shd w:val="clear" w:color="auto" w:fill="auto"/>
            <w:noWrap/>
            <w:vAlign w:val="center"/>
            <w:hideMark/>
          </w:tcPr>
          <w:p w14:paraId="0FEC04BA"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4.63E-07</w:t>
            </w:r>
          </w:p>
        </w:tc>
        <w:tc>
          <w:tcPr>
            <w:tcW w:w="1381" w:type="dxa"/>
            <w:tcBorders>
              <w:top w:val="nil"/>
              <w:left w:val="nil"/>
              <w:bottom w:val="nil"/>
              <w:right w:val="nil"/>
            </w:tcBorders>
            <w:shd w:val="clear" w:color="auto" w:fill="auto"/>
            <w:noWrap/>
            <w:vAlign w:val="center"/>
            <w:hideMark/>
          </w:tcPr>
          <w:p w14:paraId="6C7E137B"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3BBE5390"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0F989B26"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center"/>
            <w:hideMark/>
          </w:tcPr>
          <w:p w14:paraId="6C84C07E"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vAlign w:val="center"/>
            <w:hideMark/>
          </w:tcPr>
          <w:p w14:paraId="3BD98AC0" w14:textId="624E6097" w:rsidR="00D06EC2" w:rsidRPr="00D06EC2" w:rsidRDefault="00B40D47"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{"citationID":"jHNMtZXh","properties":{"formattedCitation":"\\super 20\\nosupersub{}","plainCitation":"20","noteIndex":0},"citationItems":[{"id":978,"uris":["http://zotero.org/users/local/JrzyeY6I/items/3YC5V2ZN"],"itemData":{"id":978,"type":"article-journal","abstract":"Schizophrenia has a heritability of 60-80%1, much of which is attributable to common risk alleles. Here, in a two-stage genome-wide association study of up to 76,755 individuals with schizophrenia and 243,649 control individuals, we report common variant associations at 287 distinct genomic loci. Associations were concentrated in genes that are expressed in excitatory and inhibitory neurons of the central nervous system, but not in other tissues or cell types. Using fine-mapping and functional genomic data, we identify 120 genes (106 protein-coding) that are likely to underpin associations at some of these loci, including 16 genes with credible causal non-synonymous or untranslated region variation. We also implicate fundamental processes related to neuronal function, including synaptic organization, differentiation and transmission. Fine-mapped candidates were enriched for genes associated with rare disruptive coding variants in people with schizophrenia, including the glutamate receptor subunit GRIN2A and transcription factor SP4, and were also enriched for genes implicated by such variants in neurodevelopmental disorders. We identify biological processes relevant to schizophrenia pathophysiology; show convergence of common and rare variant associations in schizophrenia and neurodevelopmental disorders; and provide a resource of prioritized genes and variants to advance mechanistic studies.","container-title":"Nature","DOI":"10.1038/s41586-022-04434-5","ISSN":"1476-4687","issue":"7906","journalAbbreviation":"Nature","language":"eng","note":"PMID: 35396580\nPMCID: PMC9392466","page":"502-508","source":"PubMed","title":"Mapping genomic loci implicates genes and synaptic biology in schizophrenia","volume":"604","author":[{"family":"Trubetskoy","given":"Vassily"},{"family":"Pardiñas","given":"Antonio F."},{"family":"Qi","given":"Ting"},{"family":"Panagiotaropoulou","given":"Georgia"},{"family":"Awasthi","given":"Swapnil"},{"family":"Bigdeli","given":"Tim B."},{"family":"Bryois","given":"Julien"},{"family":"Chen","given":"Chia-Yen"},{"family":"Dennison","given":"Charlotte A."},{"family":"Hall","given":"Lynsey S."},{"family":"Lam","given":"Max"},{"family":"Watanabe","given":"Kyoko"},{"family":"Frei","given":"Oleksandr"},{"family":"Ge","given":"Tian"},{"family":"Harwood","given":"Janet C."},{"family":"Koopmans","given":"Frank"},{"family":"Magnusson","given":"Sigurdur"},{"family":"Richards","given":"Alexander L."},{"family":"Sidorenko","given":"Julia"},{"family":"Wu","given":"Yang"},{"family":"Zeng","given":"Jian"},{"family":"Grove","given":"Jakob"},{"family":"Kim","given":"Minsoo"},{"family":"Li","given":"Zhiqiang"},{"family":"Voloudakis","given":"Georgios"},{"family":"Zhang","given":"Wen"},{"family":"Adams","given":"Mark"},{"family":"Agartz","given":"Ingrid"},{"family":"Atkinson","given":"Elizabeth G."},{"family":"Agerbo","given":"Esben"},{"family":"Al Eissa","given":"Mariam"},{"family":"Albus","given":"Margot"},{"family":"Alexander","given":"Madeline"},{"family":"Alizadeh","given":"Behrooz Z."},{"family":"Alptekin","given":"Köksal"},{"family":"Als","given":"Thomas D."},{"family":"Amin","given":"Farooq"},{"family":"Arolt","given":"Volker"},{"family":"Arrojo","given":"Manuel"},{"family":"Athanasiu","given":"Lavinia"},{"family":"Azevedo","given":"Maria Helena"},{"family":"Bacanu","given":"Silviu A."},{"family":"Bass","given":"Nicholas J."},{"family":"Begemann","given":"Martin"},{"family":"Belliveau","given":"Richard A."},{"family":"Bene","given":"Judit"},{"family":"Benyamin","given":"Beben"},{"family":"Bergen","given":"Sarah E."},{"family":"Blasi","given":"Giuseppe"},{"family":"Bobes","given":"Julio"},{"family":"Bonassi","given":"Stefano"},{"family":"Braun","given":"Alice"},{"family":"Bressan","given":"Rodrigo Affonseca"},{"family":"Bromet","given":"Evelyn J."},{"family":"Bruggeman","given":"Richard"},{"family":"Buckley","given":"Peter F."},{"family":"Buckner","given":"Randy L."},{"family":"Bybjerg-Grauholm","given":"Jonas"},{"family":"Cahn","given":"Wiepke"},{"family":"Cairns","given":"Murray J."},{"family":"Calkins","given":"Monica E."},{"family":"Carr","given":"Vaughan J."},{"family":"Castle","given":"David"},{"family":"Catts","given":"Stanley V."},{"family":"Chambert","given":"Kimberley D."},{"family":"Chan","given":"Raymond C. K."},{"family":"Chaumette","given":"Boris"},{"family":"Cheng","given":"Wei"},{"family":"Cheung","given":"Eric F. C."},{"family":"Chong","given":"Siow Ann"},{"family":"Cohen","given":"David"},{"family":"Consoli","given":"Angèle"},{"family":"Cordeiro","given":"Quirino"},{"family":"Costas","given":"Javier"},{"family":"Curtis","given":"Charles"},{"family":"Davidson","given":"Michael"},{"family":"Davis","given":"Kenneth L."},{"family":"Haan","given":"Lieuwe","non-dropping-particle":"de"},{"family":"Degenhardt","given":"Franziska"},{"family":"DeLisi","given":"Lynn E."},{"family":"Demontis","given":"Ditte"},{"family":"Dickerson","given":"Faith"},{"family":"Dikeos","given":"Dimitris"},{"family":"Dinan","given":"Timothy"},{"family":"Djurovic","given":"Srdjan"},{"family":"Duan","given":"Jubao"},{"family":"Ducci","given":"Giuseppe"},{"family":"Dudbridge","given":"Frank"},{"family":"Eriksson","given":"Johan G."},{"family":"Fañanás","given":"Lourdes"},{"family":"Faraone","given":"Stephen V."},{"family":"Fiorentino","given":"Alessia"},{"family":"Forstner","given":"Andreas"},{"family":"Frank","given":"Josef"},{"family":"Freimer","given":"Nelson B."},{"family":"Fromer","given":"Menachem"},{"family":"Frustaci","given":"Alessandra"},{"family":"Gadelha","given":"Ary"},{"family":"Genovese","given":"Giulio"},{"family":"Gershon","given":"Elliot S."},{"family":"Giannitelli","given":"Marianna"},{"family":"Giegling","given":"Ina"},{"family":"Giusti-Rodríguez","given":"Paola"},{"family":"Godard","given":"Stephanie"},{"family":"Goldstein","given":"Jacqueline I."},{"family":"González Peñas","given":"Javier"},{"family":"González-Pinto","given":"Ana"},{"family":"Gopal","given":"Srihari"},{"family":"Gratten","given":"Jacob"},{"family":"Green","given":"Michael F."},{"family":"Greenwood","given":"Tiffany A."},{"family":"Guillin","given":"Olivier"},{"family":"Gülöksüz","given":"Sinan"},{"family":"Gur","given":"Raquel E."},{"family":"Gur","given":"Ruben C."},{"family":"Gutiérrez","given":"Blanca"},{"family":"Hahn","given":"Eric"},{"family":"Hakonarson","given":"Hakon"},{"family":"Haroutunian","given":"Vahram"},{"family":"Hartmann","given":"Annette M."},{"family":"Harvey","given":"Carol"},{"family":"Hayward","given":"Caroline"},{"family":"Henskens","given":"Frans A."},{"family":"Herms","given":"Stefan"},{"family":"Hoffmann","given":"Per"},{"family":"Howrigan","given":"Daniel P."},{"family":"Ikeda","given":"Masashi"},{"family":"Iyegbe","given":"Conrad"},{"family":"Joa","given":"Inge"},{"family":"Julià","given":"Antonio"},{"family":"Kähler","given":"Anna K."},{"family":"Kam-Thong","given":"Tony"},{"family":"Kamatani","given":"Yoichiro"},{"family":"Karachanak-Yankova","given":"Sena"},{"family":"Kebir","given":"Oussama"},{"family":"Keller","given":"Matthew C."},{"family":"Kelly","given":"Brian J."},{"family":"Khrunin","given":"Andrey"},{"family":"Kim","given":"Sung-Wan"},{"family":"Klovins","given":"Janis"},{"family":"Kondratiev","given":"Nikolay"},{"family":"Konte","given":"Bettina"},{"family":"Kraft","given":"Julia"},{"family":"Kubo","given":"Michiaki"},{"family":"Kučinskas","given":"Vaidutis"},{"family":"Kučinskiene","given":"Zita Ausrele"},{"family":"Kusumawardhani","given":"Agung"},{"family":"Kuzelova-Ptackova","given":"Hana"},{"family":"Landi","given":"Stefano"},{"family":"Lazzeroni","given":"Laura C."},{"family":"Lee","given":"Phil H."},{"family":"Legge","given":"Sophie E."},{"family":"Lehrer","given":"Douglas S."},{"family":"Lencer","given":"Rebecca"},{"family":"Lerer","given":"Bernard"},{"family":"Li","given":"Miaoxin"},{"family":"Lieberman","given":"Jeffrey"},{"family":"Light","given":"Gregory A."},{"family":"Limborska","given":"Svetlana"},{"family":"Liu","given":"Chih-Min"},{"family":"Lönnqvist","given":"Jouko"},{"family":"Loughland","given":"Carmel M."},{"family":"Lubinski","given":"Jan"},{"family":"Luykx","given":"Jurjen J."},{"family":"Lynham","given":"Amy"},{"family":"Macek","given":"Milan"},{"family":"Mackinnon","given":"Andrew"},{"family":"Magnusson","given":"Patrik K. E."},{"family":"Maher","given":"Brion S."},{"family":"Maier","given":"Wolfgang"},{"family":"Malaspina","given":"Dolores"},{"family":"Mallet","given":"Jacques"},{"family":"Marder","given":"Stephen R."},{"family":"Marsal","given":"Sara"},{"family":"Martin","given":"Alicia R."},{"family":"Martorell","given":"Lourdes"},{"family":"Mattheisen","given":"Manuel"},{"family":"McCarley","given":"Robert W."},{"family":"McDonald","given":"Colm"},{"family":"McGrath","given":"John J."},{"family":"Medeiros","given":"Helena"},{"family":"Meier","given":"Sandra"},{"family":"Melegh","given":"Bela"},{"family":"Melle","given":"Ingrid"},{"family":"Mesholam-Gately","given":"Raquelle I."},{"family":"Metspalu","given":"Andres"},{"family":"Michie","given":"Patricia T."},{"family":"Milani","given":"Lili"},{"family":"Milanova","given":"Vihra"},{"family":"Mitjans","given":"Marina"},{"family":"Molden","given":"Espen"},{"family":"Molina","given":"Esther"},{"family":"Molto","given":"María Dolores"},{"family":"Mondelli","given":"Valeria"},{"family":"Moreno","given":"Carmen"},{"family":"Morley","given":"Christopher P."},{"family":"Muntané","given":"Gerard"},{"family":"Murphy","given":"Kieran C."},{"family":"Myin-Germeys","given":"Inez"},{"family":"Nenadić","given":"Igor"},{"family":"Nestadt","given":"Gerald"},{"family":"Nikitina-Zake","given":"Liene"},{"family":"Noto","given":"Cristiano"},{"family":"Nuechterlein","given":"Keith H."},{"family":"O'Brien","given":"Niamh Louise"},{"family":"O'Neill","given":"F. Anthony"},{"family":"Oh","given":"Sang-Yun"},{"family":"Olincy","given":"Ann"},{"family":"Ota","given":"Vanessa Kiyomi"},{"family":"Pantelis","given":"Christos"},{"family":"Papadimitriou","given":"George N."},{"family":"Parellada","given":"Mara"},{"family":"Paunio","given":"Tiina"},{"family":"Pellegrino","given":"Renata"},{"family":"Periyasamy","given":"Sathish"},{"family":"Perkins","given":"Diana O."},{"family":"Pfuhlmann","given":"Bruno"},{"family":"Pietiläinen","given":"Olli"},{"family":"Pimm","given":"Jonathan"},{"family":"Porteous","given":"David"},{"family":"Powell","given":"John"},{"family":"Quattrone","given":"Diego"},{"family":"Quested","given":"Digby"},{"family":"Radant","given":"Allen D."},{"family":"Rampino","given":"Antonio"},{"family":"Rapaport","given":"Mark H."},{"family":"Rautanen","given":"Anna"},{"family":"Reichenberg","given":"Abraham"},{"family":"Roe","given":"Cheryl"},{"family":"Roffman","given":"Joshua L."},{"family":"Roth","given":"Julian"},{"family":"Rothermundt","given":"Matthias"},{"family":"Rutten","given":"Bart P. F."},{"family":"Saker-Delye","given":"Safaa"},{"family":"Salomaa","given":"Veikko"},{"family":"Sanjuan","given":"Julio"},{"family":"Santoro","given":"Marcos Leite"},{"family":"Savitz","given":"Adam"},{"family":"Schall","given":"Ulrich"},{"family":"Scott","given":"Rodney J."},{"family":"Seidman","given":"Larry J."},{"family":"Sharp","given":"Sally Isabel"},{"family":"Shi","given":"Jianxin"},{"family":"Siever","given":"Larry J."},{"family":"Sigurdsson","given":"Engilbert"},{"family":"Sim","given":"Kang"},{"family":"Skarabis","given":"Nora"},{"family":"Slominsky","given":"Petr"},{"family":"So","given":"Hon-Cheong"},{"family":"Sobell","given":"Janet L."},{"family":"Söderman","given":"Erik"},{"family":"Stain","given":"Helen J."},{"family":"Steen","given":"Nils Eiel"},{"family":"Steixner-Kumar","given":"Agnes A."},{"family":"Stögmann","given":"Elisabeth"},{"family":"Stone","given":"William S."},{"family":"Straub","given":"Richard E."},{"family":"Streit","given":"Fabian"},{"family":"Strengman","given":"Eric"},{"family":"Stroup","given":"T. Scott"},{"family":"Subramaniam","given":"Mythily"},{"family":"Sugar","given":"Catherine A."},{"family":"Suvisaari","given":"Jaana"},{"family":"Svrakic","given":"Dragan M."},{"family":"Swerdlow","given":"Neal R."},{"family":"Szatkiewicz","given":"Jin P."},{"family":"Ta","given":"Thi Minh Tam"},{"family":"Takahashi","given":"Atsushi"},{"family":"Terao","given":"Chikashi"},{"family":"Thibaut","given":"Florence"},{"family":"Toncheva","given":"Draga"},{"family":"Tooney","given":"Paul A."},{"family":"Torretta","given":"Silvia"},{"family":"Tosato","given":"Sarah"},{"family":"Tura","given":"Gian Battista"},{"family":"Turetsky","given":"Bruce I."},{"family":"Üçok","given":"Alp"},{"family":"Vaaler","given":"Arne"},{"family":"Amelsvoort","given":"Therese","non-dropping-particle":"van"},{"family":"Winkel","given":"Ruud","non-dropping-particle":"van"},{"family":"Veijola","given":"Juha"},{"family":"Waddington","given":"John"},{"family":"Walter","given":"Henrik"},{"family":"Waterreus","given":"Anna"},{"family":"Webb","given":"Bradley T."},{"family":"Weiser","given":"Mark"},{"family":"Williams","given":"Nigel M."},{"family":"Witt","given":"Stephanie H."},{"family":"Wormley","given":"Brandon K."},{"family":"Wu","given":"Jing Qin"},{"family":"Xu","given":"Zhida"},{"family":"Yolken","given":"Robert"},{"family":"Zai","given":"Clement C."},{"family":"Zhou","given":"Wei"},{"family":"Zhu","given":"Feng"},{"family":"Zimprich","given":"Fritz"},{"family":"Atbaşoğlu","given":"Eşref Cem"},{"family":"Ayub","given":"Muhammad"},{"family":"Benner","given":"Christian"},{"family":"Bertolino","given":"Alessandro"},{"family":"Black","given":"Donald W."},{"family":"Bray","given":"Nicholas J."},{"family":"Breen","given":"Gerome"},{"family":"Buccola","given":"Nancy G."},{"family":"Byerley","given":"William F."},{"family":"Chen","given":"Wei J."},{"family":"Cloninger","given":"C. Robert"},{"family":"Crespo-Facorro","given":"Benedicto"},{"family":"Donohoe","given":"Gary"},{"family":"Freedman","given":"Robert"},{"family":"Galletly","given":"Cherrie"},{"family":"Gandal","given":"Michael J."},{"family":"Gennarelli","given":"Massimo"},{"family":"Hougaard","given":"David M."},{"family":"Hwu","given":"Hai-Gwo"},{"family":"Jablensky","given":"Assen V."},{"family":"McCarroll","given":"Steven A."},{"family":"Moran","given":"Jennifer L."},{"family":"Mors","given":"Ole"},{"family":"Mortensen","given":"Preben B."},{"family":"Müller-Myhsok","given":"Bertram"},{"family":"Neil","given":"Amanda L."},{"family":"Nordentoft","given":"Merete"},{"family":"Pato","given":"Michele T."},{"family":"Petryshen","given":"Tracey L."},{"family":"Pirinen","given":"Matti"},{"family":"Pulver","given":"Ann E."},{"family":"Schulze","given":"Thomas G."},{"family":"Silverman","given":"Jeremy M."},{"family":"Smoller","given":"Jordan W."},{"family":"Stahl","given":"Eli A."},{"family":"Tsuang","given":"Debby W."},{"family":"Vilella","given":"Elisabet"},{"family":"Wang","given":"Shi-Heng"},{"family":"Xu","given":"Shuhua"},{"literal":"Indonesia Schizophrenia Consortium"},{"literal":"PsychENCODE"},{"literal":"Psychosis Endophenotypes International Consortium"},{"literal":"SynGO Consortium"},{"family":"Adolfsson","given":"Rolf"},{"family":"Arango","given":"Celso"},{"family":"Baune","given":"Bernhard T."},{"family":"Belangero","given":"Sintia Iole"},{"family":"Børglum","given":"Anders D."},{"family":"Braff","given":"David"},{"family":"Bramon","given":"Elvira"},{"family":"Buxbaum","given":"Joseph D."},{"family":"Campion","given":"Dominique"},{"family":"Cervilla","given":"Jorge A."},{"family":"Cichon","given":"Sven"},{"family":"Collier","given":"David A."},{"family":"Corvin","given":"Aiden"},{"family":"Curtis","given":"David"},{"family":"Forti","given":"Marta Di"},{"family":"Domenici","given":"Enrico"},{"family":"Ehrenreich","given":"Hannelore"},{"family":"Escott-Price","given":"Valentina"},{"family":"Esko","given":"Tõnu"},{"family":"Fanous","given":"Ayman H."},{"family":"Gareeva","given":"Anna"},{"family":"Gawlik","given":"Micha"},{"family":"Gejman","given":"Pablo V."},{"family":"Gill","given":"Michael"},{"family":"Glatt","given":"Stephen J."},{"family":"Golimbet","given":"Vera"},{"family":"Hong","given":"Kyung Sue"},{"family":"Hultman","given":"Christina M."},{"family":"Hyman","given":"Steven E."},{"family":"Iwata","given":"Nakao"},{"family":"Jönsson","given":"Erik G."},{"family":"Kahn","given":"René S."},{"family":"Kennedy","given":"James L."},{"family":"Khusnutdinova","given":"Elza"},{"family":"Kirov","given":"George"},{"family":"Knowles","given":"James A."},{"family":"Krebs","given":"Marie-Odile"},{"family":"Laurent-Levinson","given":"Claudine"},{"family":"Lee","given":"Jimmy"},{"family":"Lencz","given":"Todd"},{"family":"Levinson","given":"Douglas F."},{"family":"Li","given":"Qingqin S."},{"family":"Liu","given":"Jianjun"},{"family":"Malhotra","given":"Anil K."},{"family":"Malhotra","given":"Dheeraj"},{"family":"McIntosh","given":"Andrew"},{"family":"McQuillin","given":"Andrew"},{"family":"Menezes","given":"Paulo R."},{"family":"Morgan","given":"Vera A."},{"family":"Morris","given":"Derek W."},{"family":"Mowry","given":"Bryan J."},{"family":"Murray","given":"Robin M."},{"family":"Nimgaonkar","given":"Vishwajit"},{"family":"Nöthen","given":"Markus M."},{"family":"Ophoff","given":"Roel A."},{"family":"Paciga","given":"Sara A."},{"family":"Palotie","given":"Aarno"},{"family":"Pato","given":"Carlos N."},{"family":"Qin","given":"Shengying"},{"family":"Rietschel","given":"Marcella"},{"family":"Riley","given":"Brien P."},{"family":"Rivera","given":"Margarita"},{"family":"Rujescu","given":"Dan"},{"family":"Saka","given":"Meram C."},{"family":"Sanders","given":"Alan R."},{"family":"Schwab","given":"Sibylle G."},{"family":"Serretti","given":"Alessandro"},{"family":"Sham","given":"Pak C."},{"family":"Shi","given":"Yongyong"},{"family":"St Clair","given":"David"},{"family":"Stefánsson","given":"Hreinn"},{"family":"Stefansson","given":"Kari"},{"family":"Tsuang","given":"Ming T."},{"family":"Os","given":"Jim","non-dropping-particle":"van"},{"family":"Vawter","given":"Marquis P."},{"family":"Weinberger","given":"Daniel R."},{"family":"Werge","given":"Thomas"},{"family":"Wildenauer","given":"Dieter B."},{"family":"Yu","given":"Xin"},{"family":"Yue","given":"Weihua"},{"family":"Holmans","given":"Peter A."},{"family":"Pocklington","given":"Andrew J."},{"family":"Roussos","given":"Panos"},{"family":"Vassos","given":"Evangelos"},{"family":"Verhage","given":"Matthijs"},{"family":"Visscher","given":"Peter M."},{"family":"Yang","given":"Jian"},{"family":"Posthuma","given":"Danielle"},{"family":"Andreassen","given":"Ole A."},{"family":"Kendler","given":"Kenneth S."},{"family":"Owen","given":"Michael J."},{"family":"Wray","given":"Naomi R."},{"family":"Daly","given":"Mark J."},{"family":"Huang","given":"Hailiang"},{"family":"Neale","given":"Benjamin M."},{"family":"Sullivan","given":"Patrick F."},{"family":"Ripke","given":"Stephan"},{"family":"Walters","given":"James T. R."},{"family":"O'Donovan","given":"Michael C."},{"literal":"Schizophrenia Working Group of the Psychiatric Genomics Consortium"}],"issued":{"date-parts":[["2022",4]]}}}],"schema":"https://github.com/citation-style-language/schema/raw/master/csl-citation.json"}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20</w:t>
            </w:r>
            <w:r>
              <w:rPr>
                <w:rFonts w:ascii="Calibri" w:eastAsia="Times New Roman" w:hAnsi="Calibri" w:cs="Calibri"/>
                <w:lang w:eastAsia="zh-CN"/>
              </w:rPr>
              <w:fldChar w:fldCharType="end"/>
            </w:r>
          </w:p>
        </w:tc>
      </w:tr>
      <w:tr w:rsidR="00D06EC2" w:rsidRPr="00D06EC2" w14:paraId="24DADB57" w14:textId="77777777" w:rsidTr="00B74A41">
        <w:trPr>
          <w:trHeight w:val="300"/>
        </w:trPr>
        <w:tc>
          <w:tcPr>
            <w:tcW w:w="2970" w:type="dxa"/>
            <w:tcBorders>
              <w:top w:val="nil"/>
              <w:left w:val="nil"/>
              <w:bottom w:val="nil"/>
              <w:right w:val="nil"/>
            </w:tcBorders>
            <w:shd w:val="clear" w:color="auto" w:fill="auto"/>
            <w:noWrap/>
            <w:vAlign w:val="center"/>
            <w:hideMark/>
          </w:tcPr>
          <w:p w14:paraId="328EF1EE" w14:textId="459979FF"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A</w:t>
            </w:r>
            <w:r w:rsidR="00443B75">
              <w:rPr>
                <w:rFonts w:ascii="Calibri" w:eastAsia="Times New Roman" w:hAnsi="Calibri" w:cs="Calibri"/>
                <w:color w:val="000000"/>
                <w:lang w:eastAsia="zh-CN"/>
              </w:rPr>
              <w:t>lzheimer’s disease</w:t>
            </w:r>
            <w:r w:rsidR="00FA6C9A">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2021</w:t>
            </w:r>
          </w:p>
        </w:tc>
        <w:tc>
          <w:tcPr>
            <w:tcW w:w="1256" w:type="dxa"/>
            <w:tcBorders>
              <w:top w:val="nil"/>
              <w:left w:val="nil"/>
              <w:bottom w:val="nil"/>
              <w:right w:val="nil"/>
            </w:tcBorders>
            <w:shd w:val="clear" w:color="auto" w:fill="auto"/>
            <w:noWrap/>
            <w:vAlign w:val="center"/>
            <w:hideMark/>
          </w:tcPr>
          <w:p w14:paraId="30E4008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1.17E-08</w:t>
            </w:r>
          </w:p>
        </w:tc>
        <w:tc>
          <w:tcPr>
            <w:tcW w:w="1256" w:type="dxa"/>
            <w:tcBorders>
              <w:top w:val="nil"/>
              <w:left w:val="nil"/>
              <w:bottom w:val="nil"/>
              <w:right w:val="nil"/>
            </w:tcBorders>
            <w:shd w:val="clear" w:color="auto" w:fill="auto"/>
            <w:noWrap/>
            <w:vAlign w:val="center"/>
            <w:hideMark/>
          </w:tcPr>
          <w:p w14:paraId="35F4A59D"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0.0004</w:t>
            </w:r>
          </w:p>
        </w:tc>
        <w:tc>
          <w:tcPr>
            <w:tcW w:w="1256" w:type="dxa"/>
            <w:tcBorders>
              <w:top w:val="nil"/>
              <w:left w:val="nil"/>
              <w:bottom w:val="nil"/>
              <w:right w:val="nil"/>
            </w:tcBorders>
            <w:shd w:val="clear" w:color="auto" w:fill="auto"/>
            <w:noWrap/>
            <w:vAlign w:val="center"/>
            <w:hideMark/>
          </w:tcPr>
          <w:p w14:paraId="058253D4"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0.6274</w:t>
            </w:r>
          </w:p>
        </w:tc>
        <w:tc>
          <w:tcPr>
            <w:tcW w:w="1381" w:type="dxa"/>
            <w:tcBorders>
              <w:top w:val="nil"/>
              <w:left w:val="nil"/>
              <w:bottom w:val="nil"/>
              <w:right w:val="nil"/>
            </w:tcBorders>
            <w:shd w:val="clear" w:color="auto" w:fill="auto"/>
            <w:noWrap/>
            <w:vAlign w:val="bottom"/>
            <w:hideMark/>
          </w:tcPr>
          <w:p w14:paraId="73D68CAE"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08DFF6E9"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30FFA53"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67030609"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vAlign w:val="center"/>
            <w:hideMark/>
          </w:tcPr>
          <w:p w14:paraId="7A0B76D6" w14:textId="686F8137" w:rsidR="00D06EC2" w:rsidRPr="00D06EC2" w:rsidRDefault="00166CF8"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{"citationID":"qbj30a90","properties":{"formattedCitation":"\\super 21\\nosupersub{}","plainCitation":"21","noteIndex":0},"citationItems":[{"id":1460,"uris":["http://zotero.org/users/local/JrzyeY6I/items/YFV6GGEP"],"itemData":{"id":1460,"type":"article-journal","abstract":"Late-onset Alzheimer's disease is a prevalent age-related polygenic disease that accounts for 50-70% of dementia cases. Currently, only a fraction of the genetic variants underlying Alzheimer's disease have been identified. Here we show that increased sample sizes allowed identification of seven previously unidentified genetic loci contributing to Alzheimer's disease. This study highlights microglia, immune cells and protein catabolism as relevant to late-onset Alzheimer's disease, while identifying and prioritizing previously unidentified genes of potential interest. We anticipate that these results can be included in larger meta-analyses of Alzheimer's disease to identify further genetic variants that contribute to Alzheimer's pathology.","container-title":"Nature Genetics","DOI":"10.1038/s41588-021-00921-z","ISSN":"1546-1718","issue":"9","journalAbbreviation":"Nat Genet","language":"eng","note":"PMID: 34493870\nPMCID: PMC10243600","page":"1276-1282","source":"PubMed","title":"A genome-wide association study with 1,126,563 individuals identifies new risk loci for Alzheimer's disease","volume":"53","author":[{"family":"Wightman","given":"Douglas P."},{"family":"Jansen","given":"Iris E."},{"family":"Savage","given":"Jeanne E."},{"family":"Shadrin","given":"Alexey A."},{"family":"Bahrami","given":"Shahram"},{"family":"Holland","given":"Dominic"},{"family":"Rongve","given":"Arvid"},{"family":"Børte","given":"Sigrid"},{"family":"Winsvold","given":"Bendik S."},{"family":"Drange","given":"Ole Kristian"},{"family":"Martinsen","given":"Amy E."},{"family":"Skogholt","given":"Anne Heidi"},{"family":"Willer","given":"Cristen"},{"family":"Bråthen","given":"Geir"},{"family":"Bosnes","given":"Ingunn"},{"family":"Nielsen","given":"Jonas Bille"},{"family":"Fritsche","given":"Lars G."},{"family":"Thomas","given":"Laurent F."},{"family":"Pedersen","given":"Linda M."},{"family":"Gabrielsen","given":"Maiken E."},{"family":"Johnsen","given":"Marianne Bakke"},{"family":"Meisingset","given":"Tore Wergeland"},{"family":"Zhou","given":"Wei"},{"family":"Proitsi","given":"Petroula"},{"family":"Hodges","given":"Angela"},{"family":"Dobson","given":"Richard"},{"family":"Velayudhan","given":"Latha"},{"family":"Heilbron","given":"Karl"},{"family":"Auton","given":"Adam"},{"literal":"23andMe Research Team"},{"family":"Sealock","given":"Julia M."},{"family":"Davis","given":"Lea K."},{"family":"Pedersen","given":"Nancy L."},{"family":"Reynolds","given":"Chandra A."},{"family":"Karlsson","given":"Ida K."},{"family":"Magnusson","given":"Sigurdur"},{"family":"Stefansson","given":"Hreinn"},{"family":"Thordardottir","given":"Steinunn"},{"family":"Jonsson","given":"Palmi V."},{"family":"Snaedal","given":"Jon"},{"family":"Zettergren","given":"Anna"},{"family":"Skoog","given":"Ingmar"},{"family":"Kern","given":"Silke"},{"family":"Waern","given":"Margda"},{"family":"Zetterberg","given":"Henrik"},{"family":"Blennow","given":"Kaj"},{"family":"Stordal","given":"Eystein"},{"family":"Hveem","given":"Kristian"},{"family":"Zwart","given":"John-Anker"},{"family":"Athanasiu","given":"Lavinia"},{"family":"Selnes","given":"Per"},{"family":"Saltvedt","given":"Ingvild"},{"family":"Sando","given":"Sigrid B."},{"family":"Ulstein","given":"Ingun"},{"family":"Djurovic","given":"Srdjan"},{"family":"Fladby","given":"Tormod"},{"family":"Aarsland","given":"Dag"},{"family":"Selbæk","given":"Geir"},{"family":"Ripke","given":"Stephan"},{"family":"Stefansson","given":"Kari"},{"family":"Andreassen","given":"Ole A."},{"family":"Posthuma","given":"Danielle"}],"issued":{"date-parts":[["2021",9]]}}}],"schema":"https://github.com/citation-style-language/schema/raw/master/csl-citation.json"}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21</w:t>
            </w:r>
            <w:r>
              <w:rPr>
                <w:rFonts w:ascii="Calibri" w:eastAsia="Times New Roman" w:hAnsi="Calibri" w:cs="Calibri"/>
                <w:lang w:eastAsia="zh-CN"/>
              </w:rPr>
              <w:fldChar w:fldCharType="end"/>
            </w:r>
          </w:p>
        </w:tc>
      </w:tr>
      <w:tr w:rsidR="00D06EC2" w:rsidRPr="00D06EC2" w14:paraId="2A1F924B" w14:textId="77777777" w:rsidTr="00B74A41">
        <w:trPr>
          <w:trHeight w:val="300"/>
        </w:trPr>
        <w:tc>
          <w:tcPr>
            <w:tcW w:w="2970" w:type="dxa"/>
            <w:tcBorders>
              <w:top w:val="nil"/>
              <w:left w:val="nil"/>
              <w:bottom w:val="nil"/>
              <w:right w:val="nil"/>
            </w:tcBorders>
            <w:shd w:val="clear" w:color="auto" w:fill="auto"/>
            <w:noWrap/>
            <w:vAlign w:val="center"/>
            <w:hideMark/>
          </w:tcPr>
          <w:p w14:paraId="7B1D6C26" w14:textId="624D74DF"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Anorexia nervosa </w:t>
            </w:r>
            <w:r w:rsidR="00D06EC2" w:rsidRPr="00D06EC2">
              <w:rPr>
                <w:rFonts w:ascii="Calibri" w:eastAsia="Times New Roman" w:hAnsi="Calibri" w:cs="Calibri"/>
                <w:color w:val="000000"/>
                <w:lang w:eastAsia="zh-CN"/>
              </w:rPr>
              <w:t>2019</w:t>
            </w:r>
          </w:p>
        </w:tc>
        <w:tc>
          <w:tcPr>
            <w:tcW w:w="1256" w:type="dxa"/>
            <w:tcBorders>
              <w:top w:val="nil"/>
              <w:left w:val="nil"/>
              <w:bottom w:val="nil"/>
              <w:right w:val="nil"/>
            </w:tcBorders>
            <w:shd w:val="clear" w:color="auto" w:fill="auto"/>
            <w:noWrap/>
            <w:vAlign w:val="center"/>
            <w:hideMark/>
          </w:tcPr>
          <w:p w14:paraId="32CADBF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2.14E-57</w:t>
            </w:r>
          </w:p>
        </w:tc>
        <w:tc>
          <w:tcPr>
            <w:tcW w:w="1256" w:type="dxa"/>
            <w:tcBorders>
              <w:top w:val="nil"/>
              <w:left w:val="nil"/>
              <w:bottom w:val="nil"/>
              <w:right w:val="nil"/>
            </w:tcBorders>
            <w:shd w:val="clear" w:color="auto" w:fill="auto"/>
            <w:noWrap/>
            <w:vAlign w:val="center"/>
            <w:hideMark/>
          </w:tcPr>
          <w:p w14:paraId="2B64D3B8"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2.82E-16</w:t>
            </w:r>
          </w:p>
        </w:tc>
        <w:tc>
          <w:tcPr>
            <w:tcW w:w="1256" w:type="dxa"/>
            <w:tcBorders>
              <w:top w:val="nil"/>
              <w:left w:val="nil"/>
              <w:bottom w:val="nil"/>
              <w:right w:val="nil"/>
            </w:tcBorders>
            <w:shd w:val="clear" w:color="auto" w:fill="auto"/>
            <w:noWrap/>
            <w:vAlign w:val="center"/>
            <w:hideMark/>
          </w:tcPr>
          <w:p w14:paraId="561AF689"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0.113</w:t>
            </w:r>
          </w:p>
        </w:tc>
        <w:tc>
          <w:tcPr>
            <w:tcW w:w="1381" w:type="dxa"/>
            <w:tcBorders>
              <w:top w:val="nil"/>
              <w:left w:val="nil"/>
              <w:bottom w:val="nil"/>
              <w:right w:val="nil"/>
            </w:tcBorders>
            <w:shd w:val="clear" w:color="auto" w:fill="auto"/>
            <w:noWrap/>
            <w:vAlign w:val="bottom"/>
            <w:hideMark/>
          </w:tcPr>
          <w:p w14:paraId="6370C48D"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78314CCE"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65C772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7453871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4372E748" w14:textId="5D266362" w:rsidR="00D06EC2" w:rsidRPr="00D06EC2" w:rsidRDefault="00166CF8"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{"citationID":"2NBKwC8U","properties":{"formattedCitation":"\\super 22\\nosupersub{}","plainCitation":"22","noteIndex":0},"citationItems":[{"id":1463,"uris":["http://zotero.org/users/local/JrzyeY6I/items/5XE2AM86"],"itemData":{"id":1463,"type":"article-journal","abstract":"Characterized primarily by a low body-mass index, anorexia nervosa is a complex and serious illness1, affecting 0.9-4% of women and 0.3% of men2-4, with twin-based heritability estimates of 50-60%5. Mortality rates are higher than those in other psychiatric disorders6, and outcomes are unacceptably poor7. Here we combine data from the Anorexia Nervosa Genetics Initiative (ANGI)8,9 and the Eating Disorders Working Group of the Psychiatric Genomics Consortium (PGC-ED) and conduct a genome-wide association study of 16,992 cases of anorexia nervosa and 55,525 controls, identifying eight significant loci. The genetic architecture of anorexia nervosa mirrors its clinical presentation, showing significant genetic correlations with psychiatric disorders, physical activity, and metabolic (including glycemic), lipid and anthropometric traits, independent of the effects of common variants associated with body-mass index. These results further encourage a reconceptualization of anorexia nervosa as a metabo-psychiatric disorder. Elucidating the metabolic component is a critical direction for future research, and paying attention to both psychiatric and metabolic components may be key to improving outcomes.","container-title":"Nature Genetics","DOI":"10.1038/s41588-019-0439-2","ISSN":"1546-1718","issue":"8","journalAbbreviation":"Nat Genet","language":"eng","note":"PMID: 31308545\nPMCID: PMC6779477","page":"1207-1214","source":"PubMed","title":"Genome-wide association study identifies eight risk loci and implicates metabo-psychiatric origins for anorexia nervosa","volume":"51","author":[{"family":"Watson","given":"Hunna J."},{"family":"Yilmaz","given":"Zeynep"},{"family":"Thornton","given":"Laura M."},{"family":"Hübel","given":"Christopher"},{"family":"Coleman","given":"Jonathan R. I."},{"family":"Gaspar","given":"Héléna A."},{"family":"Bryois","given":"Julien"},{"family":"Hinney","given":"Anke"},{"family":"Leppä","given":"Virpi M."},{"family":"Mattheisen","given":"Manuel"},{"family":"Medland","given":"Sarah E."},{"family":"Ripke","given":"Stephan"},{"family":"Yao","given":"Shuyang"},{"family":"Giusti-Rodríguez","given":"Paola"},{"literal":"Anorexia Nervosa Genetics Initiative"},{"family":"Hanscombe","given":"Ken B."},{"family":"Purves","given":"Kirstin L."},{"literal":"Eating Disorders Working Group of the Psychiatric Genomics Consortium"},{"family":"Adan","given":"Roger A. H."},{"family":"Alfredsson","given":"Lars"},{"family":"Ando","given":"Tetsuya"},{"family":"Andreassen","given":"Ole A."},{"family":"Baker","given":"Jessica H."},{"family":"Berrettini","given":"Wade H."},{"family":"Boehm","given":"Ilka"},{"family":"Boni","given":"Claudette"},{"family":"Perica","given":"Vesna Boraska"},{"family":"Buehren","given":"Katharina"},{"family":"Burghardt","given":"Roland"},{"family":"Cassina","given":"Matteo"},{"family":"Cichon","given":"Sven"},{"family":"Clementi","given":"Maurizio"},{"family":"Cone","given":"Roger D."},{"family":"Courtet","given":"Philippe"},{"family":"Crow","given":"Scott"},{"family":"Crowley","given":"James J."},{"family":"Danner","given":"Unna N."},{"family":"Davis","given":"Oliver S. P."},{"family":"Zwaan","given":"Martina","non-dropping-particle":"de"},{"family":"Dedoussis","given":"George"},{"family":"Degortes","given":"Daniela"},{"family":"DeSocio","given":"Janiece E."},{"family":"Dick","given":"Danielle M."},{"family":"Dikeos","given":"Dimitris"},{"family":"Dina","given":"Christian"},{"family":"Dmitrzak-Weglarz","given":"Monika"},{"family":"Docampo","given":"Elisa"},{"family":"Duncan","given":"Laramie E."},{"family":"Egberts","given":"Karin"},{"family":"Ehrlich","given":"Stefan"},{"family":"Escaramís","given":"Geòrgia"},{"family":"Esko","given":"Tõnu"},{"family":"Estivill","given":"Xavier"},{"family":"Farmer","given":"Anne"},{"family":"Favaro","given":"Angela"},{"family":"Fernández-Aranda","given":"Fernando"},{"family":"Fichter","given":"Manfred M."},{"family":"Fischer","given":"Krista"},{"family":"Föcker","given":"Manuel"},{"family":"Foretova","given":"Lenka"},{"family":"Forstner","given":"Andreas J."},{"family":"Forzan","given":"Monica"},{"family":"Franklin","given":"Christopher S."},{"family":"Gallinger","given":"Steven"},{"family":"Giegling","given":"Ina"},{"family":"Giuranna","given":"Johanna"},{"family":"Gonidakis","given":"Fragiskos"},{"family":"Gorwood","given":"Philip"},{"family":"Mayora","given":"Monica Gratacos"},{"family":"Guillaume","given":"Sébastien"},{"family":"Guo","given":"Yiran"},{"family":"Hakonarson","given":"Hakon"},{"family":"Hatzikotoulas","given":"Konstantinos"},{"family":"Hauser","given":"Joanna"},{"family":"Hebebrand","given":"Johannes"},{"family":"Helder","given":"Sietske G."},{"family":"Herms","given":"Stefan"},{"family":"Herpertz-Dahlmann","given":"Beate"},{"family":"Herzog","given":"Wolfgang"},{"family":"Huckins","given":"Laura M."},{"family":"Hudson","given":"James I."},{"family":"Imgart","given":"Hartmut"},{"family":"Inoko","given":"Hidetoshi"},{"family":"Janout","given":"Vladimir"},{"family":"Jiménez-Murcia","given":"Susana"},{"family":"Julià","given":"Antonio"},{"family":"Kalsi","given":"Gursharan"},{"family":"Kaminská","given":"Deborah"},{"family":"Kaprio","given":"Jaakko"},{"family":"Karhunen","given":"Leila"},{"family":"Karwautz","given":"Andreas"},{"family":"Kas","given":"Martien J. H."},{"family":"Kennedy","given":"James L."},{"family":"Keski-Rahkonen","given":"Anna"},{"family":"Kiezebrink","given":"Kirsty"},{"family":"Kim","given":"Youl-Ri"},{"family":"Klareskog","given":"Lars"},{"family":"Klump","given":"Kelly L."},{"family":"Knudsen","given":"Gun Peggy S."},{"family":"La Via","given":"Maria C."},{"family":"Le Hellard","given":"Stephanie"},{"family":"Levitan","given":"Robert D."},{"family":"Li","given":"Dong"},{"family":"Lilenfeld","given":"Lisa"},{"family":"Lin","given":"Bochao Danae"},{"family":"Lissowska","given":"Jolanta"},{"family":"Luykx","given":"Jurjen"},{"family":"Magistretti","given":"Pierre J."},{"family":"Maj","given":"Mario"},{"family":"Mannik","given":"Katrin"},{"family":"Marsal","given":"Sara"},{"family":"Marshall","given":"Christian R."},{"family":"Mattingsdal","given":"Morten"},{"family":"McDevitt","given":"Sara"},{"family":"McGuffin","given":"Peter"},{"family":"Metspalu","given":"Andres"},{"family":"Meulenbelt","given":"Ingrid"},{"family":"Micali","given":"Nadia"},{"family":"Mitchell","given":"Karen"},{"family":"Monteleone","given":"Alessio Maria"},{"family":"Monteleone","given":"Palmiero"},{"family":"Munn-Chernoff","given":"Melissa A."},{"family":"Nacmias","given":"Benedetta"},{"family":"Navratilova","given":"Marie"},{"family":"Ntalla","given":"Ioanna"},{"family":"O'Toole","given":"Julie K."},{"family":"Ophoff","given":"Roel A."},{"family":"Padyukov","given":"Leonid"},{"family":"Palotie","given":"Aarno"},{"family":"Pantel","given":"Jacques"},{"family":"Papezova","given":"Hana"},{"family":"Pinto","given":"Dalila"},{"family":"Rabionet","given":"Raquel"},{"family":"Raevuori","given":"Anu"},{"family":"Ramoz","given":"Nicolas"},{"family":"Reichborn-Kjennerud","given":"Ted"},{"family":"Ricca","given":"Valdo"},{"family":"Ripatti","given":"Samuli"},{"family":"Ritschel","given":"Franziska"},{"family":"Roberts","given":"Marion"},{"family":"Rotondo","given":"Alessandro"},{"family":"Rujescu","given":"Dan"},{"family":"Rybakowski","given":"Filip"},{"family":"Santonastaso","given":"Paolo"},{"family":"Scherag","given":"André"},{"family":"Scherer","given":"Stephen W."},{"family":"Schmidt","given":"Ulrike"},{"family":"Schork","given":"Nicholas J."},{"family":"Schosser","given":"Alexandra"},{"family":"Seitz","given":"Jochen"},{"family":"Slachtova","given":"Lenka"},{"family":"Slagboom","given":"P. Eline"},{"family":"Slof-Op 't Landt","given":"Margarita C. T."},{"family":"Slopien","given":"Agnieszka"},{"family":"Sorbi","given":"Sandro"},{"family":"Świątkowska","given":"Beata"},{"family":"Szatkiewicz","given":"Jin P."},{"family":"Tachmazidou","given":"Ioanna"},{"family":"Tenconi","given":"Elena"},{"family":"Tortorella","given":"Alfonso"},{"family":"Tozzi","given":"Federica"},{"family":"Treasure","given":"Janet"},{"family":"Tsitsika","given":"Artemis"},{"family":"Tyszkiewicz-Nwafor","given":"Marta"},{"family":"Tziouvas","given":"Konstantinos"},{"family":"Elburg","given":"Annemarie A.","non-dropping-particle":"van"},{"family":"Furth","given":"Eric F.","non-dropping-particle":"van"},{"family":"Wagner","given":"Gudrun"},{"family":"Walton","given":"Esther"},{"family":"Widen","given":"Elisabeth"},{"family":"Zeggini","given":"Eleftheria"},{"family":"Zerwas","given":"Stephanie"},{"family":"Zipfel","given":"Stephan"},{"family":"Bergen","given":"Andrew W."},{"family":"Boden","given":"Joseph M."},{"family":"Brandt","given":"Harry"},{"family":"Crawford","given":"Steven"},{"family":"Halmi","given":"Katherine A."},{"family":"Horwood","given":"L. John"},{"family":"Johnson","given":"Craig"},{"family":"Kaplan","given":"Allan S."},{"family":"Kaye","given":"Walter H."},{"family":"Mitchell","given":"James E."},{"family":"Olsen","given":"Catherine M."},{"family":"Pearson","given":"John F."},{"family":"Pedersen","given":"Nancy L."},{"family":"Strober","given":"Michael"},{"family":"Werge","given":"Thomas"},{"family":"Whiteman","given":"David C."},{"family":"Woodside","given":"D. Blake"},{"family":"Stuber","given":"Garret D."},{"family":"Gordon","given":"Scott"},{"family":"Grove","given":"Jakob"},{"family":"Henders","given":"Anjali K."},{"family":"Juréus","given":"Anders"},{"family":"Kirk","given":"Katherine M."},{"family":"Larsen","given":"Janne T."},{"family":"Parker","given":"Richard"},{"family":"Petersen","given":"Liselotte"},{"family":"Jordan","given":"Jennifer"},{"family":"Kennedy","given":"Martin"},{"family":"Montgomery","given":"Grant W."},{"family":"Wade","given":"Tracey D."},{"family":"Birgegård","given":"Andreas"},{"family":"Lichtenstein","given":"Paul"},{"family":"Norring","given":"Claes"},{"family":"Landén","given":"Mikael"},{"family":"Martin","given":"Nicholas G."},{"family":"Mortensen","given":"Preben Bo"},{"family":"Sullivan","given":"Patrick F."},{"family":"Breen","given":"Gerome"},{"family":"Bulik","given":"Cynthia M."}],"issued":{"date-parts":[["2019",8]]}}}],"schema":"https://github.com/citation-style-language/schema/raw/master/csl-citation.json"} </w:instrText>
            </w:r>
            <w:r>
              <w:fldChar w:fldCharType="separate"/>
            </w:r>
            <w:r w:rsidR="009B7C37" w:rsidRPr="009B7C37">
              <w:rPr>
                <w:rFonts w:ascii="Calibri" w:hAnsi="Calibri" w:cs="Calibri"/>
                <w:szCs w:val="24"/>
                <w:vertAlign w:val="superscript"/>
              </w:rPr>
              <w:t>22</w:t>
            </w:r>
            <w:r>
              <w:fldChar w:fldCharType="end"/>
            </w:r>
          </w:p>
        </w:tc>
      </w:tr>
      <w:tr w:rsidR="00D06EC2" w:rsidRPr="00D06EC2" w14:paraId="08D89AE7" w14:textId="77777777" w:rsidTr="00B74A41">
        <w:trPr>
          <w:trHeight w:val="300"/>
        </w:trPr>
        <w:tc>
          <w:tcPr>
            <w:tcW w:w="2970" w:type="dxa"/>
            <w:tcBorders>
              <w:top w:val="nil"/>
              <w:left w:val="nil"/>
              <w:bottom w:val="nil"/>
              <w:right w:val="nil"/>
            </w:tcBorders>
            <w:shd w:val="clear" w:color="auto" w:fill="auto"/>
            <w:noWrap/>
            <w:vAlign w:val="center"/>
            <w:hideMark/>
          </w:tcPr>
          <w:p w14:paraId="183C189F" w14:textId="3321D762"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Bipolar disorder </w:t>
            </w:r>
            <w:r w:rsidR="00D06EC2" w:rsidRPr="00D06EC2">
              <w:rPr>
                <w:rFonts w:ascii="Calibri" w:eastAsia="Times New Roman" w:hAnsi="Calibri" w:cs="Calibri"/>
                <w:color w:val="000000"/>
                <w:lang w:eastAsia="zh-CN"/>
              </w:rPr>
              <w:t>2021</w:t>
            </w:r>
          </w:p>
        </w:tc>
        <w:tc>
          <w:tcPr>
            <w:tcW w:w="1256" w:type="dxa"/>
            <w:tcBorders>
              <w:top w:val="nil"/>
              <w:left w:val="nil"/>
              <w:bottom w:val="nil"/>
              <w:right w:val="nil"/>
            </w:tcBorders>
            <w:shd w:val="clear" w:color="auto" w:fill="auto"/>
            <w:noWrap/>
            <w:vAlign w:val="center"/>
            <w:hideMark/>
          </w:tcPr>
          <w:p w14:paraId="54894947"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31CD078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21A5AA1F"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1.04E-08</w:t>
            </w:r>
          </w:p>
        </w:tc>
        <w:tc>
          <w:tcPr>
            <w:tcW w:w="1381" w:type="dxa"/>
            <w:tcBorders>
              <w:top w:val="nil"/>
              <w:left w:val="nil"/>
              <w:bottom w:val="nil"/>
              <w:right w:val="nil"/>
            </w:tcBorders>
            <w:shd w:val="clear" w:color="auto" w:fill="auto"/>
            <w:noWrap/>
            <w:vAlign w:val="bottom"/>
            <w:hideMark/>
          </w:tcPr>
          <w:p w14:paraId="6B7C1AF6"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center"/>
            <w:hideMark/>
          </w:tcPr>
          <w:p w14:paraId="132335F2"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48D95204"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center"/>
            <w:hideMark/>
          </w:tcPr>
          <w:p w14:paraId="542C39C5"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3FB11DFF" w14:textId="4B40F41D" w:rsidR="00D06EC2" w:rsidRPr="00D06EC2" w:rsidRDefault="00166CF8"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{"citationID":"oBYLG483","properties":{"formattedCitation":"\\super 23\\nosupersub{}","plainCitation":"23","noteIndex":0},"citationItems":[{"id":1466,"uris":["http://zotero.org/users/local/JrzyeY6I/items/UY4FL34Z"],"itemData":{"id":1466,"type":"article-journal","abstract":"Bipolar disorder is a heritable mental illness with complex etiology. We performed a genome-wide association study of 41,917 bipolar disorder cases and 371,549 controls of European ancestry, which identified 64 associated genomic loci. Bipolar disorder risk alleles were enriched in genes in synaptic signaling pathways and brain-expressed genes, particularly those with high specificity of expression in neurons of the prefrontal cortex and hippocampus. Significant signal enrichment was found in genes encoding targets of antipsychotics, calcium channel blockers, antiepileptics and anesthetics. Integrating expression quantitative trait locus data implicated 15 genes robustly linked to bipolar disorder via gene expression, encoding druggable targets such as HTR6, MCHR1, DCLK3 and FURIN. Analyses of bipolar disorder subtypes indicated high but imperfect genetic correlation between bipolar disorder type I and II and identified additional associated loci. Together, these results advance our understanding of the biological etiology of bipolar disorder, identify novel therapeutic leads and prioritize genes for functional follow-up studies.","container-title":"Nature Genetics","DOI":"10.1038/s41588-021-00857-4","ISSN":"1546-1718","issue":"6","journalAbbreviation":"Nat Genet","language":"eng","note":"PMID: 34002096\nPMCID: PMC8192451","page":"817-829","source":"PubMed","title":"Genome-wide association study of more than 40,000 bipolar disorder cases provides new insights into the underlying biology","volume":"53","author":[{"family":"Mullins","given":"Niamh"},{"family":"Forstner","given":"Andreas J."},{"family":"O'Connell","given":"Kevin S."},{"family":"Coombes","given":"Brandon"},{"family":"Coleman","given":"Jonathan R. I."},{"family":"Qiao","given":"Zhen"},{"family":"Als","given":"Thomas D."},{"family":"Bigdeli","given":"Tim B."},{"family":"Børte","given":"Sigrid"},{"family":"Bryois","given":"Julien"},{"family":"Charney","given":"Alexander W."},{"family":"Drange","given":"Ole Kristian"},{"family":"Gandal","given":"Michael J."},{"family":"Hagenaars","given":"Saskia P."},{"family":"Ikeda","given":"Masashi"},{"family":"Kamitaki","given":"Nolan"},{"family":"Kim","given":"Minsoo"},{"family":"Krebs","given":"Kristi"},{"family":"Panagiotaropoulou","given":"Georgia"},{"family":"Schilder","given":"Brian M."},{"family":"Sloofman","given":"Laura G."},{"family":"Steinberg","given":"Stacy"},{"family":"Trubetskoy","given":"Vassily"},{"family":"Winsvold","given":"Bendik S."},{"family":"Won","given":"Hong-Hee"},{"family":"Abramova","given":"Liliya"},{"family":"Adorjan","given":"Kristina"},{"family":"Agerbo","given":"Esben"},{"family":"Al Eissa","given":"Mariam"},{"family":"Albani","given":"Diego"},{"family":"Alliey-Rodriguez","given":"Ney"},{"family":"Anjorin","given":"Adebayo"},{"family":"Antilla","given":"Verneri"},{"family":"Antoniou","given":"Anastasia"},{"family":"Awasthi","given":"Swapnil"},{"family":"Baek","given":"Ji Hyun"},{"family":"Bækvad-Hansen","given":"Marie"},{"family":"Bass","given":"Nicholas"},{"family":"Bauer","given":"Michael"},{"family":"Beins","given":"Eva C."},{"family":"Bergen","given":"Sarah E."},{"family":"Birner","given":"Armin"},{"family":"Bøcker Pedersen","given":"Carsten"},{"family":"Bøen","given":"Erlend"},{"family":"Boks","given":"Marco P."},{"family":"Bosch","given":"Rosa"},{"family":"Brum","given":"Murielle"},{"family":"Brumpton","given":"Ben M."},{"family":"Brunkhorst-Kanaan","given":"Nathalie"},{"family":"Budde","given":"Monika"},{"family":"Bybjerg-Grauholm","given":"Jonas"},{"family":"Byerley","given":"William"},{"family":"Cairns","given":"Murray"},{"family":"Casas","given":"Miquel"},{"family":"Cervantes","given":"Pablo"},{"family":"Clarke","given":"Toni-Kim"},{"family":"Cruceanu","given":"Cristiana"},{"family":"Cuellar-Barboza","given":"Alfredo"},{"family":"Cunningham","given":"Julie"},{"family":"Curtis","given":"David"},{"family":"Czerski","given":"Piotr M."},{"family":"Dale","given":"Anders M."},{"family":"Dalkner","given":"Nina"},{"family":"David","given":"Friederike S."},{"family":"Degenhardt","given":"Franziska"},{"family":"Djurovic","given":"Srdjan"},{"family":"Dobbyn","given":"Amanda L."},{"family":"Douzenis","given":"Athanassios"},{"family":"Elvsåshagen","given":"Torbjørn"},{"family":"Escott-Price","given":"Valentina"},{"family":"Ferrier","given":"I. Nicol"},{"family":"Fiorentino","given":"Alessia"},{"family":"Foroud","given":"Tatiana M."},{"family":"Forty","given":"Liz"},{"family":"Frank","given":"Josef"},{"family":"Frei","given":"Oleksandr"},{"family":"Freimer","given":"Nelson B."},{"family":"Frisén","given":"Louise"},{"family":"Gade","given":"Katrin"},{"family":"Garnham","given":"Julie"},{"family":"Gelernter","given":"Joel"},{"family":"Giørtz Pedersen","given":"Marianne"},{"family":"Gizer","given":"Ian R."},{"family":"Gordon","given":"Scott D."},{"family":"Gordon-Smith","given":"Katherine"},{"family":"Greenwood","given":"Tiffany A."},{"family":"Grove","given":"Jakob"},{"family":"Guzman-Parra","given":"José"},{"family":"Ha","given":"Kyooseob"},{"family":"Haraldsson","given":"Magnus"},{"family":"Hautzinger","given":"Martin"},{"family":"Heilbronner","given":"Urs"},{"family":"Hellgren","given":"Dennis"},{"family":"Herms","given":"Stefan"},{"family":"Hoffmann","given":"Per"},{"family":"Holmans","given":"Peter A."},{"family":"Huckins","given":"Laura"},{"family":"Jamain","given":"Stéphane"},{"family":"Johnson","given":"Jessica S."},{"family":"Kalman","given":"Janos L."},{"family":"Kamatani","given":"Yoichiro"},{"family":"Kennedy","given":"James L."},{"family":"Kittel-Schneider","given":"Sarah"},{"family":"Knowles","given":"James A."},{"family":"Kogevinas","given":"Manolis"},{"family":"Koromina","given":"Maria"},{"family":"Kranz","given":"Thorsten M."},{"family":"Kranzler","given":"Henry R."},{"family":"Kubo","given":"Michiaki"},{"family":"Kupka","given":"Ralph"},{"family":"Kushner","given":"Steven A."},{"family":"Lavebratt","given":"Catharina"},{"family":"Lawrence","given":"Jacob"},{"family":"Leber","given":"Markus"},{"family":"Lee","given":"Heon-Jeong"},{"family":"Lee","given":"Phil H."},{"family":"Levy","given":"Shawn E."},{"family":"Lewis","given":"Catrin"},{"family":"Liao","given":"Calwing"},{"family":"Lucae","given":"Susanne"},{"family":"Lundberg","given":"Martin"},{"family":"MacIntyre","given":"Donald J."},{"family":"Magnusson","given":"Sigurdur H."},{"family":"Maier","given":"Wolfgang"},{"family":"Maihofer","given":"Adam"},{"family":"Malaspina","given":"Dolores"},{"family":"Maratou","given":"Eirini"},{"family":"Martinsson","given":"Lina"},{"family":"Mattheisen","given":"Manuel"},{"family":"McCarroll","given":"Steven A."},{"family":"McGregor","given":"Nathaniel W."},{"family":"McGuffin","given":"Peter"},{"family":"McKay","given":"James D."},{"family":"Medeiros","given":"Helena"},{"family":"Medland","given":"Sarah E."},{"family":"Millischer","given":"Vincent"},{"family":"Montgomery","given":"Grant W."},{"family":"Moran","given":"Jennifer L."},{"family":"Morris","given":"Derek W."},{"family":"Mühleisen","given":"Thomas W."},{"family":"O'Brien","given":"Niamh"},{"family":"O'Donovan","given":"Claire"},{"family":"Olde Loohuis","given":"Loes M."},{"family":"Oruc","given":"Lilijana"},{"family":"Papiol","given":"Sergi"},{"family":"Pardiñas","given":"Antonio F."},{"family":"Perry","given":"Amy"},{"family":"Pfennig","given":"Andrea"},{"family":"Porichi","given":"Evgenia"},{"family":"Potash","given":"James B."},{"family":"Quested","given":"Digby"},{"family":"Raj","given":"Towfique"},{"family":"Rapaport","given":"Mark H."},{"family":"DePaulo","given":"J. Raymond"},{"family":"Regeer","given":"Eline J."},{"family":"Rice","given":"John P."},{"family":"Rivas","given":"Fabio"},{"family":"Rivera","given":"Margarita"},{"family":"Roth","given":"Julian"},{"family":"Roussos","given":"Panos"},{"family":"Ruderfer","given":"Douglas M."},{"family":"Sánchez-Mora","given":"Cristina"},{"family":"Schulte","given":"Eva C."},{"family":"Senner","given":"Fanny"},{"family":"Sharp","given":"Sally"},{"family":"Shilling","given":"Paul D."},{"family":"Sigurdsson","given":"Engilbert"},{"family":"Sirignano","given":"Lea"},{"family":"Slaney","given":"Claire"},{"family":"Smeland","given":"Olav B."},{"family":"Smith","given":"Daniel J."},{"family":"Sobell","given":"Janet L."},{"family":"Søholm Hansen","given":"Christine"},{"family":"Soler Artigas","given":"Maria"},{"family":"Spijker","given":"Anne T."},{"family":"Stein","given":"Dan J."},{"family":"Strauss","given":"John S."},{"family":"Świątkowska","given":"Beata"},{"family":"Terao","given":"Chikashi"},{"family":"Thorgeirsson","given":"Thorgeir E."},{"family":"Toma","given":"Claudio"},{"family":"Tooney","given":"Paul"},{"family":"Tsermpini","given":"Evangelia-Eirini"},{"family":"Vawter","given":"Marquis P."},{"family":"Vedder","given":"Helmut"},{"family":"Walters","given":"James T. R."},{"family":"Witt","given":"Stephanie H."},{"family":"Xi","given":"Simon"},{"family":"Xu","given":"Wei"},{"family":"Yang","given":"Jessica Mei Kay"},{"family":"Young","given":"Allan H."},{"family":"Young","given":"Hannah"},{"family":"Zandi","given":"Peter P."},{"family":"Zhou","given":"Hang"},{"family":"Zillich","given":"Lea"},{"literal":"HUNT All-In Psychiatry"},{"family":"Adolfsson","given":"Rolf"},{"family":"Agartz","given":"Ingrid"},{"family":"Alda","given":"Martin"},{"family":"Alfredsson","given":"Lars"},{"family":"Babadjanova","given":"Gulja"},{"family":"Backlund","given":"Lena"},{"family":"Baune","given":"Bernhard T."},{"family":"Bellivier","given":"Frank"},{"family":"Bengesser","given":"Susanne"},{"family":"Berrettini","given":"Wade H."},{"family":"Blackwood","given":"Douglas H. R."},{"family":"Boehnke","given":"Michael"},{"family":"Børglum","given":"Anders D."},{"family":"Breen","given":"Gerome"},{"family":"Carr","given":"Vaughan J."},{"family":"Catts","given":"Stanley"},{"family":"Corvin","given":"Aiden"},{"family":"Craddock","given":"Nicholas"},{"family":"Dannlowski","given":"Udo"},{"family":"Dikeos","given":"Dimitris"},{"family":"Esko","given":"Tõnu"},{"family":"Etain","given":"Bruno"},{"family":"Ferentinos","given":"Panagiotis"},{"family":"Frye","given":"Mark"},{"family":"Fullerton","given":"Janice M."},{"family":"Gawlik","given":"Micha"},{"family":"Gershon","given":"Elliot S."},{"family":"Goes","given":"Fernando S."},{"family":"Green","given":"Melissa J."},{"family":"Grigoroiu-Serbanescu","given":"Maria"},{"family":"Hauser","given":"Joanna"},{"family":"Henskens","given":"Frans"},{"family":"Hillert","given":"Jan"},{"family":"Hong","given":"Kyung Sue"},{"family":"Hougaard","given":"David M."},{"family":"Hultman","given":"Christina M."},{"family":"Hveem","given":"Kristian"},{"family":"Iwata","given":"Nakao"},{"family":"Jablensky","given":"Assen V."},{"family":"Jones","given":"Ian"},{"family":"Jones","given":"Lisa A."},{"family":"Kahn","given":"René S."},{"family":"Kelsoe","given":"John R."},{"family":"Kirov","given":"George"},{"family":"Landén","given":"Mikael"},{"family":"Leboyer","given":"Marion"},{"family":"Lewis","given":"Cathryn M."},{"family":"Li","given":"Qingqin S."},{"family":"Lissowska","given":"Jolanta"},{"family":"Lochner","given":"Christine"},{"family":"Loughland","given":"Carmel"},{"family":"Martin","given":"Nicholas G."},{"family":"Mathews","given":"Carol A."},{"family":"Mayoral","given":"Fermin"},{"family":"McElroy","given":"Susan L."},{"family":"McIntosh","given":"Andrew M."},{"family":"McMahon","given":"Francis J."},{"family":"Melle","given":"Ingrid"},{"family":"Michie","given":"Patricia"},{"family":"Milani","given":"Lili"},{"family":"Mitchell","given":"Philip B."},{"family":"Morken","given":"Gunnar"},{"family":"Mors","given":"Ole"},{"family":"Mortensen","given":"Preben Bo"},{"family":"Mowry","given":"Bryan"},{"family":"Müller-Myhsok","given":"Bertram"},{"family":"Myers","given":"Richard M."},{"family":"Neale","given":"Benjamin M."},{"family":"Nievergelt","given":"Caroline M."},{"family":"Nordentoft","given":"Merete"},{"family":"Nöthen","given":"Markus M."},{"family":"O'Donovan","given":"Michael C."},{"family":"Oedegaard","given":"Ketil J."},{"family":"Olsson","given":"Tomas"},{"family":"Owen","given":"Michael J."},{"family":"Paciga","given":"Sara A."},{"family":"Pantelis","given":"Chris"},{"family":"Pato","given":"Carlos"},{"family":"Pato","given":"Michele T."},{"family":"Patrinos","given":"George P."},{"family":"Perlis","given":"Roy H."},{"family":"Posthuma","given":"Danielle"},{"family":"Ramos-Quiroga","given":"Josep Antoni"},{"family":"Reif","given":"Andreas"},{"family":"Reininghaus","given":"Eva Z."},{"family":"Ribasés","given":"Marta"},{"family":"Rietschel","given":"Marcella"},{"family":"Ripke","given":"Stephan"},{"family":"Rouleau","given":"Guy A."},{"family":"Saito","given":"Takeo"},{"family":"Schall","given":"Ulrich"},{"family":"Schalling","given":"Martin"},{"family":"Schofield","given":"Peter R."},{"family":"Schulze","given":"Thomas G."},{"family":"Scott","given":"Laura J."},{"family":"Scott","given":"Rodney J."},{"family":"Serretti","given":"Alessandro"},{"family":"Shannon Weickert","given":"Cynthia"},{"family":"Smoller","given":"Jordan W."},{"family":"Stefansson","given":"Hreinn"},{"family":"Stefansson","given":"Kari"},{"family":"Stordal","given":"Eystein"},{"family":"Streit","given":"Fabian"},{"family":"Sullivan","given":"Patrick F."},{"family":"Turecki","given":"Gustavo"},{"family":"Vaaler","given":"Arne E."},{"family":"Vieta","given":"Eduard"},{"family":"Vincent","given":"John B."},{"family":"Waldman","given":"Irwin D."},{"family":"Weickert","given":"Thomas W."},{"family":"Werge","given":"Thomas"},{"family":"Wray","given":"Naomi R."},{"family":"Zwart","given":"John-Anker"},{"family":"Biernacka","given":"Joanna M."},{"family":"Nurnberger","given":"John I."},{"family":"Cichon","given":"Sven"},{"family":"Edenberg","given":"Howard J."},{"family":"Stahl","given":"Eli A."},{"family":"McQuillin","given":"Andrew"},{"family":"Di Florio","given":"Arianna"},{"family":"Ophoff","given":"Roel A."},{"family":"Andreassen","given":"Ole A."}],"issued":{"date-parts":[["2021",6]]}}}],"schema":"https://github.com/citation-style-language/schema/raw/master/csl-citation.json"} </w:instrText>
            </w:r>
            <w:r>
              <w:fldChar w:fldCharType="separate"/>
            </w:r>
            <w:r w:rsidR="009B7C37" w:rsidRPr="009B7C37">
              <w:rPr>
                <w:rFonts w:ascii="Calibri" w:hAnsi="Calibri" w:cs="Calibri"/>
                <w:szCs w:val="24"/>
                <w:vertAlign w:val="superscript"/>
              </w:rPr>
              <w:t>23</w:t>
            </w:r>
            <w:r>
              <w:fldChar w:fldCharType="end"/>
            </w:r>
          </w:p>
        </w:tc>
      </w:tr>
      <w:tr w:rsidR="00D06EC2" w:rsidRPr="00D06EC2" w14:paraId="5668A6FE" w14:textId="77777777" w:rsidTr="00B74A41">
        <w:trPr>
          <w:trHeight w:val="300"/>
        </w:trPr>
        <w:tc>
          <w:tcPr>
            <w:tcW w:w="2970" w:type="dxa"/>
            <w:tcBorders>
              <w:top w:val="nil"/>
              <w:left w:val="nil"/>
              <w:bottom w:val="nil"/>
              <w:right w:val="nil"/>
            </w:tcBorders>
            <w:shd w:val="clear" w:color="auto" w:fill="auto"/>
            <w:noWrap/>
            <w:vAlign w:val="center"/>
            <w:hideMark/>
          </w:tcPr>
          <w:p w14:paraId="78BB4C88" w14:textId="0B452964"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Bipolar </w:t>
            </w:r>
            <w:r w:rsidR="00D06EC2" w:rsidRPr="00D06EC2">
              <w:rPr>
                <w:rFonts w:ascii="Calibri" w:eastAsia="Times New Roman" w:hAnsi="Calibri" w:cs="Calibri"/>
                <w:color w:val="000000"/>
                <w:lang w:eastAsia="zh-CN"/>
              </w:rPr>
              <w:t>I</w:t>
            </w:r>
            <w:r>
              <w:rPr>
                <w:rFonts w:ascii="Calibri" w:eastAsia="Times New Roman" w:hAnsi="Calibri" w:cs="Calibri"/>
                <w:color w:val="000000"/>
                <w:lang w:eastAsia="zh-CN"/>
              </w:rPr>
              <w:t xml:space="preserve"> </w:t>
            </w:r>
            <w:r w:rsidR="00D06EC2" w:rsidRPr="00D06EC2">
              <w:rPr>
                <w:rFonts w:ascii="Calibri" w:eastAsia="Times New Roman" w:hAnsi="Calibri" w:cs="Calibri"/>
                <w:color w:val="000000"/>
                <w:lang w:eastAsia="zh-CN"/>
              </w:rPr>
              <w:t>2021</w:t>
            </w:r>
          </w:p>
        </w:tc>
        <w:tc>
          <w:tcPr>
            <w:tcW w:w="1256" w:type="dxa"/>
            <w:tcBorders>
              <w:top w:val="nil"/>
              <w:left w:val="nil"/>
              <w:bottom w:val="nil"/>
              <w:right w:val="nil"/>
            </w:tcBorders>
            <w:shd w:val="clear" w:color="auto" w:fill="auto"/>
            <w:noWrap/>
            <w:vAlign w:val="center"/>
            <w:hideMark/>
          </w:tcPr>
          <w:p w14:paraId="4473FB96"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30877ED6"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5919AD4F"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0.0002</w:t>
            </w:r>
          </w:p>
        </w:tc>
        <w:tc>
          <w:tcPr>
            <w:tcW w:w="1381" w:type="dxa"/>
            <w:tcBorders>
              <w:top w:val="nil"/>
              <w:left w:val="nil"/>
              <w:bottom w:val="nil"/>
              <w:right w:val="nil"/>
            </w:tcBorders>
            <w:shd w:val="clear" w:color="auto" w:fill="auto"/>
            <w:noWrap/>
            <w:vAlign w:val="bottom"/>
            <w:hideMark/>
          </w:tcPr>
          <w:p w14:paraId="491A9A2C"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center"/>
            <w:hideMark/>
          </w:tcPr>
          <w:p w14:paraId="1C996819"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443B3FF4"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center"/>
            <w:hideMark/>
          </w:tcPr>
          <w:p w14:paraId="30114850"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220FE248" w14:textId="220DB078" w:rsidR="00D06EC2" w:rsidRPr="00D06EC2" w:rsidRDefault="00166CF8"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{"citationID":"UGFTPqS7","properties":{"formattedCitation":"\\super 23\\nosupersub{}","plainCitation":"23","noteIndex":0},"citationItems":[{"id":1466,"uris":["http://zotero.org/users/local/JrzyeY6I/items/UY4FL34Z"],"itemData":{"id":1466,"type":"article-journal","abstract":"Bipolar disorder is a heritable mental illness with complex etiology. We performed a genome-wide association study of 41,917 bipolar disorder cases and 371,549 controls of European ancestry, which identified 64 associated genomic loci. Bipolar disorder risk alleles were enriched in genes in synaptic signaling pathways and brain-expressed genes, particularly those with high specificity of expression in neurons of the prefrontal cortex and hippocampus. Significant signal enrichment was found in genes encoding targets of antipsychotics, calcium channel blockers, antiepileptics and anesthetics. Integrating expression quantitative trait locus data implicated 15 genes robustly linked to bipolar disorder via gene expression, encoding druggable targets such as HTR6, MCHR1, DCLK3 and FURIN. Analyses of bipolar disorder subtypes indicated high but imperfect genetic correlation between bipolar disorder type I and II and identified additional associated loci. Together, these results advance our understanding of the biological etiology of bipolar disorder, identify novel therapeutic leads and prioritize genes for functional follow-up studies.","container-title":"Nature Genetics","DOI":"10.1038/s41588-021-00857-4","ISSN":"1546-1718","issue":"6","journalAbbreviation":"Nat Genet","language":"eng","note":"PMID: 34002096\nPMCID: PMC8192451","page":"817-829","source":"PubMed","title":"Genome-wide association study of more than 40,000 bipolar disorder cases provides new insights into the underlying biology","volume":"53","author":[{"family":"Mullins","given":"Niamh"},{"family":"Forstner","given":"Andreas J."},{"family":"O'Connell","given":"Kevin S."},{"family":"Coombes","given":"Brandon"},{"family":"Coleman","given":"Jonathan R. I."},{"family":"Qiao","given":"Zhen"},{"family":"Als","given":"Thomas D."},{"family":"Bigdeli","given":"Tim B."},{"family":"Børte","given":"Sigrid"},{"family":"Bryois","given":"Julien"},{"family":"Charney","given":"Alexander W."},{"family":"Drange","given":"Ole Kristian"},{"family":"Gandal","given":"Michael J."},{"family":"Hagenaars","given":"Saskia P."},{"family":"Ikeda","given":"Masashi"},{"family":"Kamitaki","given":"Nolan"},{"family":"Kim","given":"Minsoo"},{"family":"Krebs","given":"Kristi"},{"family":"Panagiotaropoulou","given":"Georgia"},{"family":"Schilder","given":"Brian M."},{"family":"Sloofman","given":"Laura G."},{"family":"Steinberg","given":"Stacy"},{"family":"Trubetskoy","given":"Vassily"},{"family":"Winsvold","given":"Bendik S."},{"family":"Won","given":"Hong-Hee"},{"family":"Abramova","given":"Liliya"},{"family":"Adorjan","given":"Kristina"},{"family":"Agerbo","given":"Esben"},{"family":"Al Eissa","given":"Mariam"},{"family":"Albani","given":"Diego"},{"family":"Alliey-Rodriguez","given":"Ney"},{"family":"Anjorin","given":"Adebayo"},{"family":"Antilla","given":"Verneri"},{"family":"Antoniou","given":"Anastasia"},{"family":"Awasthi","given":"Swapnil"},{"family":"Baek","given":"Ji Hyun"},{"family":"Bækvad-Hansen","given":"Marie"},{"family":"Bass","given":"Nicholas"},{"family":"Bauer","given":"Michael"},{"family":"Beins","given":"Eva C."},{"family":"Bergen","given":"Sarah E."},{"family":"Birner","given":"Armin"},{"family":"Bøcker Pedersen","given":"Carsten"},{"family":"Bøen","given":"Erlend"},{"family":"Boks","given":"Marco P."},{"family":"Bosch","given":"Rosa"},{"family":"Brum","given":"Murielle"},{"family":"Brumpton","given":"Ben M."},{"family":"Brunkhorst-Kanaan","given":"Nathalie"},{"family":"Budde","given":"Monika"},{"family":"Bybjerg-Grauholm","given":"Jonas"},{"family":"Byerley","given":"William"},{"family":"Cairns","given":"Murray"},{"family":"Casas","given":"Miquel"},{"family":"Cervantes","given":"Pablo"},{"family":"Clarke","given":"Toni-Kim"},{"family":"Cruceanu","given":"Cristiana"},{"family":"Cuellar-Barboza","given":"Alfredo"},{"family":"Cunningham","given":"Julie"},{"family":"Curtis","given":"David"},{"family":"Czerski","given":"Piotr M."},{"family":"Dale","given":"Anders M."},{"family":"Dalkner","given":"Nina"},{"family":"David","given":"Friederike S."},{"family":"Degenhardt","given":"Franziska"},{"family":"Djurovic","given":"Srdjan"},{"family":"Dobbyn","given":"Amanda L."},{"family":"Douzenis","given":"Athanassios"},{"family":"Elvsåshagen","given":"Torbjørn"},{"family":"Escott-Price","given":"Valentina"},{"family":"Ferrier","given":"I. Nicol"},{"family":"Fiorentino","given":"Alessia"},{"family":"Foroud","given":"Tatiana M."},{"family":"Forty","given":"Liz"},{"family":"Frank","given":"Josef"},{"family":"Frei","given":"Oleksandr"},{"family":"Freimer","given":"Nelson B."},{"family":"Frisén","given":"Louise"},{"family":"Gade","given":"Katrin"},{"family":"Garnham","given":"Julie"},{"family":"Gelernter","given":"Joel"},{"family":"Giørtz Pedersen","given":"Marianne"},{"family":"Gizer","given":"Ian R."},{"family":"Gordon","given":"Scott D."},{"family":"Gordon-Smith","given":"Katherine"},{"family":"Greenwood","given":"Tiffany A."},{"family":"Grove","given":"Jakob"},{"family":"Guzman-Parra","given":"José"},{"family":"Ha","given":"Kyooseob"},{"family":"Haraldsson","given":"Magnus"},{"family":"Hautzinger","given":"Martin"},{"family":"Heilbronner","given":"Urs"},{"family":"Hellgren","given":"Dennis"},{"family":"Herms","given":"Stefan"},{"family":"Hoffmann","given":"Per"},{"family":"Holmans","given":"Peter A."},{"family":"Huckins","given":"Laura"},{"family":"Jamain","given":"Stéphane"},{"family":"Johnson","given":"Jessica S."},{"family":"Kalman","given":"Janos L."},{"family":"Kamatani","given":"Yoichiro"},{"family":"Kennedy","given":"James L."},{"family":"Kittel-Schneider","given":"Sarah"},{"family":"Knowles","given":"James A."},{"family":"Kogevinas","given":"Manolis"},{"family":"Koromina","given":"Maria"},{"family":"Kranz","given":"Thorsten M."},{"family":"Kranzler","given":"Henry R."},{"family":"Kubo","given":"Michiaki"},{"family":"Kupka","given":"Ralph"},{"family":"Kushner","given":"Steven A."},{"family":"Lavebratt","given":"Catharina"},{"family":"Lawrence","given":"Jacob"},{"family":"Leber","given":"Markus"},{"family":"Lee","given":"Heon-Jeong"},{"family":"Lee","given":"Phil H."},{"family":"Levy","given":"Shawn E."},{"family":"Lewis","given":"Catrin"},{"family":"Liao","given":"Calwing"},{"family":"Lucae","given":"Susanne"},{"family":"Lundberg","given":"Martin"},{"family":"MacIntyre","given":"Donald J."},{"family":"Magnusson","given":"Sigurdur H."},{"family":"Maier","given":"Wolfgang"},{"family":"Maihofer","given":"Adam"},{"family":"Malaspina","given":"Dolores"},{"family":"Maratou","given":"Eirini"},{"family":"Martinsson","given":"Lina"},{"family":"Mattheisen","given":"Manuel"},{"family":"McCarroll","given":"Steven A."},{"family":"McGregor","given":"Nathaniel W."},{"family":"McGuffin","given":"Peter"},{"family":"McKay","given":"James D."},{"family":"Medeiros","given":"Helena"},{"family":"Medland","given":"Sarah E."},{"family":"Millischer","given":"Vincent"},{"family":"Montgomery","given":"Grant W."},{"family":"Moran","given":"Jennifer L."},{"family":"Morris","given":"Derek W."},{"family":"Mühleisen","given":"Thomas W."},{"family":"O'Brien","given":"Niamh"},{"family":"O'Donovan","given":"Claire"},{"family":"Olde Loohuis","given":"Loes M."},{"family":"Oruc","given":"Lilijana"},{"family":"Papiol","given":"Sergi"},{"family":"Pardiñas","given":"Antonio F."},{"family":"Perry","given":"Amy"},{"family":"Pfennig","given":"Andrea"},{"family":"Porichi","given":"Evgenia"},{"family":"Potash","given":"James B."},{"family":"Quested","given":"Digby"},{"family":"Raj","given":"Towfique"},{"family":"Rapaport","given":"Mark H."},{"family":"DePaulo","given":"J. Raymond"},{"family":"Regeer","given":"Eline J."},{"family":"Rice","given":"John P."},{"family":"Rivas","given":"Fabio"},{"family":"Rivera","given":"Margarita"},{"family":"Roth","given":"Julian"},{"family":"Roussos","given":"Panos"},{"family":"Ruderfer","given":"Douglas M."},{"family":"Sánchez-Mora","given":"Cristina"},{"family":"Schulte","given":"Eva C."},{"family":"Senner","given":"Fanny"},{"family":"Sharp","given":"Sally"},{"family":"Shilling","given":"Paul D."},{"family":"Sigurdsson","given":"Engilbert"},{"family":"Sirignano","given":"Lea"},{"family":"Slaney","given":"Claire"},{"family":"Smeland","given":"Olav B."},{"family":"Smith","given":"Daniel J."},{"family":"Sobell","given":"Janet L."},{"family":"Søholm Hansen","given":"Christine"},{"family":"Soler Artigas","given":"Maria"},{"family":"Spijker","given":"Anne T."},{"family":"Stein","given":"Dan J."},{"family":"Strauss","given":"John S."},{"family":"Świątkowska","given":"Beata"},{"family":"Terao","given":"Chikashi"},{"family":"Thorgeirsson","given":"Thorgeir E."},{"family":"Toma","given":"Claudio"},{"family":"Tooney","given":"Paul"},{"family":"Tsermpini","given":"Evangelia-Eirini"},{"family":"Vawter","given":"Marquis P."},{"family":"Vedder","given":"Helmut"},{"family":"Walters","given":"James T. R."},{"family":"Witt","given":"Stephanie H."},{"family":"Xi","given":"Simon"},{"family":"Xu","given":"Wei"},{"family":"Yang","given":"Jessica Mei Kay"},{"family":"Young","given":"Allan H."},{"family":"Young","given":"Hannah"},{"family":"Zandi","given":"Peter P."},{"family":"Zhou","given":"Hang"},{"family":"Zillich","given":"Lea"},{"literal":"HUNT All-In Psychiatry"},{"family":"Adolfsson","given":"Rolf"},{"family":"Agartz","given":"Ingrid"},{"family":"Alda","given":"Martin"},{"family":"Alfredsson","given":"Lars"},{"family":"Babadjanova","given":"Gulja"},{"family":"Backlund","given":"Lena"},{"family":"Baune","given":"Bernhard T."},{"family":"Bellivier","given":"Frank"},{"family":"Bengesser","given":"Susanne"},{"family":"Berrettini","given":"Wade H."},{"family":"Blackwood","given":"Douglas H. R."},{"family":"Boehnke","given":"Michael"},{"family":"Børglum","given":"Anders D."},{"family":"Breen","given":"Gerome"},{"family":"Carr","given":"Vaughan J."},{"family":"Catts","given":"Stanley"},{"family":"Corvin","given":"Aiden"},{"family":"Craddock","given":"Nicholas"},{"family":"Dannlowski","given":"Udo"},{"family":"Dikeos","given":"Dimitris"},{"family":"Esko","given":"Tõnu"},{"family":"Etain","given":"Bruno"},{"family":"Ferentinos","given":"Panagiotis"},{"family":"Frye","given":"Mark"},{"family":"Fullerton","given":"Janice M."},{"family":"Gawlik","given":"Micha"},{"family":"Gershon","given":"Elliot S."},{"family":"Goes","given":"Fernando S."},{"family":"Green","given":"Melissa J."},{"family":"Grigoroiu-Serbanescu","given":"Maria"},{"family":"Hauser","given":"Joanna"},{"family":"Henskens","given":"Frans"},{"family":"Hillert","given":"Jan"},{"family":"Hong","given":"Kyung Sue"},{"family":"Hougaard","given":"David M."},{"family":"Hultman","given":"Christina M."},{"family":"Hveem","given":"Kristian"},{"family":"Iwata","given":"Nakao"},{"family":"Jablensky","given":"Assen V."},{"family":"Jones","given":"Ian"},{"family":"Jones","given":"Lisa A."},{"family":"Kahn","given":"René S."},{"family":"Kelsoe","given":"John R."},{"family":"Kirov","given":"George"},{"family":"Landén","given":"Mikael"},{"family":"Leboyer","given":"Marion"},{"family":"Lewis","given":"Cathryn M."},{"family":"Li","given":"Qingqin S."},{"family":"Lissowska","given":"Jolanta"},{"family":"Lochner","given":"Christine"},{"family":"Loughland","given":"Carmel"},{"family":"Martin","given":"Nicholas G."},{"family":"Mathews","given":"Carol A."},{"family":"Mayoral","given":"Fermin"},{"family":"McElroy","given":"Susan L."},{"family":"McIntosh","given":"Andrew M."},{"family":"McMahon","given":"Francis J."},{"family":"Melle","given":"Ingrid"},{"family":"Michie","given":"Patricia"},{"family":"Milani","given":"Lili"},{"family":"Mitchell","given":"Philip B."},{"family":"Morken","given":"Gunnar"},{"family":"Mors","given":"Ole"},{"family":"Mortensen","given":"Preben Bo"},{"family":"Mowry","given":"Bryan"},{"family":"Müller-Myhsok","given":"Bertram"},{"family":"Myers","given":"Richard M."},{"family":"Neale","given":"Benjamin M."},{"family":"Nievergelt","given":"Caroline M."},{"family":"Nordentoft","given":"Merete"},{"family":"Nöthen","given":"Markus M."},{"family":"O'Donovan","given":"Michael C."},{"family":"Oedegaard","given":"Ketil J."},{"family":"Olsson","given":"Tomas"},{"family":"Owen","given":"Michael J."},{"family":"Paciga","given":"Sara A."},{"family":"Pantelis","given":"Chris"},{"family":"Pato","given":"Carlos"},{"family":"Pato","given":"Michele T."},{"family":"Patrinos","given":"George P."},{"family":"Perlis","given":"Roy H."},{"family":"Posthuma","given":"Danielle"},{"family":"Ramos-Quiroga","given":"Josep Antoni"},{"family":"Reif","given":"Andreas"},{"family":"Reininghaus","given":"Eva Z."},{"family":"Ribasés","given":"Marta"},{"family":"Rietschel","given":"Marcella"},{"family":"Ripke","given":"Stephan"},{"family":"Rouleau","given":"Guy A."},{"family":"Saito","given":"Takeo"},{"family":"Schall","given":"Ulrich"},{"family":"Schalling","given":"Martin"},{"family":"Schofield","given":"Peter R."},{"family":"Schulze","given":"Thomas G."},{"family":"Scott","given":"Laura J."},{"family":"Scott","given":"Rodney J."},{"family":"Serretti","given":"Alessandro"},{"family":"Shannon Weickert","given":"Cynthia"},{"family":"Smoller","given":"Jordan W."},{"family":"Stefansson","given":"Hreinn"},{"family":"Stefansson","given":"Kari"},{"family":"Stordal","given":"Eystein"},{"family":"Streit","given":"Fabian"},{"family":"Sullivan","given":"Patrick F."},{"family":"Turecki","given":"Gustavo"},{"family":"Vaaler","given":"Arne E."},{"family":"Vieta","given":"Eduard"},{"family":"Vincent","given":"John B."},{"family":"Waldman","given":"Irwin D."},{"family":"Weickert","given":"Thomas W."},{"family":"Werge","given":"Thomas"},{"family":"Wray","given":"Naomi R."},{"family":"Zwart","given":"John-Anker"},{"family":"Biernacka","given":"Joanna M."},{"family":"Nurnberger","given":"John I."},{"family":"Cichon","given":"Sven"},{"family":"Edenberg","given":"Howard J."},{"family":"Stahl","given":"Eli A."},{"family":"McQuillin","given":"Andrew"},{"family":"Di Florio","given":"Arianna"},{"family":"Ophoff","given":"Roel A."},{"family":"Andreassen","given":"Ole A."}],"issued":{"date-parts":[["2021",6]]}}}],"schema":"https://github.com/citation-style-language/schema/raw/master/csl-citation.json"} </w:instrText>
            </w:r>
            <w:r>
              <w:fldChar w:fldCharType="separate"/>
            </w:r>
            <w:r w:rsidR="009B7C37" w:rsidRPr="009B7C37">
              <w:rPr>
                <w:rFonts w:ascii="Calibri" w:hAnsi="Calibri" w:cs="Calibri"/>
                <w:szCs w:val="24"/>
                <w:vertAlign w:val="superscript"/>
              </w:rPr>
              <w:t>23</w:t>
            </w:r>
            <w:r>
              <w:fldChar w:fldCharType="end"/>
            </w:r>
          </w:p>
        </w:tc>
      </w:tr>
      <w:tr w:rsidR="00D06EC2" w:rsidRPr="00D06EC2" w14:paraId="1C78B694" w14:textId="77777777" w:rsidTr="00B74A41">
        <w:trPr>
          <w:trHeight w:val="300"/>
        </w:trPr>
        <w:tc>
          <w:tcPr>
            <w:tcW w:w="2970" w:type="dxa"/>
            <w:tcBorders>
              <w:top w:val="nil"/>
              <w:left w:val="nil"/>
              <w:bottom w:val="nil"/>
              <w:right w:val="nil"/>
            </w:tcBorders>
            <w:shd w:val="clear" w:color="auto" w:fill="auto"/>
            <w:noWrap/>
            <w:vAlign w:val="center"/>
            <w:hideMark/>
          </w:tcPr>
          <w:p w14:paraId="07DB3904" w14:textId="587E09CF" w:rsidR="00D06EC2" w:rsidRPr="00D06EC2" w:rsidRDefault="00FA6C9A"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P</w:t>
            </w:r>
            <w:r w:rsidR="00D06EC2" w:rsidRPr="00D06EC2">
              <w:rPr>
                <w:rFonts w:ascii="Calibri" w:eastAsia="Times New Roman" w:hAnsi="Calibri" w:cs="Calibri"/>
                <w:color w:val="000000"/>
                <w:lang w:eastAsia="zh-CN"/>
              </w:rPr>
              <w:t>anic</w:t>
            </w:r>
            <w:r>
              <w:rPr>
                <w:rFonts w:ascii="Calibri" w:eastAsia="Times New Roman" w:hAnsi="Calibri" w:cs="Calibri"/>
                <w:color w:val="000000"/>
                <w:lang w:eastAsia="zh-CN"/>
              </w:rPr>
              <w:t xml:space="preserve"> disorder </w:t>
            </w:r>
            <w:r w:rsidR="00D06EC2" w:rsidRPr="00D06EC2">
              <w:rPr>
                <w:rFonts w:ascii="Calibri" w:eastAsia="Times New Roman" w:hAnsi="Calibri" w:cs="Calibri"/>
                <w:color w:val="000000"/>
                <w:lang w:eastAsia="zh-CN"/>
              </w:rPr>
              <w:t>2019</w:t>
            </w:r>
          </w:p>
        </w:tc>
        <w:tc>
          <w:tcPr>
            <w:tcW w:w="1256" w:type="dxa"/>
            <w:tcBorders>
              <w:top w:val="nil"/>
              <w:left w:val="nil"/>
              <w:bottom w:val="nil"/>
              <w:right w:val="nil"/>
            </w:tcBorders>
            <w:shd w:val="clear" w:color="auto" w:fill="auto"/>
            <w:noWrap/>
            <w:vAlign w:val="center"/>
            <w:hideMark/>
          </w:tcPr>
          <w:p w14:paraId="002700A9"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1.17E-162</w:t>
            </w:r>
          </w:p>
        </w:tc>
        <w:tc>
          <w:tcPr>
            <w:tcW w:w="1256" w:type="dxa"/>
            <w:tcBorders>
              <w:top w:val="nil"/>
              <w:left w:val="nil"/>
              <w:bottom w:val="nil"/>
              <w:right w:val="nil"/>
            </w:tcBorders>
            <w:shd w:val="clear" w:color="auto" w:fill="auto"/>
            <w:noWrap/>
            <w:vAlign w:val="center"/>
            <w:hideMark/>
          </w:tcPr>
          <w:p w14:paraId="7350FB5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0.0215</w:t>
            </w:r>
          </w:p>
        </w:tc>
        <w:tc>
          <w:tcPr>
            <w:tcW w:w="1256" w:type="dxa"/>
            <w:tcBorders>
              <w:top w:val="nil"/>
              <w:left w:val="nil"/>
              <w:bottom w:val="nil"/>
              <w:right w:val="nil"/>
            </w:tcBorders>
            <w:shd w:val="clear" w:color="auto" w:fill="auto"/>
            <w:noWrap/>
            <w:vAlign w:val="center"/>
            <w:hideMark/>
          </w:tcPr>
          <w:p w14:paraId="04C6BE9B"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5.31E-07</w:t>
            </w:r>
          </w:p>
        </w:tc>
        <w:tc>
          <w:tcPr>
            <w:tcW w:w="1381" w:type="dxa"/>
            <w:tcBorders>
              <w:top w:val="nil"/>
              <w:left w:val="nil"/>
              <w:bottom w:val="nil"/>
              <w:right w:val="nil"/>
            </w:tcBorders>
            <w:shd w:val="clear" w:color="auto" w:fill="auto"/>
            <w:noWrap/>
            <w:vAlign w:val="bottom"/>
            <w:hideMark/>
          </w:tcPr>
          <w:p w14:paraId="578AF030"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082D3DE7"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AAC7FF0"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6B4FCC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7852D315" w14:textId="7D5A0802" w:rsidR="00D06EC2" w:rsidRPr="00D06EC2" w:rsidRDefault="00166CF8"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{"citationID":"xuTcAMwT","properties":{"formattedCitation":"\\super 24\\nosupersub{}","plainCitation":"24","noteIndex":0},"citationItems":[{"id":1469,"uris":["http://zotero.org/users/local/JrzyeY6I/items/WAQRCPPP"],"itemData":{"id":1469,"type":"article-journal","abstract":"Panic disorder (PD) has a lifetime prevalence of 2-4% and heritability estimates of 40%. The contributory genetic variants remain largely unknown, with few and inconsistent loci having been reported. The present report describes the largest genome-wide association study (GWAS) of PD to date comprising genome-wide genotype data of 2248 clinically well-characterized PD patients and 7992 ethnically matched controls. The samples originated from four European countries (Denmark, Estonia, Germany, and Sweden). Standard GWAS quality control procedures were conducted on each individual dataset, and imputation was performed using the 1000 Genomes Project reference panel. A meta-analysis was then performed using the Ricopili pipeline. No genome-wide significant locus was identified. Leave-one-out analyses generated highly significant polygenic risk scores (PRS) (explained variance of up to 2.6%). Linkage disequilibrium (LD) score regression analysis of the GWAS data showed that the estimated heritability for PD was 28.0-34.2%. After correction for multiple testing, a significant genetic correlation was found between PD and major depressive disorder, depressive symptoms, and neuroticism. A total of 255 single-nucleotide polymorphisms (SNPs) with p &lt; 1 × 10-4 were followed up in an independent sample of 2408 PD patients and 228,470 controls from Denmark, Iceland and the Netherlands. In the combined analysis, SNP rs144783209 showed the strongest association with PD (pcomb = 3.10  × 10-7). Sign tests revealed a significant enrichment of SNPs with a discovery p-value of &lt;0.0001 in the combined follow up cohort (p = 0.048). The present integrative analysis represents a major step towards the elucidation of the genetic susceptibility to PD.","container-title":"Molecular Psychiatry","DOI":"10.1038/s41380-019-0590-2","ISSN":"1476-5578","issue":"8","journalAbbreviation":"Mol Psychiatry","language":"eng","note":"PMID: 31712720","page":"4179-4190","source":"PubMed","title":"Genome-wide association study of panic disorder reveals genetic overlap with neuroticism and depression","volume":"26","author":[{"family":"Forstner","given":"Andreas J."},{"family":"Awasthi","given":"Swapnil"},{"family":"Wolf","given":"Christiane"},{"family":"Maron","given":"Eduard"},{"family":"Erhardt","given":"Angelika"},{"family":"Czamara","given":"Darina"},{"family":"Eriksson","given":"Elias"},{"family":"Lavebratt","given":"Catharina"},{"family":"Allgulander","given":"Christer"},{"family":"Friedrich","given":"Nina"},{"family":"Becker","given":"Jessica"},{"family":"Hecker","given":"Julian"},{"family":"Rambau","given":"Stefanie"},{"family":"Conrad","given":"Rupert"},{"family":"Geiser","given":"Franziska"},{"family":"McMahon","given":"Francis J."},{"family":"Moebus","given":"Susanne"},{"family":"Hess","given":"Timo"},{"family":"Buerfent","given":"Benedikt C."},{"family":"Hoffmann","given":"Per"},{"family":"Herms","given":"Stefan"},{"family":"Heilmann-Heimbach","given":"Stefanie"},{"family":"Kockum","given":"Ingrid"},{"family":"Olsson","given":"Tomas"},{"family":"Alfredsson","given":"Lars"},{"family":"Weber","given":"Heike"},{"family":"Alpers","given":"Georg W."},{"family":"Arolt","given":"Volker"},{"family":"Fehm","given":"Lydia"},{"family":"Fydrich","given":"Thomas"},{"family":"Gerlach","given":"Alexander L."},{"family":"Hamm","given":"Alfons"},{"family":"Kircher","given":"Tilo"},{"family":"Pané-Farré","given":"Christiane A."},{"family":"Pauli","given":"Paul"},{"family":"Rief","given":"Winfried"},{"family":"Ströhle","given":"Andreas"},{"family":"Plag","given":"Jens"},{"family":"Lang","given":"Thomas"},{"family":"Wittchen","given":"Hans-Ulrich"},{"family":"Mattheisen","given":"Manuel"},{"family":"Meier","given":"Sandra"},{"family":"Metspalu","given":"Andres"},{"family":"Domschke","given":"Katharina"},{"family":"Reif","given":"Andreas"},{"family":"Hovatta","given":"Iiris"},{"family":"Lindefors","given":"Nils"},{"family":"Andersson","given":"Evelyn"},{"family":"Schalling","given":"Martin"},{"family":"Mbarek","given":"Hamdi"},{"family":"Milaneschi","given":"Yuri"},{"family":"Geus","given":"Eco J. C.","non-dropping-particle":"de"},{"family":"Boomsma","given":"Dorret I."},{"family":"Penninx","given":"Brenda W. J. H."},{"family":"Thorgeirsson","given":"Thorgeir E."},{"family":"Steinberg","given":"Stacy"},{"family":"Stefansson","given":"Kari"},{"family":"Stefansson","given":"Hreinn"},{"family":"Müller-Myhsok","given":"Bertram"},{"family":"Hansen","given":"Thomas Folkmann"},{"family":"Børglum","given":"Anders D."},{"family":"Werge","given":"Thomas"},{"family":"Mortensen","given":"Preben Bo"},{"family":"Nordentoft","given":"Merete"},{"family":"Hougaard","given":"David M."},{"family":"Hultman","given":"Christina M."},{"family":"Sullivan","given":"Patrick F."},{"family":"Nöthen","given":"Markus M."},{"family":"Woldbye","given":"David P. D."},{"family":"Mors","given":"Ole"},{"family":"Binder","given":"Elisabeth B."},{"family":"Rück","given":"Christian"},{"family":"Ripke","given":"Stephan"},{"family":"Deckert","given":"Jürgen"},{"family":"Schumacher","given":"Johannes"}],"issued":{"date-parts":[["2021",8]]}}}],"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24</w:t>
            </w:r>
            <w:r>
              <w:rPr>
                <w:rFonts w:ascii="Calibri" w:eastAsia="Times New Roman" w:hAnsi="Calibri" w:cs="Calibri"/>
                <w:lang w:eastAsia="zh-CN"/>
              </w:rPr>
              <w:fldChar w:fldCharType="end"/>
            </w:r>
          </w:p>
        </w:tc>
      </w:tr>
      <w:tr w:rsidR="00D06EC2" w:rsidRPr="00D06EC2" w14:paraId="3ADC6743" w14:textId="77777777" w:rsidTr="00B74A41">
        <w:trPr>
          <w:trHeight w:val="300"/>
        </w:trPr>
        <w:tc>
          <w:tcPr>
            <w:tcW w:w="2970" w:type="dxa"/>
            <w:tcBorders>
              <w:top w:val="nil"/>
              <w:left w:val="nil"/>
              <w:bottom w:val="nil"/>
              <w:right w:val="nil"/>
            </w:tcBorders>
            <w:shd w:val="clear" w:color="auto" w:fill="auto"/>
            <w:noWrap/>
            <w:vAlign w:val="center"/>
            <w:hideMark/>
          </w:tcPr>
          <w:p w14:paraId="5E011F9C" w14:textId="73FC32B3"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 xml:space="preserve">PTSD </w:t>
            </w:r>
          </w:p>
        </w:tc>
        <w:tc>
          <w:tcPr>
            <w:tcW w:w="1256" w:type="dxa"/>
            <w:tcBorders>
              <w:top w:val="nil"/>
              <w:left w:val="nil"/>
              <w:bottom w:val="nil"/>
              <w:right w:val="nil"/>
            </w:tcBorders>
            <w:shd w:val="clear" w:color="auto" w:fill="auto"/>
            <w:noWrap/>
            <w:vAlign w:val="center"/>
            <w:hideMark/>
          </w:tcPr>
          <w:p w14:paraId="6C26875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5.79E-12</w:t>
            </w:r>
          </w:p>
        </w:tc>
        <w:tc>
          <w:tcPr>
            <w:tcW w:w="1256" w:type="dxa"/>
            <w:tcBorders>
              <w:top w:val="nil"/>
              <w:left w:val="nil"/>
              <w:bottom w:val="nil"/>
              <w:right w:val="nil"/>
            </w:tcBorders>
            <w:shd w:val="clear" w:color="auto" w:fill="auto"/>
            <w:noWrap/>
            <w:vAlign w:val="center"/>
            <w:hideMark/>
          </w:tcPr>
          <w:p w14:paraId="1D226B5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7.61E-05</w:t>
            </w:r>
          </w:p>
        </w:tc>
        <w:tc>
          <w:tcPr>
            <w:tcW w:w="1256" w:type="dxa"/>
            <w:tcBorders>
              <w:top w:val="nil"/>
              <w:left w:val="nil"/>
              <w:bottom w:val="nil"/>
              <w:right w:val="nil"/>
            </w:tcBorders>
            <w:shd w:val="clear" w:color="auto" w:fill="auto"/>
            <w:noWrap/>
            <w:vAlign w:val="center"/>
            <w:hideMark/>
          </w:tcPr>
          <w:p w14:paraId="4C7BFF7B"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0.5915</w:t>
            </w:r>
          </w:p>
        </w:tc>
        <w:tc>
          <w:tcPr>
            <w:tcW w:w="1381" w:type="dxa"/>
            <w:tcBorders>
              <w:top w:val="nil"/>
              <w:left w:val="nil"/>
              <w:bottom w:val="nil"/>
              <w:right w:val="nil"/>
            </w:tcBorders>
            <w:shd w:val="clear" w:color="auto" w:fill="auto"/>
            <w:noWrap/>
            <w:vAlign w:val="bottom"/>
            <w:hideMark/>
          </w:tcPr>
          <w:p w14:paraId="4C04F197"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74B51AE0"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62D4E83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1CDDE5C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07C565BB" w14:textId="7F588BA2" w:rsidR="00D06EC2" w:rsidRPr="00D06EC2" w:rsidRDefault="000F7359" w:rsidP="00D06EC2">
            <w:pPr>
              <w:spacing w:after="0" w:line="240" w:lineRule="auto"/>
              <w:rPr>
                <w:rFonts w:ascii="Calibri" w:eastAsia="Times New Roman" w:hAnsi="Calibri" w:cs="Calibri"/>
                <w:lang w:eastAsia="zh-CN"/>
              </w:rPr>
            </w:pPr>
            <w:r>
              <w:rPr>
                <w:rFonts w:ascii="Calibri" w:eastAsia="Times New Roman" w:hAnsi="Calibri" w:cs="Calibri"/>
                <w:lang w:eastAsia="zh-CN"/>
              </w:rPr>
              <w:fldChar w:fldCharType="begin"/>
            </w:r>
            <w:r w:rsidR="009B7C37">
              <w:rPr>
                <w:rFonts w:ascii="Calibri" w:eastAsia="Times New Roman" w:hAnsi="Calibri" w:cs="Calibri"/>
                <w:lang w:eastAsia="zh-CN"/>
              </w:rPr>
              <w:instrText xml:space="preserve"> ADDIN ZOTERO_ITEM CSL_CITATION {"citationID":"IsEecEaP","properties":{"formattedCitation":"\\super 25\\nosupersub{}","plainCitation":"25","noteIndex":0},"citationItems":[{"id":1472,"uris":["http://zotero.org/users/local/JrzyeY6I/items/QBEHL3N3"],"itemData":{"id":1472,"type":"article-journal","abstract":"The risk of posttraumatic stress disorder (PTSD) following trauma is heritable, but robust common variants have yet to be identified. In a multi-ethnic cohort including over 30,000 PTSD cases and 170,000 controls we conduct a genome-wide association study of PTSD. We demonstrate SNP-based heritability estimates of 5-20%, varying by sex. Three genome-wide significant loci are identified, 2 in European and 1 in African-ancestry analyses. Analyses stratified by sex implicate 3 additional loci in men. Along with other novel genes and non-coding RNAs, a Parkinson's disease gene involved in dopamine regulation, PARK2, is associated with PTSD. Finally, we demonstrate that polygenic risk for PTSD is significantly predictive of re-experiencing symptoms in the Million Veteran Program dataset, although specific loci did not replicate. These results demonstrate the role of genetic variation in the biology of risk for PTSD and highlight the necessity of conducting sex-stratified analyses and expanding GWAS beyond European ancestry populations.","container-title":"Nature Communications","DOI":"10.1038/s41467-019-12576-w","ISSN":"2041-1723","issue":"1","journalAbbreviation":"Nat Commun","language":"eng","note":"PMID: 31594949\nPMCID: PMC6783435","page":"4558","source":"PubMed","title":"International meta-analysis of PTSD genome-wide association studies identifies sex- and ancestry-specific genetic risk loci","volume":"10","author":[{"family":"Nievergelt","given":"Caroline M."},{"family":"Maihofer","given":"Adam X."},{"family":"Klengel","given":"Torsten"},{"family":"Atkinson","given":"Elizabeth G."},{"family":"Chen","given":"Chia-Yen"},{"family":"Choi","given":"Karmel W."},{"family":"Coleman","given":"Jonathan R. I."},{"family":"Dalvie","given":"Shareefa"},{"family":"Duncan","given":"Laramie E."},{"family":"Gelernter","given":"Joel"},{"family":"Levey","given":"Daniel F."},{"family":"Logue","given":"Mark W."},{"family":"Polimanti","given":"Renato"},{"family":"Provost","given":"Allison C."},{"family":"Ratanatharathorn","given":"Andrew"},{"family":"Stein","given":"Murray B."},{"family":"Torres","given":"Katy"},{"family":"Aiello","given":"Allison E."},{"family":"Almli","given":"Lynn M."},{"family":"Amstadter","given":"Ananda B."},{"family":"Andersen","given":"Søren B."},{"family":"Andreassen","given":"Ole A."},{"family":"Arbisi","given":"Paul A."},{"family":"Ashley-Koch","given":"Allison E."},{"family":"Austin","given":"S. Bryn"},{"family":"Avdibegovic","given":"Esmina"},{"family":"Babić","given":"Dragan"},{"family":"Bækvad-Hansen","given":"Marie"},{"family":"Baker","given":"Dewleen G."},{"family":"Beckham","given":"Jean C."},{"family":"Bierut","given":"Laura J."},{"family":"Bisson","given":"Jonathan I."},{"family":"Boks","given":"Marco P."},{"family":"Bolger","given":"Elizabeth A."},{"family":"Børglum","given":"Anders D."},{"family":"Bradley","given":"Bekh"},{"family":"Brashear","given":"Megan"},{"family":"Breen","given":"Gerome"},{"family":"Bryant","given":"Richard A."},{"family":"Bustamante","given":"Angela C."},{"family":"Bybjerg-Grauholm","given":"Jonas"},{"family":"Calabrese","given":"Joseph R."},{"family":"Caldas-de-Almeida","given":"José M."},{"family":"Dale","given":"Anders M."},{"family":"Daly","given":"Mark J."},{"family":"Daskalakis","given":"Nikolaos P."},{"family":"Deckert","given":"Jürgen"},{"family":"Delahanty","given":"Douglas L."},{"family":"Dennis","given":"Michelle F."},{"family":"Disner","given":"Seth G."},{"family":"Domschke","given":"Katharina"},{"family":"Dzubur-Kulenovic","given":"Alma"},{"family":"Erbes","given":"Christopher R."},{"family":"Evans","given":"Alexandra"},{"family":"Farrer","given":"Lindsay A."},{"family":"Feeny","given":"Norah C."},{"family":"Flory","given":"Janine D."},{"family":"Forbes","given":"David"},{"family":"Franz","given":"Carol E."},{"family":"Galea","given":"Sandro"},{"family":"Garrett","given":"Melanie E."},{"family":"Gelaye","given":"Bizu"},{"family":"Geuze","given":"Elbert"},{"family":"Gillespie","given":"Charles"},{"family":"Uka","given":"Aferdita Goci"},{"family":"Gordon","given":"Scott D."},{"family":"Guffanti","given":"Guia"},{"family":"Hammamieh","given":"Rasha"},{"family":"Harnal","given":"Supriya"},{"family":"Hauser","given":"Michael A."},{"family":"Heath","given":"Andrew C."},{"family":"Hemmings","given":"Sian M. J."},{"family":"Hougaard","given":"David Michael"},{"family":"Jakovljevic","given":"Miro"},{"family":"Jett","given":"Marti"},{"family":"Johnson","given":"Eric Otto"},{"family":"Jones","given":"Ian"},{"family":"Jovanovic","given":"Tanja"},{"family":"Qin","given":"Xue-Jun"},{"family":"Junglen","given":"Angela G."},{"family":"Karstoft","given":"Karen-Inge"},{"family":"Kaufman","given":"Milissa L."},{"family":"Kessler","given":"Ronald C."},{"family":"Khan","given":"Alaptagin"},{"family":"Kimbrel","given":"Nathan A."},{"family":"King","given":"Anthony P."},{"family":"Koen","given":"Nastassja"},{"family":"Kranzler","given":"Henry R."},{"family":"Kremen","given":"William S."},{"family":"Lawford","given":"Bruce R."},{"family":"Lebois","given":"Lauren A. M."},{"family":"Lewis","given":"Catrin E."},{"family":"Linnstaedt","given":"Sarah D."},{"family":"Lori","given":"Adriana"},{"family":"Lugonja","given":"Bozo"},{"family":"Luykx","given":"Jurjen J."},{"family":"Lyons","given":"Michael J."},{"family":"Maples-Keller","given":"Jessica"},{"family":"Marmar","given":"Charles"},{"family":"Martin","given":"Alicia R."},{"family":"Martin","given":"Nicholas G."},{"family":"Maurer","given":"Douglas"},{"family":"Mavissakalian","given":"Matig R."},{"family":"McFarlane","given":"Alexander"},{"family":"McGlinchey","given":"Regina E."},{"family":"McLaughlin","given":"Katie A."},{"family":"McLean","given":"Samuel A."},{"family":"McLeay","given":"Sarah"},{"family":"Mehta","given":"Divya"},{"family":"Milberg","given":"William P."},{"family":"Miller","given":"Mark W."},{"family":"Morey","given":"Rajendra A."},{"family":"Morris","given":"Charles Phillip"},{"family":"Mors","given":"Ole"},{"family":"Mortensen","given":"Preben B."},{"family":"Neale","given":"Benjamin M."},{"family":"Nelson","given":"Elliot C."},{"family":"Nordentoft","given":"Merete"},{"family":"Norman","given":"Sonya B."},{"family":"O'Donnell","given":"Meaghan"},{"family":"Orcutt","given":"Holly K."},{"family":"Panizzon","given":"Matthew S."},{"family":"Peters","given":"Edward S."},{"family":"Peterson","given":"Alan L."},{"family":"Peverill","given":"Matthew"},{"family":"Pietrzak","given":"Robert H."},{"family":"Polusny","given":"Melissa A."},{"family":"Rice","given":"John P."},{"family":"Ripke","given":"Stephan"},{"family":"Risbrough","given":"Victoria B."},{"family":"Roberts","given":"Andrea L."},{"family":"Rothbaum","given":"Alex O."},{"family":"Rothbaum","given":"Barbara O."},{"family":"Roy-Byrne","given":"Peter"},{"family":"Ruggiero","given":"Ken"},{"family":"Rung","given":"Ariane"},{"family":"Rutten","given":"Bart P. F."},{"family":"Saccone","given":"Nancy L."},{"family":"Sanchez","given":"Sixto E."},{"family":"Schijven","given":"Dick"},{"family":"Seedat","given":"Soraya"},{"family":"Seligowski","given":"Antonia V."},{"family":"Seng","given":"Julia S."},{"family":"Sheerin","given":"Christina M."},{"family":"Silove","given":"Derrick"},{"family":"Smith","given":"Alicia K."},{"family":"Smoller","given":"Jordan W."},{"family":"Sponheim","given":"Scott R."},{"family":"Stein","given":"Dan J."},{"family":"Stevens","given":"Jennifer S."},{"family":"Sumner","given":"Jennifer A."},{"family":"Teicher","given":"Martin H."},{"family":"Thompson","given":"Wesley K."},{"family":"Trapido","given":"Edward"},{"family":"Uddin","given":"Monica"},{"family":"Ursano","given":"Robert J."},{"family":"Heuvel","given":"Leigh Luella","non-dropping-particle":"van den"},{"family":"Van Hooff","given":"Miranda"},{"family":"Vermetten","given":"Eric"},{"family":"Vinkers","given":"Christiaan H."},{"family":"Voisey","given":"Joanne"},{"family":"Wang","given":"Yunpeng"},{"family":"Wang","given":"Zhewu"},{"family":"Werge","given":"Thomas"},{"family":"Williams","given":"Michelle A."},{"family":"Williamson","given":"Douglas E."},{"family":"Winternitz","given":"Sherry"},{"family":"Wolf","given":"Christiane"},{"family":"Wolf","given":"Erika J."},{"family":"Wolff","given":"Jonathan D."},{"family":"Yehuda","given":"Rachel"},{"family":"Young","given":"Ross McD"},{"family":"Young","given":"Keith A."},{"family":"Zhao","given":"Hongyu"},{"family":"Zoellner","given":"Lori A."},{"family":"Liberzon","given":"Israel"},{"family":"Ressler","given":"Kerry J."},{"family":"Haas","given":"Magali"},{"family":"Koenen","given":"Karestan C."}],"issued":{"date-parts":[["2019",10,8]]}}}],"schema":"https://github.com/citation-style-language/schema/raw/master/csl-citation.json"} </w:instrText>
            </w:r>
            <w:r>
              <w:rPr>
                <w:rFonts w:ascii="Calibri" w:eastAsia="Times New Roman" w:hAnsi="Calibri" w:cs="Calibri"/>
                <w:lang w:eastAsia="zh-CN"/>
              </w:rPr>
              <w:fldChar w:fldCharType="separate"/>
            </w:r>
            <w:r w:rsidR="009B7C37" w:rsidRPr="009B7C37">
              <w:rPr>
                <w:rFonts w:ascii="Calibri" w:hAnsi="Calibri" w:cs="Calibri"/>
                <w:szCs w:val="24"/>
                <w:vertAlign w:val="superscript"/>
              </w:rPr>
              <w:t>25</w:t>
            </w:r>
            <w:r>
              <w:rPr>
                <w:rFonts w:ascii="Calibri" w:eastAsia="Times New Roman" w:hAnsi="Calibri" w:cs="Calibri"/>
                <w:lang w:eastAsia="zh-CN"/>
              </w:rPr>
              <w:fldChar w:fldCharType="end"/>
            </w:r>
          </w:p>
        </w:tc>
      </w:tr>
      <w:tr w:rsidR="00D06EC2" w:rsidRPr="00D06EC2" w14:paraId="08F800A6" w14:textId="77777777" w:rsidTr="00B74A41">
        <w:trPr>
          <w:trHeight w:val="300"/>
        </w:trPr>
        <w:tc>
          <w:tcPr>
            <w:tcW w:w="2970" w:type="dxa"/>
            <w:tcBorders>
              <w:top w:val="nil"/>
              <w:left w:val="nil"/>
              <w:bottom w:val="nil"/>
              <w:right w:val="nil"/>
            </w:tcBorders>
            <w:shd w:val="clear" w:color="auto" w:fill="auto"/>
            <w:noWrap/>
            <w:vAlign w:val="center"/>
            <w:hideMark/>
          </w:tcPr>
          <w:p w14:paraId="34725540" w14:textId="582E99F1"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SCZ</w:t>
            </w:r>
            <w:r w:rsidR="00FA6C9A">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vs</w:t>
            </w:r>
            <w:r w:rsidR="00FA6C9A">
              <w:rPr>
                <w:rFonts w:ascii="Calibri" w:eastAsia="Times New Roman" w:hAnsi="Calibri" w:cs="Calibri"/>
                <w:color w:val="000000"/>
                <w:lang w:eastAsia="zh-CN"/>
              </w:rPr>
              <w:t xml:space="preserve"> </w:t>
            </w:r>
            <w:r w:rsidRPr="00D06EC2">
              <w:rPr>
                <w:rFonts w:ascii="Calibri" w:eastAsia="Times New Roman" w:hAnsi="Calibri" w:cs="Calibri"/>
                <w:color w:val="000000"/>
                <w:lang w:eastAsia="zh-CN"/>
              </w:rPr>
              <w:t>B</w:t>
            </w:r>
            <w:r w:rsidR="00FA6C9A">
              <w:rPr>
                <w:rFonts w:ascii="Calibri" w:eastAsia="Times New Roman" w:hAnsi="Calibri" w:cs="Calibri"/>
                <w:color w:val="000000"/>
                <w:lang w:eastAsia="zh-CN"/>
              </w:rPr>
              <w:t>IP</w:t>
            </w:r>
          </w:p>
        </w:tc>
        <w:tc>
          <w:tcPr>
            <w:tcW w:w="1256" w:type="dxa"/>
            <w:tcBorders>
              <w:top w:val="nil"/>
              <w:left w:val="nil"/>
              <w:bottom w:val="nil"/>
              <w:right w:val="nil"/>
            </w:tcBorders>
            <w:shd w:val="clear" w:color="auto" w:fill="auto"/>
            <w:noWrap/>
            <w:vAlign w:val="center"/>
            <w:hideMark/>
          </w:tcPr>
          <w:p w14:paraId="213D3EE9"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w:t>
            </w:r>
          </w:p>
        </w:tc>
        <w:tc>
          <w:tcPr>
            <w:tcW w:w="1256" w:type="dxa"/>
            <w:tcBorders>
              <w:top w:val="nil"/>
              <w:left w:val="nil"/>
              <w:bottom w:val="nil"/>
              <w:right w:val="nil"/>
            </w:tcBorders>
            <w:shd w:val="clear" w:color="auto" w:fill="auto"/>
            <w:noWrap/>
            <w:vAlign w:val="center"/>
            <w:hideMark/>
          </w:tcPr>
          <w:p w14:paraId="45A32F22"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1.16E-291</w:t>
            </w:r>
          </w:p>
        </w:tc>
        <w:tc>
          <w:tcPr>
            <w:tcW w:w="1256" w:type="dxa"/>
            <w:tcBorders>
              <w:top w:val="nil"/>
              <w:left w:val="nil"/>
              <w:bottom w:val="nil"/>
              <w:right w:val="nil"/>
            </w:tcBorders>
            <w:shd w:val="clear" w:color="auto" w:fill="auto"/>
            <w:noWrap/>
            <w:vAlign w:val="center"/>
            <w:hideMark/>
          </w:tcPr>
          <w:p w14:paraId="205417ED"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0.0154</w:t>
            </w:r>
          </w:p>
        </w:tc>
        <w:tc>
          <w:tcPr>
            <w:tcW w:w="1381" w:type="dxa"/>
            <w:tcBorders>
              <w:top w:val="nil"/>
              <w:left w:val="nil"/>
              <w:bottom w:val="nil"/>
              <w:right w:val="nil"/>
            </w:tcBorders>
            <w:shd w:val="clear" w:color="auto" w:fill="auto"/>
            <w:noWrap/>
            <w:vAlign w:val="center"/>
            <w:hideMark/>
          </w:tcPr>
          <w:p w14:paraId="55269A24"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center"/>
            <w:hideMark/>
          </w:tcPr>
          <w:p w14:paraId="44F43603"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67C8F03F"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center"/>
            <w:hideMark/>
          </w:tcPr>
          <w:p w14:paraId="22B594F4" w14:textId="77777777" w:rsidR="00D06EC2" w:rsidRPr="00D06EC2" w:rsidRDefault="00D06EC2" w:rsidP="00B90239">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noWrap/>
            <w:vAlign w:val="bottom"/>
            <w:hideMark/>
          </w:tcPr>
          <w:p w14:paraId="2B2015FB" w14:textId="4C53C1B7" w:rsidR="00D06EC2" w:rsidRPr="00D06EC2" w:rsidRDefault="000F7359" w:rsidP="00D06EC2">
            <w:pPr>
              <w:spacing w:after="0" w:line="240" w:lineRule="auto"/>
              <w:rPr>
                <w:rFonts w:ascii="Calibri" w:eastAsia="Times New Roman" w:hAnsi="Calibri" w:cs="Calibri"/>
                <w:lang w:eastAsia="zh-CN"/>
              </w:rPr>
            </w:pPr>
            <w:r>
              <w:fldChar w:fldCharType="begin"/>
            </w:r>
            <w:r>
              <w:instrText xml:space="preserve"> ADDIN ZOTERO_ITEM CSL_CITATION {"citationID":"pJ1Jz8cL","properties":{"formattedCitation":"\\super 5\\nosupersub{}","plainCitation":"5","noteIndex":0},"citationItems":[{"id":53,"uris":["http://zotero.org/users/local/JrzyeY6I/items/AUJR7F9H"],"itemData":{"id":53,"type":"article-journal","abstract":"Schizophrenia and bipolar disorder are two distinct diagnoses that share symptomology. Understanding the genetic factors contributing to the shared and disorder-specific symptoms will be crucial for improving diagnosis and treatment. In genetic data consisting of 53,555 cases (20,129 bipolar disorder [BD], 33,426 schizophrenia [SCZ]) and 54,065 controls, we identified 114 genome-wide significant loci implicating synaptic and neuronal pathways shared between disorders. Comparing SCZ to BD (23,585 SCZ, 15,270 BD) identified four genomic regions including one with disorder-independent causal variants and potassium ion response genes as contributing to differences in biology between the disorders. Polygenic risk score (PRS) analyses identified several significant correlations within case-only phenotypes including SCZ PRS with psychotic features and age of onset in BD. For the first time, we discover specific loci that distinguish between BD and SCZ and identify polygenic components underlying multiple symptom dimensions. These results point to the utility of genetics to inform symptomology and potential treatment.","container-title":"Cell","DOI":"10.1016/j.cell.2018.05.046","ISSN":"1097-4172","issue":"7","journalAbbreviation":"Cell","language":"eng","note":"number: 7\nPMID: 29906448","page":"1705-1715.e16","source":"PubMed","title":"Genomic Dissection of Bipolar Disorder and Schizophrenia, Including 28 Subphenotypes","volume":"173","author":[{"literal":"Bipolar Disorder and Schizophrenia Working Group of the Psychiatric Genomics Consortium. Electronic address: douglas.ruderfer@vanderbilt.edu"},{"literal":"Bipolar Disorder and Schizophrenia Working Group of the Psychiatric Genomics Consortium"}],"issued":{"date-parts":[["2018",6,14]]}}}],"schema":"https://github.com/citation-style-language/schema/raw/master/csl-citation.json"} </w:instrText>
            </w:r>
            <w:r>
              <w:fldChar w:fldCharType="separate"/>
            </w:r>
            <w:r w:rsidRPr="000F7359">
              <w:rPr>
                <w:rFonts w:ascii="Calibri" w:hAnsi="Calibri" w:cs="Calibri"/>
                <w:szCs w:val="24"/>
                <w:vertAlign w:val="superscript"/>
              </w:rPr>
              <w:t>5</w:t>
            </w:r>
            <w:r>
              <w:fldChar w:fldCharType="end"/>
            </w:r>
          </w:p>
        </w:tc>
      </w:tr>
      <w:tr w:rsidR="00D06EC2" w:rsidRPr="00D06EC2" w14:paraId="537AAD95" w14:textId="77777777" w:rsidTr="00B74A41">
        <w:trPr>
          <w:trHeight w:val="300"/>
        </w:trPr>
        <w:tc>
          <w:tcPr>
            <w:tcW w:w="2970" w:type="dxa"/>
            <w:tcBorders>
              <w:top w:val="nil"/>
              <w:left w:val="nil"/>
              <w:bottom w:val="nil"/>
              <w:right w:val="nil"/>
            </w:tcBorders>
            <w:shd w:val="clear" w:color="auto" w:fill="auto"/>
            <w:noWrap/>
            <w:vAlign w:val="center"/>
            <w:hideMark/>
          </w:tcPr>
          <w:p w14:paraId="2D3D9834" w14:textId="684D9495"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S</w:t>
            </w:r>
            <w:r w:rsidR="00FA6C9A">
              <w:rPr>
                <w:rFonts w:ascii="Calibri" w:eastAsia="Times New Roman" w:hAnsi="Calibri" w:cs="Calibri"/>
                <w:color w:val="000000"/>
                <w:lang w:eastAsia="zh-CN"/>
              </w:rPr>
              <w:t>ubjective well being</w:t>
            </w:r>
          </w:p>
        </w:tc>
        <w:tc>
          <w:tcPr>
            <w:tcW w:w="1256" w:type="dxa"/>
            <w:tcBorders>
              <w:top w:val="nil"/>
              <w:left w:val="nil"/>
              <w:bottom w:val="nil"/>
              <w:right w:val="nil"/>
            </w:tcBorders>
            <w:shd w:val="clear" w:color="auto" w:fill="auto"/>
            <w:noWrap/>
            <w:vAlign w:val="center"/>
            <w:hideMark/>
          </w:tcPr>
          <w:p w14:paraId="2F04C9B3"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4.61E-30</w:t>
            </w:r>
          </w:p>
        </w:tc>
        <w:tc>
          <w:tcPr>
            <w:tcW w:w="1256" w:type="dxa"/>
            <w:tcBorders>
              <w:top w:val="nil"/>
              <w:left w:val="nil"/>
              <w:bottom w:val="nil"/>
              <w:right w:val="nil"/>
            </w:tcBorders>
            <w:shd w:val="clear" w:color="auto" w:fill="auto"/>
            <w:noWrap/>
            <w:vAlign w:val="center"/>
            <w:hideMark/>
          </w:tcPr>
          <w:p w14:paraId="65BAA47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0.0001</w:t>
            </w:r>
          </w:p>
        </w:tc>
        <w:tc>
          <w:tcPr>
            <w:tcW w:w="1256" w:type="dxa"/>
            <w:tcBorders>
              <w:top w:val="nil"/>
              <w:left w:val="nil"/>
              <w:bottom w:val="nil"/>
              <w:right w:val="nil"/>
            </w:tcBorders>
            <w:shd w:val="clear" w:color="auto" w:fill="auto"/>
            <w:noWrap/>
            <w:vAlign w:val="center"/>
            <w:hideMark/>
          </w:tcPr>
          <w:p w14:paraId="4443DA78"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6.41E-12</w:t>
            </w:r>
          </w:p>
        </w:tc>
        <w:tc>
          <w:tcPr>
            <w:tcW w:w="1381" w:type="dxa"/>
            <w:tcBorders>
              <w:top w:val="nil"/>
              <w:left w:val="nil"/>
              <w:bottom w:val="nil"/>
              <w:right w:val="nil"/>
            </w:tcBorders>
            <w:shd w:val="clear" w:color="auto" w:fill="auto"/>
            <w:noWrap/>
            <w:vAlign w:val="bottom"/>
            <w:hideMark/>
          </w:tcPr>
          <w:p w14:paraId="7A210FBF" w14:textId="77777777" w:rsidR="00D06EC2" w:rsidRPr="00D06EC2" w:rsidRDefault="00D06EC2" w:rsidP="00B90239">
            <w:pPr>
              <w:spacing w:after="0" w:line="240" w:lineRule="auto"/>
              <w:jc w:val="right"/>
              <w:rPr>
                <w:rFonts w:ascii="Calibri" w:eastAsia="Times New Roman" w:hAnsi="Calibri" w:cs="Calibri"/>
                <w:b/>
                <w:bCs/>
                <w:color w:val="000000"/>
                <w:lang w:eastAsia="zh-CN"/>
              </w:rPr>
            </w:pPr>
          </w:p>
        </w:tc>
        <w:tc>
          <w:tcPr>
            <w:tcW w:w="1381" w:type="dxa"/>
            <w:tcBorders>
              <w:top w:val="nil"/>
              <w:left w:val="nil"/>
              <w:bottom w:val="nil"/>
              <w:right w:val="nil"/>
            </w:tcBorders>
            <w:shd w:val="clear" w:color="auto" w:fill="auto"/>
            <w:noWrap/>
            <w:vAlign w:val="bottom"/>
            <w:hideMark/>
          </w:tcPr>
          <w:p w14:paraId="616610A4"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23993FF7"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937BF25"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7AACD52A" w14:textId="5279B562" w:rsidR="00D06EC2" w:rsidRPr="00D06EC2" w:rsidRDefault="000F7359"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{"citationID":"tAsUIPIk","properties":{"formattedCitation":"\\super 26\\nosupersub{}","plainCitation":"26","noteIndex":0},"citationItems":[{"id":1475,"uris":["http://zotero.org/users/local/JrzyeY6I/items/ZSCWY4DC"],"itemData":{"id":1475,"type":"article-journal","abstract":"BACKGROUND: Poorer self-rated health (SRH) predicts worse health outcomes, even when adjusted for objective measures of disease at time of rating. Twin studies indicate SRH has a heritability of up to 60% and that its genetic architecture may overlap with that of personality and cognition.\nMETHODS: We carried out a genome-wide association study (GWAS) of SRH on 111 749 members of the UK Biobank sample. Univariate genome-wide complex trait analysis (GCTA)-GREML analyses were used to estimate the proportion of variance explained by all common autosomal single nucleotide polymorphisms (SNPs) for SRH. Linkage disequilibrium (LD) score regression and polygenic risk scoring, two complementary methods, were used to investigate pleiotropy between SRH in the UK Biobank and up to 21 health-related and personality and cognitive traits from published GWAS consortia.\nRESULTS: The GWAS identified 13 independent signals associated with SRH, including several in regions previously associated with diseases or disease-related traits. The strongest signal was on chromosome 2 (rs2360675, P = 1.77 x 10 -10 ) close to KLF7 . A second strong peak was identified on chromosome 6 in the major histocompatibility region (rs76380179, P = 6.15 x 10 -10 ). The proportion of variance in SRH that was explained by all common genetic variants was 13%. Polygenic scores for the following traits and disorders were associated with SRH: cognitive ability, education, neuroticism, body mass index (BMI), longevity, attention-deficit hyperactivity disorder (ADHD), major depressive disorder, schizophrenia, lung function, blood pressure, coronary artery disease, large vessel disease stroke and type 2 diabetes.\nCONCLUSIONS: Individual differences in how people respond to a single item on SRH are partly explained by their genetic propensity to many common psychiatric and physical disorders and psychological traits.","container-title":"International Journal of Epidemiology","DOI":"10.1093/ije/dyw219","ISSN":"1464-3685","issue":"3","journalAbbreviation":"Int J Epidemiol","language":"eng","note":"PMID: 27864402\nPMCID: PMC5837683","page":"994-1009","source":"PubMed","title":"Molecular genetic contributions to self-rated health","volume":"46","author":[{"family":"Harris","given":"Sarah E."},{"family":"Hagenaars","given":"Saskia P."},{"family":"Davies","given":"Gail"},{"family":"David Hill","given":"W."},{"family":"Liewald","given":"David C. M."},{"family":"Ritchie","given":"Stuart J."},{"family":"Marioni","given":"Riccardo E."},{"literal":"METASTROKE Consortium, International Consortium for Blood Pressure                    Genome-Wide Association Studies"},{"literal":"International Consortium for Blood Pressure Genome-Wide Association                    Studies"},{"literal":"CHARGE Consortium Aging and Longevity Group"},{"literal":"CHARGE Consortium Cognitive Group"},{"family":"Sudlow","given":"Cathie L. M."},{"family":"Wardlaw","given":"Joanna M."},{"family":"McIntosh","given":"Andrew M."},{"family":"Gale","given":"Catharine R."},{"family":"Deary","given":"Ian J."}],"issued":{"date-parts":[["2017",6,1]]}}}],"schema":"https://github.com/citation-style-language/schema/raw/master/csl-citation.json"} </w:instrText>
            </w:r>
            <w:r>
              <w:fldChar w:fldCharType="separate"/>
            </w:r>
            <w:r w:rsidR="009B7C37" w:rsidRPr="009B7C37">
              <w:rPr>
                <w:rFonts w:ascii="Calibri" w:hAnsi="Calibri" w:cs="Calibri"/>
                <w:szCs w:val="24"/>
                <w:vertAlign w:val="superscript"/>
              </w:rPr>
              <w:t>26</w:t>
            </w:r>
            <w:r>
              <w:fldChar w:fldCharType="end"/>
            </w:r>
          </w:p>
        </w:tc>
      </w:tr>
      <w:tr w:rsidR="00D06EC2" w:rsidRPr="00D06EC2" w14:paraId="5F71D947" w14:textId="77777777" w:rsidTr="00B74A41">
        <w:trPr>
          <w:trHeight w:val="300"/>
        </w:trPr>
        <w:tc>
          <w:tcPr>
            <w:tcW w:w="2970" w:type="dxa"/>
            <w:tcBorders>
              <w:top w:val="nil"/>
              <w:left w:val="nil"/>
              <w:bottom w:val="nil"/>
              <w:right w:val="nil"/>
            </w:tcBorders>
            <w:shd w:val="clear" w:color="auto" w:fill="auto"/>
            <w:noWrap/>
            <w:vAlign w:val="center"/>
            <w:hideMark/>
          </w:tcPr>
          <w:p w14:paraId="24621AC0" w14:textId="04FB7BDF"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Cigarette</w:t>
            </w:r>
            <w:r w:rsidR="00A13BF9">
              <w:rPr>
                <w:rFonts w:ascii="Calibri" w:eastAsia="Times New Roman" w:hAnsi="Calibri" w:cs="Calibri"/>
                <w:color w:val="000000"/>
                <w:lang w:eastAsia="zh-CN"/>
              </w:rPr>
              <w:t>s</w:t>
            </w:r>
            <w:r>
              <w:rPr>
                <w:rFonts w:ascii="Calibri" w:eastAsia="Times New Roman" w:hAnsi="Calibri" w:cs="Calibri"/>
                <w:color w:val="000000"/>
                <w:lang w:eastAsia="zh-CN"/>
              </w:rPr>
              <w:t xml:space="preserve"> per day</w:t>
            </w:r>
          </w:p>
        </w:tc>
        <w:tc>
          <w:tcPr>
            <w:tcW w:w="1256" w:type="dxa"/>
            <w:tcBorders>
              <w:top w:val="nil"/>
              <w:left w:val="nil"/>
              <w:bottom w:val="nil"/>
              <w:right w:val="nil"/>
            </w:tcBorders>
            <w:shd w:val="clear" w:color="auto" w:fill="auto"/>
            <w:noWrap/>
            <w:vAlign w:val="center"/>
            <w:hideMark/>
          </w:tcPr>
          <w:p w14:paraId="62A9079F"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0.0333</w:t>
            </w:r>
          </w:p>
        </w:tc>
        <w:tc>
          <w:tcPr>
            <w:tcW w:w="1256" w:type="dxa"/>
            <w:tcBorders>
              <w:top w:val="nil"/>
              <w:left w:val="nil"/>
              <w:bottom w:val="nil"/>
              <w:right w:val="nil"/>
            </w:tcBorders>
            <w:shd w:val="clear" w:color="auto" w:fill="auto"/>
            <w:noWrap/>
            <w:vAlign w:val="center"/>
            <w:hideMark/>
          </w:tcPr>
          <w:p w14:paraId="099650BB"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0.0694</w:t>
            </w:r>
          </w:p>
        </w:tc>
        <w:tc>
          <w:tcPr>
            <w:tcW w:w="1256" w:type="dxa"/>
            <w:tcBorders>
              <w:top w:val="nil"/>
              <w:left w:val="nil"/>
              <w:bottom w:val="nil"/>
              <w:right w:val="nil"/>
            </w:tcBorders>
            <w:shd w:val="clear" w:color="auto" w:fill="auto"/>
            <w:noWrap/>
            <w:vAlign w:val="center"/>
            <w:hideMark/>
          </w:tcPr>
          <w:p w14:paraId="66A3D3F9"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0.458</w:t>
            </w:r>
          </w:p>
        </w:tc>
        <w:tc>
          <w:tcPr>
            <w:tcW w:w="1381" w:type="dxa"/>
            <w:tcBorders>
              <w:top w:val="nil"/>
              <w:left w:val="nil"/>
              <w:bottom w:val="nil"/>
              <w:right w:val="nil"/>
            </w:tcBorders>
            <w:shd w:val="clear" w:color="auto" w:fill="auto"/>
            <w:noWrap/>
            <w:vAlign w:val="bottom"/>
            <w:hideMark/>
          </w:tcPr>
          <w:p w14:paraId="3607E095"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673F87E6"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B4D5F3F"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24B9B73"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19976106" w14:textId="238E3B15" w:rsidR="00D06EC2" w:rsidRPr="00D06EC2" w:rsidRDefault="000F7359"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{"citationID":"nouKYIPZ","properties":{"formattedCitation":"\\super 27\\nosupersub{}","plainCitation":"27","noteIndex":0},"citationItems":[{"id":1478,"uris":["http://zotero.org/users/local/JrzyeY6I/items/M2K4UTDU"],"itemData":{"id":1478,"type":"article-journal","abstract":"Consistent but indirect evidence has implicated genetic factors in smoking behavior. We report meta-analyses of several smoking phenotypes within cohorts of the Tobacco and Genetics Consortium (n = 74,053). We also partnered with the European Network of Genetic and Genomic Epidemiology (ENGAGE) and Oxford-GlaxoSmithKline (Ox-GSK) consortia to follow up the 15 most significant regions (n &gt; 140,000). We identified three loci associated with number of cigarettes smoked per day. The strongest association was a synonymous 15q25 SNP in the nicotinic receptor gene CHRNA3 (rs1051730[A], beta = 1.03, standard error (s.e.) = 0.053, P = 2.8 x 10(-73)). Two 10q25 SNPs (rs1329650[G], beta = 0.367, s.e. = 0.059, P = 5.7 x 10(-10); and rs1028936[A], beta = 0.446, s.e. = 0.074, P = 1.3 x 10(-9)) and one 9q13 SNP in EGLN2 (rs3733829[G], beta = 0.333, s.e. = 0.058, P = 1.0 x 10(-8)) also exceeded genome-wide significance for cigarettes per day. For smoking initiation, eight SNPs exceeded genome-wide significance, with the strongest association at a nonsynonymous SNP in BDNF on chromosome 11 (rs6265[C], odds ratio (OR) = 1.06, 95% confidence interval (Cl) 1.04-1.08, P = 1.8 x 10(-8)). One SNP located near DBH on chromosome 9 (rs3025343[G], OR = 1.12, 95% Cl 1.08-1.18, P = 3.6 x 10(-8)) was significantly associated with smoking cessation.","container-title":"Nature Genetics","DOI":"10.1038/ng.571","ISSN":"1546-1718","issue":"5","journalAbbreviation":"Nat Genet","language":"eng","note":"PMID: 20418890\nPMCID: PMC2914600","page":"441-447","source":"PubMed","title":"Genome-wide meta-analyses identify multiple loci associated with smoking behavior","volume":"42","author":[{"literal":"Tobacco and Genetics Consortium"}],"issued":{"date-parts":[["2010",5]]}}}],"schema":"https://github.com/citation-style-language/schema/raw/master/csl-citation.json"} </w:instrText>
            </w:r>
            <w:r>
              <w:fldChar w:fldCharType="separate"/>
            </w:r>
            <w:r w:rsidR="009B7C37" w:rsidRPr="009B7C37">
              <w:rPr>
                <w:rFonts w:ascii="Calibri" w:hAnsi="Calibri" w:cs="Calibri"/>
                <w:szCs w:val="24"/>
                <w:vertAlign w:val="superscript"/>
              </w:rPr>
              <w:t>27</w:t>
            </w:r>
            <w:r>
              <w:fldChar w:fldCharType="end"/>
            </w:r>
          </w:p>
        </w:tc>
      </w:tr>
      <w:tr w:rsidR="00D06EC2" w:rsidRPr="00D06EC2" w14:paraId="78DAF8F4" w14:textId="77777777" w:rsidTr="00B74A41">
        <w:trPr>
          <w:trHeight w:val="300"/>
        </w:trPr>
        <w:tc>
          <w:tcPr>
            <w:tcW w:w="2970" w:type="dxa"/>
            <w:tcBorders>
              <w:top w:val="nil"/>
              <w:left w:val="nil"/>
              <w:bottom w:val="nil"/>
              <w:right w:val="nil"/>
            </w:tcBorders>
            <w:shd w:val="clear" w:color="auto" w:fill="auto"/>
            <w:noWrap/>
            <w:vAlign w:val="center"/>
            <w:hideMark/>
          </w:tcPr>
          <w:p w14:paraId="2DA9582E" w14:textId="38CB1F37"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E</w:t>
            </w:r>
            <w:r w:rsidR="00D06EC2" w:rsidRPr="00D06EC2">
              <w:rPr>
                <w:rFonts w:ascii="Calibri" w:eastAsia="Times New Roman" w:hAnsi="Calibri" w:cs="Calibri"/>
                <w:color w:val="000000"/>
                <w:lang w:eastAsia="zh-CN"/>
              </w:rPr>
              <w:t>arly</w:t>
            </w:r>
            <w:r>
              <w:rPr>
                <w:rFonts w:ascii="Calibri" w:eastAsia="Times New Roman" w:hAnsi="Calibri" w:cs="Calibri"/>
                <w:color w:val="000000"/>
                <w:lang w:eastAsia="zh-CN"/>
              </w:rPr>
              <w:t xml:space="preserve"> person vs </w:t>
            </w:r>
            <w:r w:rsidR="00D06EC2" w:rsidRPr="00D06EC2">
              <w:rPr>
                <w:rFonts w:ascii="Calibri" w:eastAsia="Times New Roman" w:hAnsi="Calibri" w:cs="Calibri"/>
                <w:color w:val="000000"/>
                <w:lang w:eastAsia="zh-CN"/>
              </w:rPr>
              <w:t>later</w:t>
            </w:r>
            <w:r>
              <w:rPr>
                <w:rFonts w:ascii="Calibri" w:eastAsia="Times New Roman" w:hAnsi="Calibri" w:cs="Calibri"/>
                <w:color w:val="000000"/>
                <w:lang w:eastAsia="zh-CN"/>
              </w:rPr>
              <w:t xml:space="preserve"> person</w:t>
            </w:r>
          </w:p>
        </w:tc>
        <w:tc>
          <w:tcPr>
            <w:tcW w:w="1256" w:type="dxa"/>
            <w:tcBorders>
              <w:top w:val="nil"/>
              <w:left w:val="nil"/>
              <w:bottom w:val="nil"/>
              <w:right w:val="nil"/>
            </w:tcBorders>
            <w:shd w:val="clear" w:color="auto" w:fill="auto"/>
            <w:noWrap/>
            <w:vAlign w:val="center"/>
            <w:hideMark/>
          </w:tcPr>
          <w:p w14:paraId="54A898F4"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0.0038</w:t>
            </w:r>
          </w:p>
        </w:tc>
        <w:tc>
          <w:tcPr>
            <w:tcW w:w="1256" w:type="dxa"/>
            <w:tcBorders>
              <w:top w:val="nil"/>
              <w:left w:val="nil"/>
              <w:bottom w:val="nil"/>
              <w:right w:val="nil"/>
            </w:tcBorders>
            <w:shd w:val="clear" w:color="auto" w:fill="auto"/>
            <w:noWrap/>
            <w:vAlign w:val="center"/>
            <w:hideMark/>
          </w:tcPr>
          <w:p w14:paraId="6300A3FA"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0.0253</w:t>
            </w:r>
          </w:p>
        </w:tc>
        <w:tc>
          <w:tcPr>
            <w:tcW w:w="1256" w:type="dxa"/>
            <w:tcBorders>
              <w:top w:val="nil"/>
              <w:left w:val="nil"/>
              <w:bottom w:val="nil"/>
              <w:right w:val="nil"/>
            </w:tcBorders>
            <w:shd w:val="clear" w:color="auto" w:fill="auto"/>
            <w:noWrap/>
            <w:vAlign w:val="center"/>
            <w:hideMark/>
          </w:tcPr>
          <w:p w14:paraId="2A9F97C5"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0.2213</w:t>
            </w:r>
          </w:p>
        </w:tc>
        <w:tc>
          <w:tcPr>
            <w:tcW w:w="1381" w:type="dxa"/>
            <w:tcBorders>
              <w:top w:val="nil"/>
              <w:left w:val="nil"/>
              <w:bottom w:val="nil"/>
              <w:right w:val="nil"/>
            </w:tcBorders>
            <w:shd w:val="clear" w:color="auto" w:fill="auto"/>
            <w:noWrap/>
            <w:vAlign w:val="bottom"/>
            <w:hideMark/>
          </w:tcPr>
          <w:p w14:paraId="478E3443"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3577C40F"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EA9457F"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EDBEF01"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666CD958" w14:textId="4C3C3DB9" w:rsidR="00D06EC2" w:rsidRPr="00D06EC2" w:rsidRDefault="001C1D41"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{"citationID":"bwCItYrk","properties":{"formattedCitation":"\\super 28\\nosupersub{}","plainCitation":"28","noteIndex":0},"citationItems":[{"id":1484,"uris":["http://zotero.org/users/local/JrzyeY6I/items/8T8K9UQW"],"itemData":{"id":1484,"type":"article-journal","abstract":"Circadian rhythms are a nearly universal feature of living organisms and affect almost every biological process. Our innate preference for mornings or evenings is determined by the phase of our circadian rhythms. We conduct a genome-wide association analysis of self-reported morningness, followed by analyses of biological pathways and related phenotypes. We identify 15 significantly associated loci, including seven near established circadian genes (rs12736689 near RGS16, P=7.0 × 10(-18); rs9479402 near VIP, P=3.9 × 10(-11); rs55694368 near PER2, P=2.6 × 10(-9); rs35833281 near HCRTR2, P=3.7 × 10(-9); rs11545787 near RASD1, P=1.4 × 10(-8); rs11121022 near PER3, P=2.0 × 10(-8); rs9565309 near FBXL3, P=3.5 × 10(-8). Circadian and phototransduction pathways are enriched in our results. Morningness is associated with insomnia and other sleep phenotypes; and is associated with body mass index and depression but we did not find evidence for a causal relationship in our Mendelian randomization analysis. Our findings reinforce current understanding of circadian biology and will guide future studies.","container-title":"Nature Communications","DOI":"10.1038/ncomms10448","ISSN":"2041-1723","journalAbbreviation":"Nat Commun","language":"eng","note":"PMID: 26835600\nPMCID: PMC4740817","page":"10448","source":"PubMed","title":"GWAS of 89,283 individuals identifies genetic variants associated with self-reporting of being a morning person","volume":"7","author":[{"family":"Hu","given":"Youna"},{"family":"Shmygelska","given":"Alena"},{"family":"Tran","given":"David"},{"family":"Eriksson","given":"Nicholas"},{"family":"Tung","given":"Joyce Y."},{"family":"Hinds","given":"David A."}],"issued":{"date-parts":[["2016",2,2]]}}}],"schema":"https://github.com/citation-style-language/schema/raw/master/csl-citation.json"} </w:instrText>
            </w:r>
            <w:r>
              <w:fldChar w:fldCharType="separate"/>
            </w:r>
            <w:r w:rsidR="009B7C37" w:rsidRPr="009B7C37">
              <w:rPr>
                <w:rFonts w:ascii="Calibri" w:hAnsi="Calibri" w:cs="Calibri"/>
                <w:szCs w:val="24"/>
                <w:vertAlign w:val="superscript"/>
              </w:rPr>
              <w:t>28</w:t>
            </w:r>
            <w:r>
              <w:fldChar w:fldCharType="end"/>
            </w:r>
          </w:p>
        </w:tc>
      </w:tr>
      <w:tr w:rsidR="00D06EC2" w:rsidRPr="00D06EC2" w14:paraId="0097A232" w14:textId="77777777" w:rsidTr="00B74A41">
        <w:trPr>
          <w:trHeight w:val="300"/>
        </w:trPr>
        <w:tc>
          <w:tcPr>
            <w:tcW w:w="2970" w:type="dxa"/>
            <w:tcBorders>
              <w:top w:val="nil"/>
              <w:left w:val="nil"/>
              <w:bottom w:val="nil"/>
              <w:right w:val="nil"/>
            </w:tcBorders>
            <w:shd w:val="clear" w:color="auto" w:fill="auto"/>
            <w:noWrap/>
            <w:vAlign w:val="center"/>
            <w:hideMark/>
          </w:tcPr>
          <w:p w14:paraId="038DAFBE" w14:textId="4E015AFB"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Ever smoker</w:t>
            </w:r>
          </w:p>
        </w:tc>
        <w:tc>
          <w:tcPr>
            <w:tcW w:w="1256" w:type="dxa"/>
            <w:tcBorders>
              <w:top w:val="nil"/>
              <w:left w:val="nil"/>
              <w:bottom w:val="nil"/>
              <w:right w:val="nil"/>
            </w:tcBorders>
            <w:shd w:val="clear" w:color="auto" w:fill="auto"/>
            <w:noWrap/>
            <w:vAlign w:val="center"/>
            <w:hideMark/>
          </w:tcPr>
          <w:p w14:paraId="6D9BAC5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0.018</w:t>
            </w:r>
          </w:p>
        </w:tc>
        <w:tc>
          <w:tcPr>
            <w:tcW w:w="1256" w:type="dxa"/>
            <w:tcBorders>
              <w:top w:val="nil"/>
              <w:left w:val="nil"/>
              <w:bottom w:val="nil"/>
              <w:right w:val="nil"/>
            </w:tcBorders>
            <w:shd w:val="clear" w:color="auto" w:fill="auto"/>
            <w:noWrap/>
            <w:vAlign w:val="center"/>
            <w:hideMark/>
          </w:tcPr>
          <w:p w14:paraId="082E8448"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0.4629</w:t>
            </w:r>
          </w:p>
        </w:tc>
        <w:tc>
          <w:tcPr>
            <w:tcW w:w="1256" w:type="dxa"/>
            <w:tcBorders>
              <w:top w:val="nil"/>
              <w:left w:val="nil"/>
              <w:bottom w:val="nil"/>
              <w:right w:val="nil"/>
            </w:tcBorders>
            <w:shd w:val="clear" w:color="auto" w:fill="auto"/>
            <w:noWrap/>
            <w:vAlign w:val="center"/>
            <w:hideMark/>
          </w:tcPr>
          <w:p w14:paraId="7B958483"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0.2935</w:t>
            </w:r>
          </w:p>
        </w:tc>
        <w:tc>
          <w:tcPr>
            <w:tcW w:w="1381" w:type="dxa"/>
            <w:tcBorders>
              <w:top w:val="nil"/>
              <w:left w:val="nil"/>
              <w:bottom w:val="nil"/>
              <w:right w:val="nil"/>
            </w:tcBorders>
            <w:shd w:val="clear" w:color="auto" w:fill="auto"/>
            <w:noWrap/>
            <w:vAlign w:val="bottom"/>
            <w:hideMark/>
          </w:tcPr>
          <w:p w14:paraId="320984EF"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323D9BA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089B69B"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3E2F16B9"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2F879CD0" w14:textId="7F65116C" w:rsidR="00D06EC2" w:rsidRPr="00D06EC2" w:rsidRDefault="000F7359"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{"citationID":"budsbjvy","properties":{"formattedCitation":"\\super 27\\nosupersub{}","plainCitation":"27","noteIndex":0},"citationItems":[{"id":1478,"uris":["http://zotero.org/users/local/JrzyeY6I/items/M2K4UTDU"],"itemData":{"id":1478,"type":"article-journal","abstract":"Consistent but indirect evidence has implicated genetic factors in smoking behavior. We report meta-analyses of several smoking phenotypes within cohorts of the Tobacco and Genetics Consortium (n = 74,053). We also partnered with the European Network of Genetic and Genomic Epidemiology (ENGAGE) and Oxford-GlaxoSmithKline (Ox-GSK) consortia to follow up the 15 most significant regions (n &gt; 140,000). We identified three loci associated with number of cigarettes smoked per day. The strongest association was a synonymous 15q25 SNP in the nicotinic receptor gene CHRNA3 (rs1051730[A], beta = 1.03, standard error (s.e.) = 0.053, P = 2.8 x 10(-73)). Two 10q25 SNPs (rs1329650[G], beta = 0.367, s.e. = 0.059, P = 5.7 x 10(-10); and rs1028936[A], beta = 0.446, s.e. = 0.074, P = 1.3 x 10(-9)) and one 9q13 SNP in EGLN2 (rs3733829[G], beta = 0.333, s.e. = 0.058, P = 1.0 x 10(-8)) also exceeded genome-wide significance for cigarettes per day. For smoking initiation, eight SNPs exceeded genome-wide significance, with the strongest association at a nonsynonymous SNP in BDNF on chromosome 11 (rs6265[C], odds ratio (OR) = 1.06, 95% confidence interval (Cl) 1.04-1.08, P = 1.8 x 10(-8)). One SNP located near DBH on chromosome 9 (rs3025343[G], OR = 1.12, 95% Cl 1.08-1.18, P = 3.6 x 10(-8)) was significantly associated with smoking cessation.","container-title":"Nature Genetics","DOI":"10.1038/ng.571","ISSN":"1546-1718","issue":"5","journalAbbreviation":"Nat Genet","language":"eng","note":"PMID: 20418890\nPMCID: PMC2914600","page":"441-447","source":"PubMed","title":"Genome-wide meta-analyses identify multiple loci associated with smoking behavior","volume":"42","author":[{"literal":"Tobacco and Genetics Consortium"}],"issued":{"date-parts":[["2010",5]]}}}],"schema":"https://github.com/citation-style-language/schema/raw/master/csl-citation.json"} </w:instrText>
            </w:r>
            <w:r>
              <w:fldChar w:fldCharType="separate"/>
            </w:r>
            <w:r w:rsidR="009B7C37" w:rsidRPr="009B7C37">
              <w:rPr>
                <w:rFonts w:ascii="Calibri" w:hAnsi="Calibri" w:cs="Calibri"/>
                <w:szCs w:val="24"/>
                <w:vertAlign w:val="superscript"/>
              </w:rPr>
              <w:t>27</w:t>
            </w:r>
            <w:r>
              <w:fldChar w:fldCharType="end"/>
            </w:r>
          </w:p>
        </w:tc>
      </w:tr>
      <w:tr w:rsidR="00D06EC2" w:rsidRPr="00D06EC2" w14:paraId="550E9812" w14:textId="77777777" w:rsidTr="00B74A41">
        <w:trPr>
          <w:trHeight w:val="300"/>
        </w:trPr>
        <w:tc>
          <w:tcPr>
            <w:tcW w:w="2970" w:type="dxa"/>
            <w:tcBorders>
              <w:top w:val="nil"/>
              <w:left w:val="nil"/>
              <w:bottom w:val="nil"/>
              <w:right w:val="nil"/>
            </w:tcBorders>
            <w:shd w:val="clear" w:color="auto" w:fill="auto"/>
            <w:noWrap/>
            <w:vAlign w:val="center"/>
            <w:hideMark/>
          </w:tcPr>
          <w:p w14:paraId="54360858" w14:textId="3BC3A2A9" w:rsidR="00D06EC2" w:rsidRPr="00D06EC2" w:rsidRDefault="00FA6C9A" w:rsidP="00D06EC2">
            <w:pPr>
              <w:spacing w:after="0" w:line="240" w:lineRule="auto"/>
              <w:rPr>
                <w:rFonts w:ascii="Calibri" w:eastAsia="Times New Roman" w:hAnsi="Calibri" w:cs="Calibri"/>
                <w:color w:val="000000"/>
                <w:lang w:eastAsia="zh-CN"/>
              </w:rPr>
            </w:pPr>
            <w:r>
              <w:rPr>
                <w:rFonts w:ascii="Calibri" w:eastAsia="Times New Roman" w:hAnsi="Calibri" w:cs="Calibri"/>
                <w:color w:val="000000"/>
                <w:lang w:eastAsia="zh-CN"/>
              </w:rPr>
              <w:t>Age of smoking initiation</w:t>
            </w:r>
          </w:p>
        </w:tc>
        <w:tc>
          <w:tcPr>
            <w:tcW w:w="1256" w:type="dxa"/>
            <w:tcBorders>
              <w:top w:val="nil"/>
              <w:left w:val="nil"/>
              <w:bottom w:val="nil"/>
              <w:right w:val="nil"/>
            </w:tcBorders>
            <w:shd w:val="clear" w:color="auto" w:fill="auto"/>
            <w:noWrap/>
            <w:vAlign w:val="center"/>
            <w:hideMark/>
          </w:tcPr>
          <w:p w14:paraId="37EAE9F1"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0.001</w:t>
            </w:r>
          </w:p>
        </w:tc>
        <w:tc>
          <w:tcPr>
            <w:tcW w:w="1256" w:type="dxa"/>
            <w:tcBorders>
              <w:top w:val="nil"/>
              <w:left w:val="nil"/>
              <w:bottom w:val="nil"/>
              <w:right w:val="nil"/>
            </w:tcBorders>
            <w:shd w:val="clear" w:color="auto" w:fill="auto"/>
            <w:noWrap/>
            <w:vAlign w:val="center"/>
            <w:hideMark/>
          </w:tcPr>
          <w:p w14:paraId="4A1D9CEA"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0.8858</w:t>
            </w:r>
          </w:p>
        </w:tc>
        <w:tc>
          <w:tcPr>
            <w:tcW w:w="1256" w:type="dxa"/>
            <w:tcBorders>
              <w:top w:val="nil"/>
              <w:left w:val="nil"/>
              <w:bottom w:val="nil"/>
              <w:right w:val="nil"/>
            </w:tcBorders>
            <w:shd w:val="clear" w:color="auto" w:fill="auto"/>
            <w:noWrap/>
            <w:vAlign w:val="center"/>
            <w:hideMark/>
          </w:tcPr>
          <w:p w14:paraId="6D199918"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0.9383</w:t>
            </w:r>
          </w:p>
        </w:tc>
        <w:tc>
          <w:tcPr>
            <w:tcW w:w="1381" w:type="dxa"/>
            <w:tcBorders>
              <w:top w:val="nil"/>
              <w:left w:val="nil"/>
              <w:bottom w:val="nil"/>
              <w:right w:val="nil"/>
            </w:tcBorders>
            <w:shd w:val="clear" w:color="auto" w:fill="auto"/>
            <w:noWrap/>
            <w:vAlign w:val="bottom"/>
            <w:hideMark/>
          </w:tcPr>
          <w:p w14:paraId="0A1310A1"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18719AF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59531BEC"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646301ED"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454DCF18" w14:textId="2439CB56" w:rsidR="00D06EC2" w:rsidRPr="00D06EC2" w:rsidRDefault="001C1D41"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{"citationID":"kUDXanAZ","properties":{"formattedCitation":"\\super 27\\nosupersub{}","plainCitation":"27","noteIndex":0},"citationItems":[{"id":1478,"uris":["http://zotero.org/users/local/JrzyeY6I/items/M2K4UTDU"],"itemData":{"id":1478,"type":"article-journal","abstract":"Consistent but indirect evidence has implicated genetic factors in smoking behavior. We report meta-analyses of several smoking phenotypes within cohorts of the Tobacco and Genetics Consortium (n = 74,053). We also partnered with the European Network of Genetic and Genomic Epidemiology (ENGAGE) and Oxford-GlaxoSmithKline (Ox-GSK) consortia to follow up the 15 most significant regions (n &gt; 140,000). We identified three loci associated with number of cigarettes smoked per day. The strongest association was a synonymous 15q25 SNP in the nicotinic receptor gene CHRNA3 (rs1051730[A], beta = 1.03, standard error (s.e.) = 0.053, P = 2.8 x 10(-73)). Two 10q25 SNPs (rs1329650[G], beta = 0.367, s.e. = 0.059, P = 5.7 x 10(-10); and rs1028936[A], beta = 0.446, s.e. = 0.074, P = 1.3 x 10(-9)) and one 9q13 SNP in EGLN2 (rs3733829[G], beta = 0.333, s.e. = 0.058, P = 1.0 x 10(-8)) also exceeded genome-wide significance for cigarettes per day. For smoking initiation, eight SNPs exceeded genome-wide significance, with the strongest association at a nonsynonymous SNP in BDNF on chromosome 11 (rs6265[C], odds ratio (OR) = 1.06, 95% confidence interval (Cl) 1.04-1.08, P = 1.8 x 10(-8)). One SNP located near DBH on chromosome 9 (rs3025343[G], OR = 1.12, 95% Cl 1.08-1.18, P = 3.6 x 10(-8)) was significantly associated with smoking cessation.","container-title":"Nature Genetics","DOI":"10.1038/ng.571","ISSN":"1546-1718","issue":"5","journalAbbreviation":"Nat Genet","language":"eng","note":"PMID: 20418890\nPMCID: PMC2914600","page":"441-447","source":"PubMed","title":"Genome-wide meta-analyses identify multiple loci associated with smoking behavior","volume":"42","author":[{"literal":"Tobacco and Genetics Consortium"}],"issued":{"date-parts":[["2010",5]]}}}],"schema":"https://github.com/citation-style-language/schema/raw/master/csl-citation.json"} </w:instrText>
            </w:r>
            <w:r>
              <w:fldChar w:fldCharType="separate"/>
            </w:r>
            <w:r w:rsidR="009B7C37" w:rsidRPr="009B7C37">
              <w:rPr>
                <w:rFonts w:ascii="Calibri" w:hAnsi="Calibri" w:cs="Calibri"/>
                <w:szCs w:val="24"/>
                <w:vertAlign w:val="superscript"/>
              </w:rPr>
              <w:t>27</w:t>
            </w:r>
            <w:r>
              <w:fldChar w:fldCharType="end"/>
            </w:r>
          </w:p>
        </w:tc>
      </w:tr>
      <w:tr w:rsidR="00D06EC2" w:rsidRPr="00D06EC2" w14:paraId="1C995A63" w14:textId="77777777" w:rsidTr="00B74A41">
        <w:trPr>
          <w:trHeight w:val="300"/>
        </w:trPr>
        <w:tc>
          <w:tcPr>
            <w:tcW w:w="2970" w:type="dxa"/>
            <w:tcBorders>
              <w:top w:val="nil"/>
              <w:left w:val="nil"/>
              <w:bottom w:val="nil"/>
              <w:right w:val="nil"/>
            </w:tcBorders>
            <w:shd w:val="clear" w:color="auto" w:fill="auto"/>
            <w:noWrap/>
            <w:vAlign w:val="center"/>
            <w:hideMark/>
          </w:tcPr>
          <w:p w14:paraId="2BECC7E7" w14:textId="7785890D" w:rsidR="00D06EC2" w:rsidRPr="00D06EC2" w:rsidRDefault="00D06EC2" w:rsidP="00D06EC2">
            <w:pPr>
              <w:spacing w:after="0" w:line="240" w:lineRule="auto"/>
              <w:rPr>
                <w:rFonts w:ascii="Calibri" w:eastAsia="Times New Roman" w:hAnsi="Calibri" w:cs="Calibri"/>
                <w:color w:val="000000"/>
                <w:lang w:eastAsia="zh-CN"/>
              </w:rPr>
            </w:pPr>
            <w:r w:rsidRPr="00D06EC2">
              <w:rPr>
                <w:rFonts w:ascii="Calibri" w:eastAsia="Times New Roman" w:hAnsi="Calibri" w:cs="Calibri"/>
                <w:color w:val="000000"/>
                <w:lang w:eastAsia="zh-CN"/>
              </w:rPr>
              <w:t>T</w:t>
            </w:r>
            <w:r w:rsidR="00B97451">
              <w:rPr>
                <w:rFonts w:ascii="Calibri" w:eastAsia="Times New Roman" w:hAnsi="Calibri" w:cs="Calibri"/>
                <w:color w:val="000000"/>
                <w:lang w:eastAsia="zh-CN"/>
              </w:rPr>
              <w:t xml:space="preserve">ourette’s syndrome </w:t>
            </w:r>
            <w:r w:rsidRPr="00D06EC2">
              <w:rPr>
                <w:rFonts w:ascii="Calibri" w:eastAsia="Times New Roman" w:hAnsi="Calibri" w:cs="Calibri"/>
                <w:color w:val="000000"/>
                <w:lang w:eastAsia="zh-CN"/>
              </w:rPr>
              <w:t>2018</w:t>
            </w:r>
          </w:p>
        </w:tc>
        <w:tc>
          <w:tcPr>
            <w:tcW w:w="1256" w:type="dxa"/>
            <w:tcBorders>
              <w:top w:val="nil"/>
              <w:left w:val="nil"/>
              <w:bottom w:val="nil"/>
              <w:right w:val="nil"/>
            </w:tcBorders>
            <w:shd w:val="clear" w:color="auto" w:fill="auto"/>
            <w:noWrap/>
            <w:vAlign w:val="center"/>
            <w:hideMark/>
          </w:tcPr>
          <w:p w14:paraId="35BDA8D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0.0049</w:t>
            </w:r>
          </w:p>
        </w:tc>
        <w:tc>
          <w:tcPr>
            <w:tcW w:w="1256" w:type="dxa"/>
            <w:tcBorders>
              <w:top w:val="nil"/>
              <w:left w:val="nil"/>
              <w:bottom w:val="nil"/>
              <w:right w:val="nil"/>
            </w:tcBorders>
            <w:shd w:val="clear" w:color="auto" w:fill="auto"/>
            <w:noWrap/>
            <w:vAlign w:val="center"/>
            <w:hideMark/>
          </w:tcPr>
          <w:p w14:paraId="4802CAE5" w14:textId="77777777" w:rsidR="00D06EC2" w:rsidRPr="00D06EC2" w:rsidRDefault="00D06EC2" w:rsidP="00D06EC2">
            <w:pPr>
              <w:spacing w:after="0" w:line="240" w:lineRule="auto"/>
              <w:jc w:val="right"/>
              <w:rPr>
                <w:rFonts w:ascii="Calibri" w:eastAsia="Times New Roman" w:hAnsi="Calibri" w:cs="Calibri"/>
                <w:b/>
                <w:bCs/>
                <w:color w:val="000000"/>
                <w:lang w:eastAsia="zh-CN"/>
              </w:rPr>
            </w:pPr>
            <w:r w:rsidRPr="00D06EC2">
              <w:rPr>
                <w:rFonts w:ascii="Calibri" w:eastAsia="Times New Roman" w:hAnsi="Calibri" w:cs="Calibri"/>
                <w:b/>
                <w:bCs/>
                <w:color w:val="000000"/>
                <w:lang w:eastAsia="zh-CN"/>
              </w:rPr>
              <w:t>0.0114</w:t>
            </w:r>
          </w:p>
        </w:tc>
        <w:tc>
          <w:tcPr>
            <w:tcW w:w="1256" w:type="dxa"/>
            <w:tcBorders>
              <w:top w:val="nil"/>
              <w:left w:val="nil"/>
              <w:bottom w:val="nil"/>
              <w:right w:val="nil"/>
            </w:tcBorders>
            <w:shd w:val="clear" w:color="auto" w:fill="auto"/>
            <w:noWrap/>
            <w:vAlign w:val="center"/>
            <w:hideMark/>
          </w:tcPr>
          <w:p w14:paraId="2E2E9307" w14:textId="77777777" w:rsidR="00D06EC2" w:rsidRPr="00D06EC2" w:rsidRDefault="00D06EC2" w:rsidP="00D06EC2">
            <w:pPr>
              <w:spacing w:after="0" w:line="240" w:lineRule="auto"/>
              <w:jc w:val="right"/>
              <w:rPr>
                <w:rFonts w:ascii="Calibri" w:eastAsia="Times New Roman" w:hAnsi="Calibri" w:cs="Calibri"/>
                <w:color w:val="000000"/>
                <w:lang w:eastAsia="zh-CN"/>
              </w:rPr>
            </w:pPr>
            <w:r w:rsidRPr="00D06EC2">
              <w:rPr>
                <w:rFonts w:ascii="Calibri" w:eastAsia="Times New Roman" w:hAnsi="Calibri" w:cs="Calibri"/>
                <w:color w:val="000000"/>
                <w:lang w:eastAsia="zh-CN"/>
              </w:rPr>
              <w:t>0.0968</w:t>
            </w:r>
          </w:p>
        </w:tc>
        <w:tc>
          <w:tcPr>
            <w:tcW w:w="1381" w:type="dxa"/>
            <w:tcBorders>
              <w:top w:val="nil"/>
              <w:left w:val="nil"/>
              <w:bottom w:val="nil"/>
              <w:right w:val="nil"/>
            </w:tcBorders>
            <w:shd w:val="clear" w:color="auto" w:fill="auto"/>
            <w:noWrap/>
            <w:vAlign w:val="bottom"/>
            <w:hideMark/>
          </w:tcPr>
          <w:p w14:paraId="4BCB333B" w14:textId="77777777" w:rsidR="00D06EC2" w:rsidRPr="00D06EC2" w:rsidRDefault="00D06EC2" w:rsidP="00B90239">
            <w:pPr>
              <w:spacing w:after="0" w:line="240" w:lineRule="auto"/>
              <w:jc w:val="right"/>
              <w:rPr>
                <w:rFonts w:ascii="Calibri" w:eastAsia="Times New Roman" w:hAnsi="Calibri" w:cs="Calibri"/>
                <w:color w:val="000000"/>
                <w:lang w:eastAsia="zh-CN"/>
              </w:rPr>
            </w:pPr>
          </w:p>
        </w:tc>
        <w:tc>
          <w:tcPr>
            <w:tcW w:w="1381" w:type="dxa"/>
            <w:tcBorders>
              <w:top w:val="nil"/>
              <w:left w:val="nil"/>
              <w:bottom w:val="nil"/>
              <w:right w:val="nil"/>
            </w:tcBorders>
            <w:shd w:val="clear" w:color="auto" w:fill="auto"/>
            <w:noWrap/>
            <w:vAlign w:val="bottom"/>
            <w:hideMark/>
          </w:tcPr>
          <w:p w14:paraId="4D794768"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40B54CFA"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381" w:type="dxa"/>
            <w:tcBorders>
              <w:top w:val="nil"/>
              <w:left w:val="nil"/>
              <w:bottom w:val="nil"/>
              <w:right w:val="nil"/>
            </w:tcBorders>
            <w:shd w:val="clear" w:color="auto" w:fill="auto"/>
            <w:noWrap/>
            <w:vAlign w:val="bottom"/>
            <w:hideMark/>
          </w:tcPr>
          <w:p w14:paraId="0656F7C1" w14:textId="77777777" w:rsidR="00D06EC2" w:rsidRPr="00D06EC2" w:rsidRDefault="00D06EC2" w:rsidP="00B90239">
            <w:pPr>
              <w:spacing w:after="0" w:line="240" w:lineRule="auto"/>
              <w:jc w:val="right"/>
              <w:rPr>
                <w:rFonts w:ascii="Times New Roman" w:eastAsia="Times New Roman" w:hAnsi="Times New Roman" w:cs="Times New Roman"/>
                <w:sz w:val="20"/>
                <w:szCs w:val="20"/>
                <w:lang w:eastAsia="zh-CN"/>
              </w:rPr>
            </w:pPr>
          </w:p>
        </w:tc>
        <w:tc>
          <w:tcPr>
            <w:tcW w:w="1133" w:type="dxa"/>
            <w:tcBorders>
              <w:top w:val="nil"/>
              <w:left w:val="nil"/>
              <w:bottom w:val="nil"/>
              <w:right w:val="nil"/>
            </w:tcBorders>
            <w:shd w:val="clear" w:color="auto" w:fill="auto"/>
            <w:noWrap/>
            <w:vAlign w:val="bottom"/>
            <w:hideMark/>
          </w:tcPr>
          <w:p w14:paraId="516B4DED" w14:textId="53ECB75D" w:rsidR="00D06EC2" w:rsidRPr="00D06EC2" w:rsidRDefault="000F7359"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{"citationID":"DUUqACwN","properties":{"formattedCitation":"\\super 29\\nosupersub{}","plainCitation":"29","noteIndex":0},"citationItems":[{"id":1481,"uris":["http://zotero.org/users/local/JrzyeY6I/items/V6823IUK"],"itemData":{"id":1481,"type":"article-journal","abstract":"OBJECTIVE: Tourette's syndrome is polygenic and highly heritable. Genome-wide association study (GWAS) approaches are useful for interrogating the genetic architecture and determinants of Tourette's syndrome and other tic disorders. The authors conducted a GWAS meta-analysis and probed aggregated Tourette's syndrome polygenic risk to test whether Tourette's and related tic disorders have an underlying shared genetic etiology and whether Tourette's polygenic risk scores correlate with worst-ever tic severity and may represent a potential predictor of disease severity.\nMETHODS: GWAS meta-analysis, gene-based association, and genetic enrichment analyses were conducted in 4,819 Tourette's syndrome case subjects and 9,488 control subjects. Replication of top loci was conducted in an independent population-based sample (706 case subjects, 6,068 control subjects). Relationships between Tourette's polygenic risk scores (PRSs), other tic disorders, ascertainment, and tic severity were examined.\nRESULTS: GWAS and gene-based analyses identified one genome-wide significant locus within FLT3 on chromosome 13, rs2504235, although this association was not replicated in the population-based sample. Genetic variants spanning evolutionarily conserved regions significantly explained 92.4% of Tourette's syndrome heritability. Tourette's-associated genes were significantly preferentially expressed in dorsolateral prefrontal cortex. Tourette's PRS significantly predicted both Tourette's syndrome and tic spectrum disorders status in the population-based sample. Tourette's PRS also significantly correlated with worst-ever tic severity and was higher in case subjects with a family history of tics than in simplex case subjects.\nCONCLUSIONS: Modulation of gene expression through noncoding variants, particularly within cortico-striatal circuits, is implicated as a fundamental mechanism in Tourette's syndrome pathogenesis. At a genetic level, tic disorders represent a continuous spectrum of disease, supporting the unification of Tourette's syndrome and other tic disorders in future diagnostic schemata. Tourette's PRSs derived from sufficiently large samples may be useful in the future for predicting conversion of transient tics to chronic tic disorders, as well as tic persistence and lifetime tic severity.","container-title":"The American Journal of Psychiatry","DOI":"10.1176/appi.ajp.2018.18070857","ISSN":"1535-7228","issue":"3","journalAbbreviation":"Am J Psychiatry","language":"eng","note":"PMID: 30818990\nPMCID: PMC6677250","page":"217-227","source":"PubMed","title":"Interrogating the Genetic Determinants of Tourette's Syndrome and Other Tic Disorders Through Genome-Wide Association Studies","volume":"176","author":[{"family":"Yu","given":"Dongmei"},{"family":"Sul","given":"Jae Hoon"},{"family":"Tsetsos","given":"Fotis"},{"family":"Nawaz","given":"Muhammad S."},{"family":"Huang","given":"Alden Y."},{"family":"Zelaya","given":"Ivette"},{"family":"Illmann","given":"Cornelia"},{"family":"Osiecki","given":"Lisa"},{"family":"Darrow","given":"Sabrina M."},{"family":"Hirschtritt","given":"Matthew E."},{"family":"Greenberg","given":"Erica"},{"family":"Muller-Vahl","given":"Kirsten R."},{"family":"Stuhrmann","given":"Manfred"},{"family":"Dion","given":"Yves"},{"family":"Rouleau","given":"Guy"},{"family":"Aschauer","given":"Harald"},{"family":"Stamenkovic","given":"Mara"},{"family":"Schlögelhofer","given":"Monika"},{"family":"Sandor","given":"Paul"},{"family":"Barr","given":"Cathy L."},{"family":"Grados","given":"Marco"},{"family":"Singer","given":"Harvey S."},{"family":"Nöthen","given":"Markus M."},{"family":"Hebebrand","given":"Johannes"},{"family":"Hinney","given":"Anke"},{"family":"King","given":"Robert A."},{"family":"Fernandez","given":"Thomas V."},{"family":"Barta","given":"Csaba"},{"family":"Tarnok","given":"Zsanett"},{"family":"Nagy","given":"Peter"},{"family":"Depienne","given":"Christel"},{"family":"Worbe","given":"Yulia"},{"family":"Hartmann","given":"Andreas"},{"family":"Budman","given":"Cathy L."},{"family":"Rizzo","given":"Renata"},{"family":"Lyon","given":"Gholson J."},{"family":"McMahon","given":"William M."},{"family":"Batterson","given":"James R."},{"family":"Cath","given":"Danielle C."},{"family":"Malaty","given":"Irene A."},{"family":"Okun","given":"Michael S."},{"family":"Berlin","given":"Cheston"},{"family":"Woods","given":"Douglas W."},{"family":"Lee","given":"Paul C."},{"family":"Jankovic","given":"Joseph"},{"family":"Robertson","given":"Mary M."},{"family":"Gilbert","given":"Donald L."},{"family":"Brown","given":"Lawrence W."},{"family":"Coffey","given":"Barbara J."},{"family":"Dietrich","given":"Andrea"},{"family":"Hoekstra","given":"Pieter J."},{"family":"Kuperman","given":"Samuel"},{"family":"Zinner","given":"Samuel H."},{"family":"Luðvigsson","given":"Pétur"},{"family":"Sæmundsen","given":"Evald"},{"family":"Thorarensen","given":"Ólafur"},{"family":"Atzmon","given":"Gil"},{"family":"Barzilai","given":"Nir"},{"family":"Wagner","given":"Michael"},{"family":"Moessner","given":"Rainald"},{"family":"Ophoff","given":"Roel"},{"family":"Pato","given":"Carlos N."},{"family":"Pato","given":"Michele T."},{"family":"Knowles","given":"James A."},{"family":"Roffman","given":"Joshua L."},{"family":"Smoller","given":"Jordan W."},{"family":"Buckner","given":"Randy L."},{"family":"Willsey","given":"A. Jeremy"},{"family":"Tischfield","given":"Jay A."},{"family":"Heiman","given":"Gary A."},{"family":"Stefansson","given":"Hreinn"},{"family":"Stefansson","given":"Kári"},{"family":"Posthuma","given":"Danielle"},{"family":"Cox","given":"Nancy J."},{"family":"Pauls","given":"David L."},{"family":"Freimer","given":"Nelson B."},{"family":"Neale","given":"Benjamin M."},{"family":"Davis","given":"Lea K."},{"family":"Paschou","given":"Peristera"},{"family":"Coppola","given":"Giovanni"},{"family":"Mathews","given":"Carol A."},{"family":"Scharf","given":"Jeremiah M."},{"literal":"Tourette Association of America International Consortium for Genetics, the Gilles de la Tourette GWAS Replication Initiative, the Tourette International Collaborative Genetics Study, and the Psychiatric Genomics Consortium Tourette Syndrome Working Group"}],"issued":{"date-parts":[["2019",3,1]]}}}],"schema":"https://github.com/citation-style-language/schema/raw/master/csl-citation.json"} </w:instrText>
            </w:r>
            <w:r>
              <w:fldChar w:fldCharType="separate"/>
            </w:r>
            <w:r w:rsidR="009B7C37" w:rsidRPr="009B7C37">
              <w:rPr>
                <w:rFonts w:ascii="Calibri" w:hAnsi="Calibri" w:cs="Calibri"/>
                <w:szCs w:val="24"/>
                <w:vertAlign w:val="superscript"/>
              </w:rPr>
              <w:t>29</w:t>
            </w:r>
            <w:r>
              <w:fldChar w:fldCharType="end"/>
            </w:r>
          </w:p>
        </w:tc>
      </w:tr>
      <w:tr w:rsidR="00D06EC2" w:rsidRPr="00D06EC2" w14:paraId="621411D5" w14:textId="77777777" w:rsidTr="00B74A41">
        <w:trPr>
          <w:trHeight w:val="300"/>
        </w:trPr>
        <w:tc>
          <w:tcPr>
            <w:tcW w:w="2970" w:type="dxa"/>
            <w:tcBorders>
              <w:top w:val="nil"/>
              <w:left w:val="nil"/>
              <w:bottom w:val="nil"/>
              <w:right w:val="nil"/>
            </w:tcBorders>
            <w:shd w:val="clear" w:color="auto" w:fill="auto"/>
            <w:noWrap/>
            <w:vAlign w:val="center"/>
            <w:hideMark/>
          </w:tcPr>
          <w:p w14:paraId="422D40E9" w14:textId="5B958E58" w:rsidR="00D06EC2" w:rsidRPr="00D605B2" w:rsidRDefault="00082A77" w:rsidP="00D06EC2">
            <w:pPr>
              <w:spacing w:after="0" w:line="240" w:lineRule="auto"/>
              <w:rPr>
                <w:rFonts w:ascii="Calibri" w:eastAsia="Times New Roman" w:hAnsi="Calibri" w:cs="Calibri"/>
                <w:color w:val="000000"/>
                <w:lang w:eastAsia="zh-CN"/>
              </w:rPr>
            </w:pPr>
            <w:r w:rsidRPr="00D605B2">
              <w:rPr>
                <w:rFonts w:ascii="Calibri" w:eastAsia="Times New Roman" w:hAnsi="Calibri" w:cs="Calibri"/>
                <w:color w:val="000000"/>
                <w:lang w:eastAsia="zh-CN"/>
              </w:rPr>
              <w:t>Any p</w:t>
            </w:r>
            <w:r w:rsidR="00D06EC2" w:rsidRPr="00D605B2">
              <w:rPr>
                <w:rFonts w:ascii="Calibri" w:eastAsia="Times New Roman" w:hAnsi="Calibri" w:cs="Calibri"/>
                <w:color w:val="000000"/>
                <w:lang w:eastAsia="zh-CN"/>
              </w:rPr>
              <w:t>sychotic</w:t>
            </w:r>
            <w:r w:rsidRPr="00D605B2">
              <w:rPr>
                <w:rFonts w:ascii="Calibri" w:eastAsia="Times New Roman" w:hAnsi="Calibri" w:cs="Calibri"/>
                <w:color w:val="000000"/>
                <w:lang w:eastAsia="zh-CN"/>
              </w:rPr>
              <w:t xml:space="preserve"> experience </w:t>
            </w:r>
          </w:p>
        </w:tc>
        <w:tc>
          <w:tcPr>
            <w:tcW w:w="1256" w:type="dxa"/>
            <w:tcBorders>
              <w:top w:val="nil"/>
              <w:left w:val="nil"/>
              <w:bottom w:val="nil"/>
              <w:right w:val="nil"/>
            </w:tcBorders>
            <w:shd w:val="clear" w:color="auto" w:fill="auto"/>
            <w:noWrap/>
            <w:vAlign w:val="center"/>
            <w:hideMark/>
          </w:tcPr>
          <w:p w14:paraId="5D200648"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8.59E-08</w:t>
            </w:r>
          </w:p>
        </w:tc>
        <w:tc>
          <w:tcPr>
            <w:tcW w:w="1256" w:type="dxa"/>
            <w:tcBorders>
              <w:top w:val="nil"/>
              <w:left w:val="nil"/>
              <w:bottom w:val="nil"/>
              <w:right w:val="nil"/>
            </w:tcBorders>
            <w:shd w:val="clear" w:color="auto" w:fill="auto"/>
            <w:noWrap/>
            <w:vAlign w:val="center"/>
            <w:hideMark/>
          </w:tcPr>
          <w:p w14:paraId="309DD79E"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0.0001</w:t>
            </w:r>
          </w:p>
        </w:tc>
        <w:tc>
          <w:tcPr>
            <w:tcW w:w="1256" w:type="dxa"/>
            <w:tcBorders>
              <w:top w:val="nil"/>
              <w:left w:val="nil"/>
              <w:bottom w:val="nil"/>
              <w:right w:val="nil"/>
            </w:tcBorders>
            <w:shd w:val="clear" w:color="auto" w:fill="auto"/>
            <w:noWrap/>
            <w:vAlign w:val="center"/>
            <w:hideMark/>
          </w:tcPr>
          <w:p w14:paraId="32658B9C" w14:textId="77777777" w:rsidR="00D06EC2" w:rsidRPr="00D605B2" w:rsidRDefault="00D06EC2" w:rsidP="00D06EC2">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0.4171</w:t>
            </w:r>
          </w:p>
        </w:tc>
        <w:tc>
          <w:tcPr>
            <w:tcW w:w="1381" w:type="dxa"/>
            <w:tcBorders>
              <w:top w:val="nil"/>
              <w:left w:val="nil"/>
              <w:bottom w:val="nil"/>
              <w:right w:val="nil"/>
            </w:tcBorders>
            <w:shd w:val="clear" w:color="auto" w:fill="auto"/>
            <w:noWrap/>
            <w:vAlign w:val="bottom"/>
            <w:hideMark/>
          </w:tcPr>
          <w:p w14:paraId="7CA9B6E3" w14:textId="1AB9D019" w:rsidR="00D06EC2" w:rsidRPr="00D605B2" w:rsidRDefault="00443B75" w:rsidP="00B90239">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15DA0CCA" w14:textId="657105C7"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692971A1" w14:textId="3BF79410"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75F91BEE" w14:textId="7A3B9484"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vAlign w:val="center"/>
            <w:hideMark/>
          </w:tcPr>
          <w:p w14:paraId="70B16F9F" w14:textId="644D20EB" w:rsidR="00D06EC2" w:rsidRPr="00082A77" w:rsidRDefault="001C1D41" w:rsidP="00D06EC2">
            <w:pPr>
              <w:spacing w:after="0" w:line="240" w:lineRule="auto"/>
              <w:rPr>
                <w:rFonts w:ascii="Calibri" w:eastAsia="Times New Roman" w:hAnsi="Calibri" w:cs="Calibri"/>
                <w:highlight w:val="yellow"/>
                <w:lang w:eastAsia="zh-CN"/>
              </w:rPr>
            </w:pPr>
            <w:r w:rsidRPr="00443B75">
              <w:fldChar w:fldCharType="begin"/>
            </w:r>
            <w:r w:rsidR="009B7C37">
              <w:instrText xml:space="preserve"> ADDIN ZOTERO_ITEM CSL_CITATION {"citationID":"UIiRQmiN","properties":{"formattedCitation":"\\super 30\\nosupersub{}","plainCitation":"30","noteIndex":0},"citationItems":[{"id":1487,"uris":["http://zotero.org/users/local/JrzyeY6I/items/4EFAMDYA"],"itemData":{"id":1487,"type":"article-journal","abstract":"IMPORTANCE: Psychotic experiences, such as hallucinations and delusions, are reported by approximately 5% to 10% of the general population, although only a small proportion develop psychotic disorders such as schizophrenia. Studying the genetic causes of psychotic experiences in the general population, and its association with the genetic causes of other disorders, may increase the understanding of their pathologic significance.\nOBJECTIVES: To determine whether genetic liability to psychotic experiences is shared with schizophrenia and/or other neuropsychiatric disorders and traits and to identify genetic loci associated with psychotic experiences.\nDESIGN, SETTING AND PARTICIPANTS: Analyses of genetic correlation, polygenic risk scores, and copy number variation were performed using data from participants in the UK Biobank from April 1, 2018, to March 20, 2019, to assess whether genetic liability to psychotic experiences is shared with schizophrenia and/or other neuropsychiatric disorders and traits. Genome-wide association studies of psychotic experience phenotypes were conducted to identify novel genetic loci. Participants in the final analyses after exclusions included 6123 individuals reporting any psychotic experience, 2143 individuals reporting distressing psychotic experiences, and 3337 individuals reporting multiple occurrences of psychotic experiences. A total of 121 843 individuals who did not report a psychotic experience formed the comparator group. Individuals with a psychotic disorder were excluded from all analyses.\nMAIN OUTCOMES AND MEASURES: Genetic associations with psychotic experience phenotypes.\nRESULTS: The study included a total of 127 966 participants (56.0% women and 44.0% men; mean [SD] age, 64.0 [7.6] years). Psychotic experiences were genetically correlated with major depressive disorder, schizophrenia, autism spectrum disorder, and attention-deficit/hyperactivity disorder. Analyses of polygenic risk scores identified associations between psychotic experiences and genetic liability for major depressive disorder, schizophrenia, bipolar disorder, autism spectrum disorder, and attention-deficit/hyperactivity disorder. Individuals reporting psychotic experiences had an increased burden of copy number variations previously associated with schizophrenia (odds ratio [OR], 2.04; 95% CI, 1.39-2.98; P = 2.49 × 10-4) and neurodevelopmental disorders more widely (OR, 1.75; 95% CI, 1.24-2.48; P = 1.41 × 10-3). Genome-wide association studies identified 4 significantly associated loci, including a locus in Ankyrin-3 (ANK3 [GenBank NM_020987]) (OR, 1.16; 95% CI, 1.10-1.23; P = 3.06 × 10-8) with any psychotic experience, and a locus in cannabinoid receptor 2 gene (CNR2 [GenBank NM_001841]) (OR, 0.66; 95% CI, 0.56-0.78; P = 3.78 × 10-8) with distressing psychotic experiences. The genome-wide association study of any psychotic experience had a low single-nucleotide polymorphism-based heritability estimate (h2 = 1.71%; 95% CI, 1.02%-2.40%).\nCONCLUSIONS AND RELEVANCE: A large genetic association study of psychotic experiences from the population-based UK Biobank sample found support for a shared genetic liability between psychotic experiences and schizophrenia, major depressive disorder, bipolar disorder, and neurodevelopmental disorders.","container-title":"JAMA psychiatry","DOI":"10.1001/jamapsychiatry.2019.2508","ISSN":"2168-6238","issue":"12","journalAbbreviation":"JAMA Psychiatry","language":"eng","note":"PMID: 31553412\nPMCID: PMC6764002","page":"1256-1265","source":"PubMed","title":"Association of Genetic Liability to Psychotic Experiences With Neuropsychotic Disorders and Traits","volume":"76","author":[{"family":"Legge","given":"Sophie E."},{"family":"Jones","given":"Hannah J."},{"family":"Kendall","given":"Kimberley M."},{"family":"Pardiñas","given":"Antonio F."},{"family":"Menzies","given":"Georgina"},{"family":"Bracher-Smith","given":"Matthew"},{"family":"Escott-Price","given":"Valentina"},{"family":"Rees","given":"Elliott"},{"family":"Davis","given":"Katrina A. S."},{"family":"Hotopf","given":"Matthew"},{"family":"Savage","given":"Jeanne E."},{"family":"Posthuma","given":"Danielle"},{"family":"Holmans","given":"Peter"},{"family":"Kirov","given":"George"},{"family":"Owen","given":"Michael J."},{"family":"O'Donovan","given":"Michael C."},{"family":"Zammit","given":"Stanley"},{"family":"Walters","given":"James T. R."}],"issued":{"date-parts":[["2019",12,1]]}}}],"schema":"https://github.com/citation-style-language/schema/raw/master/csl-citation.json"} </w:instrText>
            </w:r>
            <w:r w:rsidRPr="00443B75">
              <w:fldChar w:fldCharType="separate"/>
            </w:r>
            <w:r w:rsidR="009B7C37" w:rsidRPr="009B7C37">
              <w:rPr>
                <w:rFonts w:ascii="Calibri" w:hAnsi="Calibri" w:cs="Calibri"/>
                <w:szCs w:val="24"/>
                <w:vertAlign w:val="superscript"/>
              </w:rPr>
              <w:t>30</w:t>
            </w:r>
            <w:r w:rsidRPr="00443B75">
              <w:fldChar w:fldCharType="end"/>
            </w:r>
          </w:p>
        </w:tc>
      </w:tr>
      <w:tr w:rsidR="00D06EC2" w:rsidRPr="00D06EC2" w14:paraId="783CA21B" w14:textId="77777777" w:rsidTr="00B74A41">
        <w:trPr>
          <w:trHeight w:val="300"/>
        </w:trPr>
        <w:tc>
          <w:tcPr>
            <w:tcW w:w="2970" w:type="dxa"/>
            <w:tcBorders>
              <w:top w:val="nil"/>
              <w:left w:val="nil"/>
              <w:bottom w:val="nil"/>
              <w:right w:val="nil"/>
            </w:tcBorders>
            <w:shd w:val="clear" w:color="auto" w:fill="auto"/>
            <w:noWrap/>
            <w:vAlign w:val="center"/>
            <w:hideMark/>
          </w:tcPr>
          <w:p w14:paraId="36FD07F3" w14:textId="31BB2067" w:rsidR="00D06EC2" w:rsidRPr="00D605B2" w:rsidRDefault="00082A77" w:rsidP="00D06EC2">
            <w:pPr>
              <w:spacing w:after="0" w:line="240" w:lineRule="auto"/>
              <w:rPr>
                <w:rFonts w:ascii="Calibri" w:eastAsia="Times New Roman" w:hAnsi="Calibri" w:cs="Calibri"/>
                <w:color w:val="000000"/>
                <w:lang w:eastAsia="zh-CN"/>
              </w:rPr>
            </w:pPr>
            <w:r w:rsidRPr="00D605B2">
              <w:rPr>
                <w:rFonts w:ascii="Calibri" w:eastAsia="Times New Roman" w:hAnsi="Calibri" w:cs="Calibri"/>
                <w:color w:val="000000"/>
                <w:lang w:eastAsia="zh-CN"/>
              </w:rPr>
              <w:t>D</w:t>
            </w:r>
            <w:r w:rsidR="00D06EC2" w:rsidRPr="00D605B2">
              <w:rPr>
                <w:rFonts w:ascii="Calibri" w:eastAsia="Times New Roman" w:hAnsi="Calibri" w:cs="Calibri"/>
                <w:color w:val="000000"/>
                <w:lang w:eastAsia="zh-CN"/>
              </w:rPr>
              <w:t>istressing</w:t>
            </w:r>
            <w:r w:rsidRPr="00D605B2">
              <w:rPr>
                <w:rFonts w:ascii="Calibri" w:eastAsia="Times New Roman" w:hAnsi="Calibri" w:cs="Calibri"/>
                <w:color w:val="000000"/>
                <w:lang w:eastAsia="zh-CN"/>
              </w:rPr>
              <w:t xml:space="preserve"> </w:t>
            </w:r>
            <w:r w:rsidR="00D06EC2" w:rsidRPr="00D605B2">
              <w:rPr>
                <w:rFonts w:ascii="Calibri" w:eastAsia="Times New Roman" w:hAnsi="Calibri" w:cs="Calibri"/>
                <w:color w:val="000000"/>
                <w:lang w:eastAsia="zh-CN"/>
              </w:rPr>
              <w:t>psychotic</w:t>
            </w:r>
            <w:r w:rsidRPr="00D605B2">
              <w:rPr>
                <w:rFonts w:ascii="Calibri" w:eastAsia="Times New Roman" w:hAnsi="Calibri" w:cs="Calibri"/>
                <w:color w:val="000000"/>
                <w:lang w:eastAsia="zh-CN"/>
              </w:rPr>
              <w:t xml:space="preserve"> experience</w:t>
            </w:r>
          </w:p>
        </w:tc>
        <w:tc>
          <w:tcPr>
            <w:tcW w:w="1256" w:type="dxa"/>
            <w:tcBorders>
              <w:top w:val="nil"/>
              <w:left w:val="nil"/>
              <w:bottom w:val="nil"/>
              <w:right w:val="nil"/>
            </w:tcBorders>
            <w:shd w:val="clear" w:color="auto" w:fill="auto"/>
            <w:noWrap/>
            <w:vAlign w:val="center"/>
            <w:hideMark/>
          </w:tcPr>
          <w:p w14:paraId="2426BA83"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5.31E-07</w:t>
            </w:r>
          </w:p>
        </w:tc>
        <w:tc>
          <w:tcPr>
            <w:tcW w:w="1256" w:type="dxa"/>
            <w:tcBorders>
              <w:top w:val="nil"/>
              <w:left w:val="nil"/>
              <w:bottom w:val="nil"/>
              <w:right w:val="nil"/>
            </w:tcBorders>
            <w:shd w:val="clear" w:color="auto" w:fill="auto"/>
            <w:noWrap/>
            <w:vAlign w:val="center"/>
            <w:hideMark/>
          </w:tcPr>
          <w:p w14:paraId="7CCE0722"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0.0024</w:t>
            </w:r>
          </w:p>
        </w:tc>
        <w:tc>
          <w:tcPr>
            <w:tcW w:w="1256" w:type="dxa"/>
            <w:tcBorders>
              <w:top w:val="nil"/>
              <w:left w:val="nil"/>
              <w:bottom w:val="nil"/>
              <w:right w:val="nil"/>
            </w:tcBorders>
            <w:shd w:val="clear" w:color="auto" w:fill="auto"/>
            <w:noWrap/>
            <w:vAlign w:val="center"/>
            <w:hideMark/>
          </w:tcPr>
          <w:p w14:paraId="06F49180"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0.0025</w:t>
            </w:r>
          </w:p>
        </w:tc>
        <w:tc>
          <w:tcPr>
            <w:tcW w:w="1381" w:type="dxa"/>
            <w:tcBorders>
              <w:top w:val="nil"/>
              <w:left w:val="nil"/>
              <w:bottom w:val="nil"/>
              <w:right w:val="nil"/>
            </w:tcBorders>
            <w:shd w:val="clear" w:color="auto" w:fill="auto"/>
            <w:noWrap/>
            <w:vAlign w:val="bottom"/>
            <w:hideMark/>
          </w:tcPr>
          <w:p w14:paraId="6F7E8F93" w14:textId="23F7EB74" w:rsidR="00D06EC2" w:rsidRPr="00D605B2" w:rsidRDefault="00443B75" w:rsidP="00B90239">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6556DD75" w14:textId="7910791C"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507AB070" w14:textId="08031B51"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381" w:type="dxa"/>
            <w:tcBorders>
              <w:top w:val="nil"/>
              <w:left w:val="nil"/>
              <w:bottom w:val="nil"/>
              <w:right w:val="nil"/>
            </w:tcBorders>
            <w:shd w:val="clear" w:color="auto" w:fill="auto"/>
            <w:noWrap/>
            <w:vAlign w:val="bottom"/>
            <w:hideMark/>
          </w:tcPr>
          <w:p w14:paraId="0DCF97DA" w14:textId="5ABD7E98" w:rsidR="00D06EC2" w:rsidRPr="00D605B2" w:rsidRDefault="00443B75" w:rsidP="00B90239">
            <w:pPr>
              <w:spacing w:after="0" w:line="240" w:lineRule="auto"/>
              <w:jc w:val="right"/>
              <w:rPr>
                <w:rFonts w:ascii="Times New Roman" w:eastAsia="Times New Roman" w:hAnsi="Times New Roman" w:cs="Times New Roman"/>
                <w:sz w:val="20"/>
                <w:szCs w:val="20"/>
                <w:lang w:eastAsia="zh-CN"/>
              </w:rPr>
            </w:pPr>
            <w:r w:rsidRPr="00D605B2">
              <w:rPr>
                <w:rFonts w:ascii="Calibri" w:eastAsia="Times New Roman" w:hAnsi="Calibri" w:cs="Calibri"/>
                <w:color w:val="000000"/>
                <w:lang w:eastAsia="zh-CN"/>
              </w:rPr>
              <w:t>Yes</w:t>
            </w:r>
          </w:p>
        </w:tc>
        <w:tc>
          <w:tcPr>
            <w:tcW w:w="1133" w:type="dxa"/>
            <w:tcBorders>
              <w:top w:val="nil"/>
              <w:left w:val="nil"/>
              <w:bottom w:val="nil"/>
              <w:right w:val="nil"/>
            </w:tcBorders>
            <w:shd w:val="clear" w:color="auto" w:fill="auto"/>
            <w:vAlign w:val="center"/>
            <w:hideMark/>
          </w:tcPr>
          <w:p w14:paraId="70012D88" w14:textId="377FC35B" w:rsidR="00D06EC2" w:rsidRPr="00D06EC2" w:rsidRDefault="001C1D41"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{"citationID":"TgEo90Ip","properties":{"formattedCitation":"\\super 30\\nosupersub{}","plainCitation":"30","noteIndex":0},"citationItems":[{"id":1487,"uris":["http://zotero.org/users/local/JrzyeY6I/items/4EFAMDYA"],"itemData":{"id":1487,"type":"article-journal","abstract":"IMPORTANCE: Psychotic experiences, such as hallucinations and delusions, are reported by approximately 5% to 10% of the general population, although only a small proportion develop psychotic disorders such as schizophrenia. Studying the genetic causes of psychotic experiences in the general population, and its association with the genetic causes of other disorders, may increase the understanding of their pathologic significance.\nOBJECTIVES: To determine whether genetic liability to psychotic experiences is shared with schizophrenia and/or other neuropsychiatric disorders and traits and to identify genetic loci associated with psychotic experiences.\nDESIGN, SETTING AND PARTICIPANTS: Analyses of genetic correlation, polygenic risk scores, and copy number variation were performed using data from participants in the UK Biobank from April 1, 2018, to March 20, 2019, to assess whether genetic liability to psychotic experiences is shared with schizophrenia and/or other neuropsychiatric disorders and traits. Genome-wide association studies of psychotic experience phenotypes were conducted to identify novel genetic loci. Participants in the final analyses after exclusions included 6123 individuals reporting any psychotic experience, 2143 individuals reporting distressing psychotic experiences, and 3337 individuals reporting multiple occurrences of psychotic experiences. A total of 121 843 individuals who did not report a psychotic experience formed the comparator group. Individuals with a psychotic disorder were excluded from all analyses.\nMAIN OUTCOMES AND MEASURES: Genetic associations with psychotic experience phenotypes.\nRESULTS: The study included a total of 127 966 participants (56.0% women and 44.0% men; mean [SD] age, 64.0 [7.6] years). Psychotic experiences were genetically correlated with major depressive disorder, schizophrenia, autism spectrum disorder, and attention-deficit/hyperactivity disorder. Analyses of polygenic risk scores identified associations between psychotic experiences and genetic liability for major depressive disorder, schizophrenia, bipolar disorder, autism spectrum disorder, and attention-deficit/hyperactivity disorder. Individuals reporting psychotic experiences had an increased burden of copy number variations previously associated with schizophrenia (odds ratio [OR], 2.04; 95% CI, 1.39-2.98; P = 2.49 × 10-4) and neurodevelopmental disorders more widely (OR, 1.75; 95% CI, 1.24-2.48; P = 1.41 × 10-3). Genome-wide association studies identified 4 significantly associated loci, including a locus in Ankyrin-3 (ANK3 [GenBank NM_020987]) (OR, 1.16; 95% CI, 1.10-1.23; P = 3.06 × 10-8) with any psychotic experience, and a locus in cannabinoid receptor 2 gene (CNR2 [GenBank NM_001841]) (OR, 0.66; 95% CI, 0.56-0.78; P = 3.78 × 10-8) with distressing psychotic experiences. The genome-wide association study of any psychotic experience had a low single-nucleotide polymorphism-based heritability estimate (h2 = 1.71%; 95% CI, 1.02%-2.40%).\nCONCLUSIONS AND RELEVANCE: A large genetic association study of psychotic experiences from the population-based UK Biobank sample found support for a shared genetic liability between psychotic experiences and schizophrenia, major depressive disorder, bipolar disorder, and neurodevelopmental disorders.","container-title":"JAMA psychiatry","DOI":"10.1001/jamapsychiatry.2019.2508","ISSN":"2168-6238","issue":"12","journalAbbreviation":"JAMA Psychiatry","language":"eng","note":"PMID: 31553412\nPMCID: PMC6764002","page":"1256-1265","source":"PubMed","title":"Association of Genetic Liability to Psychotic Experiences With Neuropsychotic Disorders and Traits","volume":"76","author":[{"family":"Legge","given":"Sophie E."},{"family":"Jones","given":"Hannah J."},{"family":"Kendall","given":"Kimberley M."},{"family":"Pardiñas","given":"Antonio F."},{"family":"Menzies","given":"Georgina"},{"family":"Bracher-Smith","given":"Matthew"},{"family":"Escott-Price","given":"Valentina"},{"family":"Rees","given":"Elliott"},{"family":"Davis","given":"Katrina A. S."},{"family":"Hotopf","given":"Matthew"},{"family":"Savage","given":"Jeanne E."},{"family":"Posthuma","given":"Danielle"},{"family":"Holmans","given":"Peter"},{"family":"Kirov","given":"George"},{"family":"Owen","given":"Michael J."},{"family":"O'Donovan","given":"Michael C."},{"family":"Zammit","given":"Stanley"},{"family":"Walters","given":"James T. R."}],"issued":{"date-parts":[["2019",12,1]]}}}],"schema":"https://github.com/citation-style-language/schema/raw/master/csl-citation.json"} </w:instrText>
            </w:r>
            <w:r>
              <w:fldChar w:fldCharType="separate"/>
            </w:r>
            <w:r w:rsidR="009B7C37" w:rsidRPr="009B7C37">
              <w:rPr>
                <w:rFonts w:ascii="Calibri" w:hAnsi="Calibri" w:cs="Calibri"/>
                <w:szCs w:val="24"/>
                <w:vertAlign w:val="superscript"/>
              </w:rPr>
              <w:t>30</w:t>
            </w:r>
            <w:r>
              <w:fldChar w:fldCharType="end"/>
            </w:r>
          </w:p>
        </w:tc>
      </w:tr>
      <w:tr w:rsidR="00D06EC2" w:rsidRPr="00D06EC2" w14:paraId="2C7F4CA9" w14:textId="77777777" w:rsidTr="00B74A41">
        <w:trPr>
          <w:trHeight w:val="315"/>
        </w:trPr>
        <w:tc>
          <w:tcPr>
            <w:tcW w:w="2970" w:type="dxa"/>
            <w:tcBorders>
              <w:top w:val="nil"/>
              <w:left w:val="nil"/>
              <w:bottom w:val="single" w:sz="8" w:space="0" w:color="auto"/>
              <w:right w:val="nil"/>
            </w:tcBorders>
            <w:shd w:val="clear" w:color="auto" w:fill="auto"/>
            <w:noWrap/>
            <w:vAlign w:val="center"/>
            <w:hideMark/>
          </w:tcPr>
          <w:p w14:paraId="4923CEA2" w14:textId="1BCF03D3" w:rsidR="00D06EC2" w:rsidRPr="00D605B2" w:rsidRDefault="00082A77" w:rsidP="00D06EC2">
            <w:pPr>
              <w:spacing w:after="0" w:line="240" w:lineRule="auto"/>
              <w:rPr>
                <w:rFonts w:ascii="Calibri" w:eastAsia="Times New Roman" w:hAnsi="Calibri" w:cs="Calibri"/>
                <w:color w:val="000000"/>
                <w:lang w:eastAsia="zh-CN"/>
              </w:rPr>
            </w:pPr>
            <w:r w:rsidRPr="00D605B2">
              <w:rPr>
                <w:rFonts w:ascii="Calibri" w:eastAsia="Times New Roman" w:hAnsi="Calibri" w:cs="Calibri"/>
                <w:color w:val="000000"/>
                <w:lang w:eastAsia="zh-CN"/>
              </w:rPr>
              <w:t>M</w:t>
            </w:r>
            <w:r w:rsidR="00D06EC2" w:rsidRPr="00D605B2">
              <w:rPr>
                <w:rFonts w:ascii="Calibri" w:eastAsia="Times New Roman" w:hAnsi="Calibri" w:cs="Calibri"/>
                <w:color w:val="000000"/>
                <w:lang w:eastAsia="zh-CN"/>
              </w:rPr>
              <w:t>ultip</w:t>
            </w:r>
            <w:r w:rsidRPr="00D605B2">
              <w:rPr>
                <w:rFonts w:ascii="Calibri" w:eastAsia="Times New Roman" w:hAnsi="Calibri" w:cs="Calibri"/>
                <w:color w:val="000000"/>
                <w:lang w:eastAsia="zh-CN"/>
              </w:rPr>
              <w:t>l</w:t>
            </w:r>
            <w:r w:rsidR="00D06EC2" w:rsidRPr="00D605B2">
              <w:rPr>
                <w:rFonts w:ascii="Calibri" w:eastAsia="Times New Roman" w:hAnsi="Calibri" w:cs="Calibri"/>
                <w:color w:val="000000"/>
                <w:lang w:eastAsia="zh-CN"/>
              </w:rPr>
              <w:t>e</w:t>
            </w:r>
            <w:r w:rsidRPr="00D605B2">
              <w:rPr>
                <w:rFonts w:ascii="Calibri" w:eastAsia="Times New Roman" w:hAnsi="Calibri" w:cs="Calibri"/>
                <w:color w:val="000000"/>
                <w:lang w:eastAsia="zh-CN"/>
              </w:rPr>
              <w:t xml:space="preserve"> occurrences of </w:t>
            </w:r>
            <w:r w:rsidR="00D06EC2" w:rsidRPr="00D605B2">
              <w:rPr>
                <w:rFonts w:ascii="Calibri" w:eastAsia="Times New Roman" w:hAnsi="Calibri" w:cs="Calibri"/>
                <w:color w:val="000000"/>
                <w:lang w:eastAsia="zh-CN"/>
              </w:rPr>
              <w:t>psychotic</w:t>
            </w:r>
            <w:r w:rsidRPr="00D605B2">
              <w:rPr>
                <w:rFonts w:ascii="Calibri" w:eastAsia="Times New Roman" w:hAnsi="Calibri" w:cs="Calibri"/>
                <w:color w:val="000000"/>
                <w:lang w:eastAsia="zh-CN"/>
              </w:rPr>
              <w:t xml:space="preserve"> experience</w:t>
            </w:r>
          </w:p>
        </w:tc>
        <w:tc>
          <w:tcPr>
            <w:tcW w:w="1256" w:type="dxa"/>
            <w:tcBorders>
              <w:top w:val="nil"/>
              <w:left w:val="nil"/>
              <w:bottom w:val="single" w:sz="8" w:space="0" w:color="auto"/>
              <w:right w:val="nil"/>
            </w:tcBorders>
            <w:shd w:val="clear" w:color="auto" w:fill="auto"/>
            <w:noWrap/>
            <w:vAlign w:val="center"/>
            <w:hideMark/>
          </w:tcPr>
          <w:p w14:paraId="7DBAFB2F"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4.48E-06</w:t>
            </w:r>
          </w:p>
        </w:tc>
        <w:tc>
          <w:tcPr>
            <w:tcW w:w="1256" w:type="dxa"/>
            <w:tcBorders>
              <w:top w:val="nil"/>
              <w:left w:val="nil"/>
              <w:bottom w:val="single" w:sz="8" w:space="0" w:color="auto"/>
              <w:right w:val="nil"/>
            </w:tcBorders>
            <w:shd w:val="clear" w:color="auto" w:fill="auto"/>
            <w:noWrap/>
            <w:vAlign w:val="center"/>
            <w:hideMark/>
          </w:tcPr>
          <w:p w14:paraId="09432E37" w14:textId="77777777" w:rsidR="00D06EC2" w:rsidRPr="00D605B2" w:rsidRDefault="00D06EC2" w:rsidP="00D06EC2">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0.1215</w:t>
            </w:r>
          </w:p>
        </w:tc>
        <w:tc>
          <w:tcPr>
            <w:tcW w:w="1256" w:type="dxa"/>
            <w:tcBorders>
              <w:top w:val="nil"/>
              <w:left w:val="nil"/>
              <w:bottom w:val="single" w:sz="8" w:space="0" w:color="auto"/>
              <w:right w:val="nil"/>
            </w:tcBorders>
            <w:shd w:val="clear" w:color="auto" w:fill="auto"/>
            <w:noWrap/>
            <w:vAlign w:val="center"/>
            <w:hideMark/>
          </w:tcPr>
          <w:p w14:paraId="7150BC6F" w14:textId="77777777" w:rsidR="00D06EC2" w:rsidRPr="00D605B2" w:rsidRDefault="00D06EC2" w:rsidP="00D06EC2">
            <w:pPr>
              <w:spacing w:after="0" w:line="240" w:lineRule="auto"/>
              <w:jc w:val="right"/>
              <w:rPr>
                <w:rFonts w:ascii="Calibri" w:eastAsia="Times New Roman" w:hAnsi="Calibri" w:cs="Calibri"/>
                <w:b/>
                <w:bCs/>
                <w:color w:val="000000"/>
                <w:lang w:eastAsia="zh-CN"/>
              </w:rPr>
            </w:pPr>
            <w:r w:rsidRPr="00D605B2">
              <w:rPr>
                <w:rFonts w:ascii="Calibri" w:eastAsia="Times New Roman" w:hAnsi="Calibri" w:cs="Calibri"/>
                <w:b/>
                <w:bCs/>
                <w:color w:val="000000"/>
                <w:lang w:eastAsia="zh-CN"/>
              </w:rPr>
              <w:t>0.0138</w:t>
            </w:r>
          </w:p>
        </w:tc>
        <w:tc>
          <w:tcPr>
            <w:tcW w:w="1381" w:type="dxa"/>
            <w:tcBorders>
              <w:top w:val="nil"/>
              <w:left w:val="nil"/>
              <w:bottom w:val="single" w:sz="8" w:space="0" w:color="auto"/>
              <w:right w:val="nil"/>
            </w:tcBorders>
            <w:shd w:val="clear" w:color="auto" w:fill="auto"/>
            <w:noWrap/>
            <w:vAlign w:val="center"/>
            <w:hideMark/>
          </w:tcPr>
          <w:p w14:paraId="4159E0F7" w14:textId="5BDA8A05" w:rsidR="00D06EC2" w:rsidRPr="00D605B2" w:rsidRDefault="00443B75" w:rsidP="00B90239">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Yes</w:t>
            </w:r>
          </w:p>
        </w:tc>
        <w:tc>
          <w:tcPr>
            <w:tcW w:w="1381" w:type="dxa"/>
            <w:tcBorders>
              <w:top w:val="nil"/>
              <w:left w:val="nil"/>
              <w:bottom w:val="single" w:sz="8" w:space="0" w:color="auto"/>
              <w:right w:val="nil"/>
            </w:tcBorders>
            <w:shd w:val="clear" w:color="auto" w:fill="auto"/>
            <w:noWrap/>
            <w:vAlign w:val="center"/>
            <w:hideMark/>
          </w:tcPr>
          <w:p w14:paraId="30183A46" w14:textId="1DF05777" w:rsidR="00D06EC2" w:rsidRPr="00D605B2" w:rsidRDefault="00443B75" w:rsidP="00B90239">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Yes</w:t>
            </w:r>
          </w:p>
        </w:tc>
        <w:tc>
          <w:tcPr>
            <w:tcW w:w="1381" w:type="dxa"/>
            <w:tcBorders>
              <w:top w:val="nil"/>
              <w:left w:val="nil"/>
              <w:bottom w:val="single" w:sz="8" w:space="0" w:color="auto"/>
              <w:right w:val="nil"/>
            </w:tcBorders>
            <w:shd w:val="clear" w:color="auto" w:fill="auto"/>
            <w:noWrap/>
            <w:vAlign w:val="center"/>
            <w:hideMark/>
          </w:tcPr>
          <w:p w14:paraId="2C806167" w14:textId="59E876B5" w:rsidR="00D06EC2" w:rsidRPr="00D605B2" w:rsidRDefault="00443B75" w:rsidP="00B90239">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Yes</w:t>
            </w:r>
          </w:p>
        </w:tc>
        <w:tc>
          <w:tcPr>
            <w:tcW w:w="1381" w:type="dxa"/>
            <w:tcBorders>
              <w:top w:val="nil"/>
              <w:left w:val="nil"/>
              <w:bottom w:val="single" w:sz="8" w:space="0" w:color="auto"/>
              <w:right w:val="nil"/>
            </w:tcBorders>
            <w:shd w:val="clear" w:color="auto" w:fill="auto"/>
            <w:noWrap/>
            <w:vAlign w:val="center"/>
            <w:hideMark/>
          </w:tcPr>
          <w:p w14:paraId="54257B51" w14:textId="29D141EA" w:rsidR="00D06EC2" w:rsidRPr="00D605B2" w:rsidRDefault="00443B75" w:rsidP="00B90239">
            <w:pPr>
              <w:spacing w:after="0" w:line="240" w:lineRule="auto"/>
              <w:jc w:val="right"/>
              <w:rPr>
                <w:rFonts w:ascii="Calibri" w:eastAsia="Times New Roman" w:hAnsi="Calibri" w:cs="Calibri"/>
                <w:color w:val="000000"/>
                <w:lang w:eastAsia="zh-CN"/>
              </w:rPr>
            </w:pPr>
            <w:r w:rsidRPr="00D605B2">
              <w:rPr>
                <w:rFonts w:ascii="Calibri" w:eastAsia="Times New Roman" w:hAnsi="Calibri" w:cs="Calibri"/>
                <w:color w:val="000000"/>
                <w:lang w:eastAsia="zh-CN"/>
              </w:rPr>
              <w:t>Yes</w:t>
            </w:r>
          </w:p>
        </w:tc>
        <w:tc>
          <w:tcPr>
            <w:tcW w:w="1133" w:type="dxa"/>
            <w:tcBorders>
              <w:top w:val="nil"/>
              <w:left w:val="nil"/>
              <w:bottom w:val="single" w:sz="8" w:space="0" w:color="auto"/>
              <w:right w:val="nil"/>
            </w:tcBorders>
            <w:shd w:val="clear" w:color="auto" w:fill="auto"/>
            <w:vAlign w:val="center"/>
            <w:hideMark/>
          </w:tcPr>
          <w:p w14:paraId="3CF8B688" w14:textId="71F04B38" w:rsidR="00D06EC2" w:rsidRPr="00D06EC2" w:rsidRDefault="001C1D41" w:rsidP="00D06EC2">
            <w:pPr>
              <w:spacing w:after="0" w:line="240" w:lineRule="auto"/>
              <w:rPr>
                <w:rFonts w:ascii="Calibri" w:eastAsia="Times New Roman" w:hAnsi="Calibri" w:cs="Calibri"/>
                <w:lang w:eastAsia="zh-CN"/>
              </w:rPr>
            </w:pPr>
            <w:r>
              <w:fldChar w:fldCharType="begin"/>
            </w:r>
            <w:r w:rsidR="009B7C37">
              <w:instrText xml:space="preserve"> ADDIN ZOTERO_ITEM CSL_CITATION {"citationID":"nmzyWPsr","properties":{"formattedCitation":"\\super 30\\nosupersub{}","plainCitation":"30","noteIndex":0},"citationItems":[{"id":1487,"uris":["http://zotero.org/users/local/JrzyeY6I/items/4EFAMDYA"],"itemData":{"id":1487,"type":"article-journal","abstract":"IMPORTANCE: Psychotic experiences, such as hallucinations and delusions, are reported by approximately 5% to 10% of the general population, although only a small proportion develop psychotic disorders such as schizophrenia. Studying the genetic causes of psychotic experiences in the general population, and its association with the genetic causes of other disorders, may increase the understanding of their pathologic significance.\nOBJECTIVES: To determine whether genetic liability to psychotic experiences is shared with schizophrenia and/or other neuropsychiatric disorders and traits and to identify genetic loci associated with psychotic experiences.\nDESIGN, SETTING AND PARTICIPANTS: Analyses of genetic correlation, polygenic risk scores, and copy number variation were performed using data from participants in the UK Biobank from April 1, 2018, to March 20, 2019, to assess whether genetic liability to psychotic experiences is shared with schizophrenia and/or other neuropsychiatric disorders and traits. Genome-wide association studies of psychotic experience phenotypes were conducted to identify novel genetic loci. Participants in the final analyses after exclusions included 6123 individuals reporting any psychotic experience, 2143 individuals reporting distressing psychotic experiences, and 3337 individuals reporting multiple occurrences of psychotic experiences. A total of 121 843 individuals who did not report a psychotic experience formed the comparator group. Individuals with a psychotic disorder were excluded from all analyses.\nMAIN OUTCOMES AND MEASURES: Genetic associations with psychotic experience phenotypes.\nRESULTS: The study included a total of 127 966 participants (56.0% women and 44.0% men; mean [SD] age, 64.0 [7.6] years). Psychotic experiences were genetically correlated with major depressive disorder, schizophrenia, autism spectrum disorder, and attention-deficit/hyperactivity disorder. Analyses of polygenic risk scores identified associations between psychotic experiences and genetic liability for major depressive disorder, schizophrenia, bipolar disorder, autism spectrum disorder, and attention-deficit/hyperactivity disorder. Individuals reporting psychotic experiences had an increased burden of copy number variations previously associated with schizophrenia (odds ratio [OR], 2.04; 95% CI, 1.39-2.98; P = 2.49 × 10-4) and neurodevelopmental disorders more widely (OR, 1.75; 95% CI, 1.24-2.48; P = 1.41 × 10-3). Genome-wide association studies identified 4 significantly associated loci, including a locus in Ankyrin-3 (ANK3 [GenBank NM_020987]) (OR, 1.16; 95% CI, 1.10-1.23; P = 3.06 × 10-8) with any psychotic experience, and a locus in cannabinoid receptor 2 gene (CNR2 [GenBank NM_001841]) (OR, 0.66; 95% CI, 0.56-0.78; P = 3.78 × 10-8) with distressing psychotic experiences. The genome-wide association study of any psychotic experience had a low single-nucleotide polymorphism-based heritability estimate (h2 = 1.71%; 95% CI, 1.02%-2.40%).\nCONCLUSIONS AND RELEVANCE: A large genetic association study of psychotic experiences from the population-based UK Biobank sample found support for a shared genetic liability between psychotic experiences and schizophrenia, major depressive disorder, bipolar disorder, and neurodevelopmental disorders.","container-title":"JAMA psychiatry","DOI":"10.1001/jamapsychiatry.2019.2508","ISSN":"2168-6238","issue":"12","journalAbbreviation":"JAMA Psychiatry","language":"eng","note":"PMID: 31553412\nPMCID: PMC6764002","page":"1256-1265","source":"PubMed","title":"Association of Genetic Liability to Psychotic Experiences With Neuropsychotic Disorders and Traits","volume":"76","author":[{"family":"Legge","given":"Sophie E."},{"family":"Jones","given":"Hannah J."},{"family":"Kendall","given":"Kimberley M."},{"family":"Pardiñas","given":"Antonio F."},{"family":"Menzies","given":"Georgina"},{"family":"Bracher-Smith","given":"Matthew"},{"family":"Escott-Price","given":"Valentina"},{"family":"Rees","given":"Elliott"},{"family":"Davis","given":"Katrina A. S."},{"family":"Hotopf","given":"Matthew"},{"family":"Savage","given":"Jeanne E."},{"family":"Posthuma","given":"Danielle"},{"family":"Holmans","given":"Peter"},{"family":"Kirov","given":"George"},{"family":"Owen","given":"Michael J."},{"family":"O'Donovan","given":"Michael C."},{"family":"Zammit","given":"Stanley"},{"family":"Walters","given":"James T. R."}],"issued":{"date-parts":[["2019",12,1]]}}}],"schema":"https://github.com/citation-style-language/schema/raw/master/csl-citation.json"} </w:instrText>
            </w:r>
            <w:r>
              <w:fldChar w:fldCharType="separate"/>
            </w:r>
            <w:r w:rsidR="009B7C37" w:rsidRPr="009B7C37">
              <w:rPr>
                <w:rFonts w:ascii="Calibri" w:hAnsi="Calibri" w:cs="Calibri"/>
                <w:szCs w:val="24"/>
                <w:vertAlign w:val="superscript"/>
              </w:rPr>
              <w:t>30</w:t>
            </w:r>
            <w:r>
              <w:fldChar w:fldCharType="end"/>
            </w:r>
          </w:p>
        </w:tc>
      </w:tr>
    </w:tbl>
    <w:p w14:paraId="37623445" w14:textId="52A6DB9A" w:rsidR="00C06C36" w:rsidRDefault="00C06C36" w:rsidP="00D837AD">
      <w:pPr>
        <w:rPr>
          <w:b/>
          <w:bCs/>
        </w:rPr>
      </w:pPr>
    </w:p>
    <w:p w14:paraId="6643785D" w14:textId="77777777" w:rsidR="002C1771" w:rsidRDefault="002C1771" w:rsidP="00D837AD">
      <w:pPr>
        <w:rPr>
          <w:b/>
          <w:bCs/>
        </w:rPr>
      </w:pPr>
    </w:p>
    <w:p w14:paraId="3B99EF47" w14:textId="77777777" w:rsidR="00E950E1" w:rsidRDefault="00E950E1">
      <w:pPr>
        <w:rPr>
          <w:b/>
          <w:bCs/>
        </w:rPr>
      </w:pPr>
      <w:r>
        <w:rPr>
          <w:b/>
          <w:bCs/>
        </w:rPr>
        <w:br w:type="page"/>
      </w:r>
    </w:p>
    <w:p w14:paraId="7D5D564F" w14:textId="1BD60EF3" w:rsidR="00D837AD" w:rsidRPr="00244CEA" w:rsidRDefault="00D837AD" w:rsidP="00D837AD">
      <w:pPr>
        <w:rPr>
          <w:b/>
          <w:bCs/>
        </w:rPr>
      </w:pPr>
      <w:r w:rsidRPr="00244CEA">
        <w:rPr>
          <w:b/>
          <w:bCs/>
        </w:rPr>
        <w:lastRenderedPageBreak/>
        <w:t>Table S</w:t>
      </w:r>
      <w:r w:rsidR="00C93F37">
        <w:rPr>
          <w:b/>
          <w:bCs/>
        </w:rPr>
        <w:t>2</w:t>
      </w:r>
      <w:r w:rsidRPr="00244CEA">
        <w:rPr>
          <w:b/>
          <w:bCs/>
        </w:rPr>
        <w:t>. Classification of Schizophrenia</w:t>
      </w:r>
      <w:r w:rsidR="00244CEA" w:rsidRPr="00244CEA">
        <w:rPr>
          <w:b/>
          <w:bCs/>
        </w:rPr>
        <w:t xml:space="preserve"> by</w:t>
      </w:r>
      <w:r w:rsidRPr="00244CEA">
        <w:rPr>
          <w:b/>
          <w:bCs/>
        </w:rPr>
        <w:t xml:space="preserve"> Regression Model</w:t>
      </w:r>
      <w:r w:rsidR="00244CEA" w:rsidRPr="00244CEA">
        <w:rPr>
          <w:b/>
          <w:bCs/>
        </w:rPr>
        <w:t>s</w:t>
      </w:r>
    </w:p>
    <w:tbl>
      <w:tblPr>
        <w:tblW w:w="13180" w:type="dxa"/>
        <w:tblLook w:val="04A0" w:firstRow="1" w:lastRow="0" w:firstColumn="1" w:lastColumn="0" w:noHBand="0" w:noVBand="1"/>
      </w:tblPr>
      <w:tblGrid>
        <w:gridCol w:w="1000"/>
        <w:gridCol w:w="1000"/>
        <w:gridCol w:w="2680"/>
        <w:gridCol w:w="1700"/>
        <w:gridCol w:w="1700"/>
        <w:gridCol w:w="1700"/>
        <w:gridCol w:w="1700"/>
        <w:gridCol w:w="1700"/>
      </w:tblGrid>
      <w:tr w:rsidR="00D837AD" w:rsidRPr="00FF731C" w14:paraId="7C402EBF" w14:textId="77777777" w:rsidTr="007B26B8">
        <w:trPr>
          <w:trHeight w:val="288"/>
        </w:trPr>
        <w:tc>
          <w:tcPr>
            <w:tcW w:w="1000" w:type="dxa"/>
            <w:tcBorders>
              <w:top w:val="single" w:sz="4" w:space="0" w:color="auto"/>
              <w:left w:val="nil"/>
              <w:bottom w:val="single" w:sz="4" w:space="0" w:color="auto"/>
              <w:right w:val="nil"/>
            </w:tcBorders>
            <w:shd w:val="clear" w:color="auto" w:fill="BFBFBF" w:themeFill="background1" w:themeFillShade="BF"/>
            <w:noWrap/>
            <w:vAlign w:val="bottom"/>
            <w:hideMark/>
          </w:tcPr>
          <w:p w14:paraId="00C51E32"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Model</w:t>
            </w:r>
          </w:p>
        </w:tc>
        <w:tc>
          <w:tcPr>
            <w:tcW w:w="1000" w:type="dxa"/>
            <w:tcBorders>
              <w:top w:val="single" w:sz="4" w:space="0" w:color="auto"/>
              <w:left w:val="nil"/>
              <w:bottom w:val="single" w:sz="4" w:space="0" w:color="auto"/>
              <w:right w:val="nil"/>
            </w:tcBorders>
            <w:shd w:val="clear" w:color="auto" w:fill="BFBFBF" w:themeFill="background1" w:themeFillShade="BF"/>
            <w:noWrap/>
            <w:vAlign w:val="bottom"/>
            <w:hideMark/>
          </w:tcPr>
          <w:p w14:paraId="252423A1" w14:textId="77777777" w:rsidR="00D837AD" w:rsidRPr="00FF731C" w:rsidRDefault="00D837AD" w:rsidP="00A23EB7">
            <w:pPr>
              <w:spacing w:after="0" w:line="240" w:lineRule="auto"/>
              <w:rPr>
                <w:rFonts w:eastAsia="Times New Roman" w:cstheme="minorHAnsi"/>
                <w:b/>
                <w:bCs/>
                <w:color w:val="000000"/>
              </w:rPr>
            </w:pPr>
            <w:r w:rsidRPr="00FF731C">
              <w:rPr>
                <w:rFonts w:eastAsia="Times New Roman" w:cstheme="minorHAnsi"/>
                <w:b/>
                <w:bCs/>
                <w:color w:val="000000"/>
              </w:rPr>
              <w:t>Class</w:t>
            </w:r>
          </w:p>
        </w:tc>
        <w:tc>
          <w:tcPr>
            <w:tcW w:w="2680" w:type="dxa"/>
            <w:tcBorders>
              <w:top w:val="single" w:sz="4" w:space="0" w:color="auto"/>
              <w:left w:val="nil"/>
              <w:bottom w:val="single" w:sz="4" w:space="0" w:color="auto"/>
              <w:right w:val="nil"/>
            </w:tcBorders>
            <w:shd w:val="clear" w:color="auto" w:fill="BFBFBF" w:themeFill="background1" w:themeFillShade="BF"/>
            <w:noWrap/>
            <w:vAlign w:val="bottom"/>
            <w:hideMark/>
          </w:tcPr>
          <w:p w14:paraId="7677AB8E"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Variables in model</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67FD6AA5"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ACC</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7FF12E81"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AUC</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629200A6"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Precision</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162FCED4"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Recall</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431E4B6B" w14:textId="77777777" w:rsidR="00D837AD" w:rsidRPr="00FF731C" w:rsidRDefault="00D837AD" w:rsidP="00A23EB7">
            <w:pPr>
              <w:spacing w:after="0" w:line="240" w:lineRule="auto"/>
              <w:rPr>
                <w:rFonts w:ascii="Calibri" w:eastAsia="Times New Roman" w:hAnsi="Calibri" w:cs="Calibri"/>
                <w:b/>
                <w:bCs/>
                <w:color w:val="000000"/>
              </w:rPr>
            </w:pPr>
            <w:r w:rsidRPr="00FF731C">
              <w:rPr>
                <w:rFonts w:ascii="Calibri" w:eastAsia="Times New Roman" w:hAnsi="Calibri" w:cs="Calibri"/>
                <w:b/>
                <w:bCs/>
                <w:color w:val="000000"/>
              </w:rPr>
              <w:t>F1-score</w:t>
            </w:r>
          </w:p>
        </w:tc>
      </w:tr>
      <w:tr w:rsidR="00370DD5" w:rsidRPr="00FF731C" w14:paraId="7CDFF5E7" w14:textId="77777777" w:rsidTr="00EF59E1">
        <w:trPr>
          <w:trHeight w:val="288"/>
        </w:trPr>
        <w:tc>
          <w:tcPr>
            <w:tcW w:w="1000" w:type="dxa"/>
            <w:tcBorders>
              <w:top w:val="single" w:sz="4" w:space="0" w:color="auto"/>
              <w:left w:val="nil"/>
              <w:bottom w:val="nil"/>
              <w:right w:val="nil"/>
            </w:tcBorders>
            <w:shd w:val="clear" w:color="auto" w:fill="auto"/>
            <w:noWrap/>
            <w:vAlign w:val="bottom"/>
            <w:hideMark/>
          </w:tcPr>
          <w:p w14:paraId="454E3E49" w14:textId="1C6C6A6D" w:rsidR="00370DD5" w:rsidRPr="00FF731C" w:rsidRDefault="00370DD5" w:rsidP="00370DD5">
            <w:pPr>
              <w:spacing w:after="0" w:line="240" w:lineRule="auto"/>
              <w:rPr>
                <w:rFonts w:ascii="Calibri" w:eastAsia="Times New Roman" w:hAnsi="Calibri" w:cs="Calibri"/>
                <w:color w:val="000000"/>
              </w:rPr>
            </w:pPr>
            <w:r w:rsidRPr="00FF731C">
              <w:rPr>
                <w:rFonts w:ascii="Calibri" w:eastAsia="Times New Roman" w:hAnsi="Calibri" w:cs="Calibri"/>
                <w:color w:val="000000"/>
              </w:rPr>
              <w:t>B.I</w:t>
            </w:r>
            <w:r>
              <w:rPr>
                <w:rFonts w:ascii="Calibri" w:eastAsia="Times New Roman" w:hAnsi="Calibri" w:cs="Calibri"/>
                <w:color w:val="000000"/>
              </w:rPr>
              <w:t>.SCZ</w:t>
            </w:r>
          </w:p>
        </w:tc>
        <w:tc>
          <w:tcPr>
            <w:tcW w:w="1000" w:type="dxa"/>
            <w:tcBorders>
              <w:top w:val="single" w:sz="4" w:space="0" w:color="auto"/>
              <w:left w:val="nil"/>
              <w:bottom w:val="nil"/>
              <w:right w:val="nil"/>
            </w:tcBorders>
            <w:shd w:val="clear" w:color="auto" w:fill="auto"/>
            <w:noWrap/>
            <w:vAlign w:val="bottom"/>
            <w:hideMark/>
          </w:tcPr>
          <w:p w14:paraId="65B85BBF" w14:textId="77777777" w:rsidR="00370DD5" w:rsidRPr="00FF731C" w:rsidRDefault="00370DD5" w:rsidP="00370DD5">
            <w:pPr>
              <w:spacing w:after="0" w:line="240" w:lineRule="auto"/>
              <w:rPr>
                <w:rFonts w:eastAsia="Times New Roman" w:cstheme="minorHAnsi"/>
                <w:color w:val="000000"/>
              </w:rPr>
            </w:pPr>
            <w:r w:rsidRPr="00FF731C">
              <w:rPr>
                <w:rFonts w:eastAsia="Times New Roman" w:cstheme="minorHAnsi"/>
                <w:color w:val="000000"/>
              </w:rPr>
              <w:t>CTRL</w:t>
            </w:r>
          </w:p>
        </w:tc>
        <w:tc>
          <w:tcPr>
            <w:tcW w:w="2680" w:type="dxa"/>
            <w:tcBorders>
              <w:top w:val="nil"/>
              <w:left w:val="nil"/>
              <w:bottom w:val="nil"/>
              <w:right w:val="nil"/>
            </w:tcBorders>
            <w:shd w:val="clear" w:color="auto" w:fill="auto"/>
            <w:noWrap/>
            <w:hideMark/>
          </w:tcPr>
          <w:p w14:paraId="6CA4976F" w14:textId="57F49912" w:rsidR="00370DD5" w:rsidRPr="00FF731C" w:rsidRDefault="00370DD5" w:rsidP="00370DD5">
            <w:pPr>
              <w:spacing w:after="0" w:line="240" w:lineRule="auto"/>
              <w:rPr>
                <w:rFonts w:ascii="Calibri" w:eastAsia="Times New Roman" w:hAnsi="Calibri" w:cs="Calibri"/>
                <w:color w:val="000000"/>
              </w:rPr>
            </w:pPr>
            <w:r w:rsidRPr="00E15034">
              <w:t>SCZ bestPRS</w:t>
            </w:r>
            <w:r>
              <w:t>, sex</w:t>
            </w:r>
          </w:p>
        </w:tc>
        <w:tc>
          <w:tcPr>
            <w:tcW w:w="1700" w:type="dxa"/>
            <w:tcBorders>
              <w:top w:val="nil"/>
              <w:left w:val="nil"/>
              <w:bottom w:val="nil"/>
              <w:right w:val="nil"/>
            </w:tcBorders>
            <w:shd w:val="clear" w:color="auto" w:fill="auto"/>
            <w:noWrap/>
            <w:vAlign w:val="bottom"/>
            <w:hideMark/>
          </w:tcPr>
          <w:p w14:paraId="0152707E" w14:textId="08688750"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xml:space="preserve">0.868 </w:t>
            </w:r>
            <w:r w:rsidRPr="00AD7085">
              <w:t>±</w:t>
            </w:r>
            <w:r>
              <w:rPr>
                <w:rFonts w:ascii="Calibri" w:hAnsi="Calibri" w:cs="Calibri"/>
                <w:color w:val="000000"/>
              </w:rPr>
              <w:t xml:space="preserve"> 0.000</w:t>
            </w:r>
          </w:p>
        </w:tc>
        <w:tc>
          <w:tcPr>
            <w:tcW w:w="1700" w:type="dxa"/>
            <w:tcBorders>
              <w:top w:val="nil"/>
              <w:left w:val="nil"/>
              <w:bottom w:val="nil"/>
              <w:right w:val="nil"/>
            </w:tcBorders>
            <w:shd w:val="clear" w:color="auto" w:fill="auto"/>
            <w:noWrap/>
            <w:vAlign w:val="bottom"/>
            <w:hideMark/>
          </w:tcPr>
          <w:p w14:paraId="52B24C4B" w14:textId="1382AE48"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xml:space="preserve">0.927 </w:t>
            </w:r>
            <w:r w:rsidRPr="00AD7085">
              <w:t>±</w:t>
            </w:r>
            <w:r>
              <w:rPr>
                <w:rFonts w:ascii="Calibri" w:hAnsi="Calibri" w:cs="Calibri"/>
                <w:color w:val="000000"/>
              </w:rPr>
              <w:t xml:space="preserve"> 0.000</w:t>
            </w:r>
          </w:p>
        </w:tc>
        <w:tc>
          <w:tcPr>
            <w:tcW w:w="1700" w:type="dxa"/>
            <w:tcBorders>
              <w:top w:val="nil"/>
              <w:left w:val="nil"/>
              <w:bottom w:val="nil"/>
              <w:right w:val="nil"/>
            </w:tcBorders>
            <w:shd w:val="clear" w:color="auto" w:fill="auto"/>
            <w:noWrap/>
            <w:vAlign w:val="bottom"/>
            <w:hideMark/>
          </w:tcPr>
          <w:p w14:paraId="1D25ADC5" w14:textId="36B7C997"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0.882 ± 0.000</w:t>
            </w:r>
          </w:p>
        </w:tc>
        <w:tc>
          <w:tcPr>
            <w:tcW w:w="1700" w:type="dxa"/>
            <w:tcBorders>
              <w:top w:val="nil"/>
              <w:left w:val="nil"/>
              <w:bottom w:val="nil"/>
              <w:right w:val="nil"/>
            </w:tcBorders>
            <w:shd w:val="clear" w:color="auto" w:fill="auto"/>
            <w:noWrap/>
            <w:vAlign w:val="bottom"/>
            <w:hideMark/>
          </w:tcPr>
          <w:p w14:paraId="4988194F" w14:textId="6E0F5D5F"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0.869 ± 0.001</w:t>
            </w:r>
          </w:p>
        </w:tc>
        <w:tc>
          <w:tcPr>
            <w:tcW w:w="1700" w:type="dxa"/>
            <w:tcBorders>
              <w:top w:val="nil"/>
              <w:left w:val="nil"/>
              <w:bottom w:val="nil"/>
              <w:right w:val="nil"/>
            </w:tcBorders>
            <w:shd w:val="clear" w:color="auto" w:fill="auto"/>
            <w:noWrap/>
            <w:vAlign w:val="bottom"/>
            <w:hideMark/>
          </w:tcPr>
          <w:p w14:paraId="053FD521" w14:textId="240FCAD5"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0.876 ± 0.001</w:t>
            </w:r>
          </w:p>
        </w:tc>
      </w:tr>
      <w:tr w:rsidR="00370DD5" w:rsidRPr="00FF731C" w14:paraId="21054CA4" w14:textId="77777777" w:rsidTr="00EF59E1">
        <w:trPr>
          <w:trHeight w:val="288"/>
        </w:trPr>
        <w:tc>
          <w:tcPr>
            <w:tcW w:w="1000" w:type="dxa"/>
            <w:tcBorders>
              <w:top w:val="nil"/>
              <w:left w:val="nil"/>
              <w:bottom w:val="single" w:sz="4" w:space="0" w:color="auto"/>
              <w:right w:val="nil"/>
            </w:tcBorders>
            <w:shd w:val="clear" w:color="auto" w:fill="auto"/>
            <w:noWrap/>
            <w:vAlign w:val="bottom"/>
            <w:hideMark/>
          </w:tcPr>
          <w:p w14:paraId="36E9917C" w14:textId="1979D71C" w:rsidR="00370DD5" w:rsidRPr="00FF731C" w:rsidRDefault="00370DD5" w:rsidP="00370DD5">
            <w:pPr>
              <w:spacing w:after="0" w:line="240" w:lineRule="auto"/>
              <w:rPr>
                <w:rFonts w:ascii="Calibri" w:eastAsia="Times New Roman" w:hAnsi="Calibri" w:cs="Calibri"/>
                <w:color w:val="000000"/>
              </w:rPr>
            </w:pPr>
          </w:p>
        </w:tc>
        <w:tc>
          <w:tcPr>
            <w:tcW w:w="1000" w:type="dxa"/>
            <w:tcBorders>
              <w:top w:val="nil"/>
              <w:left w:val="nil"/>
              <w:bottom w:val="single" w:sz="4" w:space="0" w:color="auto"/>
              <w:right w:val="nil"/>
            </w:tcBorders>
            <w:shd w:val="clear" w:color="auto" w:fill="auto"/>
            <w:noWrap/>
            <w:vAlign w:val="bottom"/>
            <w:hideMark/>
          </w:tcPr>
          <w:p w14:paraId="397F118C" w14:textId="77777777" w:rsidR="00370DD5" w:rsidRPr="00FF731C" w:rsidRDefault="00370DD5" w:rsidP="00370DD5">
            <w:pPr>
              <w:spacing w:after="0" w:line="240" w:lineRule="auto"/>
              <w:rPr>
                <w:rFonts w:eastAsia="Times New Roman" w:cstheme="minorHAnsi"/>
              </w:rPr>
            </w:pPr>
            <w:r w:rsidRPr="00FF731C">
              <w:rPr>
                <w:rFonts w:eastAsia="Times New Roman" w:cstheme="minorHAnsi"/>
              </w:rPr>
              <w:t>SCZ</w:t>
            </w:r>
          </w:p>
        </w:tc>
        <w:tc>
          <w:tcPr>
            <w:tcW w:w="2680" w:type="dxa"/>
            <w:tcBorders>
              <w:top w:val="nil"/>
              <w:left w:val="nil"/>
              <w:bottom w:val="single" w:sz="4" w:space="0" w:color="auto"/>
              <w:right w:val="nil"/>
            </w:tcBorders>
            <w:shd w:val="clear" w:color="auto" w:fill="auto"/>
            <w:noWrap/>
            <w:hideMark/>
          </w:tcPr>
          <w:p w14:paraId="5AD0F6FB" w14:textId="3F2F6855" w:rsidR="00370DD5" w:rsidRPr="00FF731C" w:rsidRDefault="00370DD5" w:rsidP="00370DD5">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1D9FF432" w14:textId="0CE514B7"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1C67E30E" w14:textId="4B5860F5"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587E4F19" w14:textId="61D15D9C"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0.852 ± 0.013</w:t>
            </w:r>
          </w:p>
        </w:tc>
        <w:tc>
          <w:tcPr>
            <w:tcW w:w="1700" w:type="dxa"/>
            <w:tcBorders>
              <w:top w:val="nil"/>
              <w:left w:val="nil"/>
              <w:bottom w:val="single" w:sz="4" w:space="0" w:color="auto"/>
              <w:right w:val="nil"/>
            </w:tcBorders>
            <w:shd w:val="clear" w:color="auto" w:fill="auto"/>
            <w:noWrap/>
            <w:vAlign w:val="bottom"/>
            <w:hideMark/>
          </w:tcPr>
          <w:p w14:paraId="00AD6913" w14:textId="1BB3D5F6"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0.867 ± 0.001</w:t>
            </w:r>
          </w:p>
        </w:tc>
        <w:tc>
          <w:tcPr>
            <w:tcW w:w="1700" w:type="dxa"/>
            <w:tcBorders>
              <w:top w:val="nil"/>
              <w:left w:val="nil"/>
              <w:bottom w:val="single" w:sz="4" w:space="0" w:color="auto"/>
              <w:right w:val="nil"/>
            </w:tcBorders>
            <w:shd w:val="clear" w:color="auto" w:fill="auto"/>
            <w:noWrap/>
            <w:vAlign w:val="bottom"/>
            <w:hideMark/>
          </w:tcPr>
          <w:p w14:paraId="17A49C1A" w14:textId="47B6D4FE"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0.859 ± 0.007</w:t>
            </w:r>
          </w:p>
        </w:tc>
      </w:tr>
      <w:tr w:rsidR="00370DD5" w:rsidRPr="00FF731C" w14:paraId="5BA034A8" w14:textId="77777777" w:rsidTr="00EF59E1">
        <w:trPr>
          <w:trHeight w:val="288"/>
        </w:trPr>
        <w:tc>
          <w:tcPr>
            <w:tcW w:w="1000" w:type="dxa"/>
            <w:tcBorders>
              <w:top w:val="single" w:sz="4" w:space="0" w:color="auto"/>
              <w:left w:val="nil"/>
              <w:bottom w:val="nil"/>
              <w:right w:val="nil"/>
            </w:tcBorders>
            <w:shd w:val="clear" w:color="auto" w:fill="auto"/>
            <w:noWrap/>
            <w:vAlign w:val="bottom"/>
            <w:hideMark/>
          </w:tcPr>
          <w:p w14:paraId="635A0196" w14:textId="55D48688" w:rsidR="00370DD5" w:rsidRPr="00FF731C" w:rsidRDefault="00370DD5" w:rsidP="00370DD5">
            <w:pPr>
              <w:spacing w:after="0" w:line="240" w:lineRule="auto"/>
              <w:rPr>
                <w:rFonts w:ascii="Calibri" w:eastAsia="Times New Roman" w:hAnsi="Calibri" w:cs="Calibri"/>
                <w:color w:val="000000"/>
              </w:rPr>
            </w:pPr>
            <w:r>
              <w:rPr>
                <w:rFonts w:ascii="Calibri" w:eastAsia="Times New Roman" w:hAnsi="Calibri" w:cs="Calibri"/>
                <w:color w:val="000000"/>
              </w:rPr>
              <w:t>B.II.SCZ</w:t>
            </w:r>
          </w:p>
        </w:tc>
        <w:tc>
          <w:tcPr>
            <w:tcW w:w="1000" w:type="dxa"/>
            <w:tcBorders>
              <w:top w:val="single" w:sz="4" w:space="0" w:color="auto"/>
              <w:left w:val="nil"/>
              <w:bottom w:val="nil"/>
              <w:right w:val="nil"/>
            </w:tcBorders>
            <w:shd w:val="clear" w:color="auto" w:fill="auto"/>
            <w:noWrap/>
            <w:vAlign w:val="bottom"/>
            <w:hideMark/>
          </w:tcPr>
          <w:p w14:paraId="0EFBBD10" w14:textId="77777777" w:rsidR="00370DD5" w:rsidRPr="00FF731C" w:rsidRDefault="00370DD5" w:rsidP="00370DD5">
            <w:pPr>
              <w:spacing w:after="0" w:line="240" w:lineRule="auto"/>
              <w:rPr>
                <w:rFonts w:eastAsia="Times New Roman" w:cstheme="minorHAnsi"/>
              </w:rPr>
            </w:pPr>
            <w:r w:rsidRPr="00FF731C">
              <w:rPr>
                <w:rFonts w:eastAsia="Times New Roman" w:cstheme="minorHAnsi"/>
              </w:rPr>
              <w:t>CTRL</w:t>
            </w:r>
          </w:p>
        </w:tc>
        <w:tc>
          <w:tcPr>
            <w:tcW w:w="2680" w:type="dxa"/>
            <w:tcBorders>
              <w:top w:val="nil"/>
              <w:left w:val="nil"/>
              <w:bottom w:val="nil"/>
              <w:right w:val="nil"/>
            </w:tcBorders>
            <w:shd w:val="clear" w:color="auto" w:fill="auto"/>
            <w:noWrap/>
            <w:hideMark/>
          </w:tcPr>
          <w:p w14:paraId="6A90B746" w14:textId="2CBDAE68" w:rsidR="00370DD5" w:rsidRPr="00FF731C" w:rsidRDefault="00370DD5" w:rsidP="00370DD5">
            <w:pPr>
              <w:spacing w:after="0" w:line="240" w:lineRule="auto"/>
              <w:rPr>
                <w:rFonts w:ascii="Calibri" w:eastAsia="Times New Roman" w:hAnsi="Calibri" w:cs="Calibri"/>
                <w:color w:val="000000"/>
              </w:rPr>
            </w:pPr>
            <w:r w:rsidRPr="00E15034">
              <w:t>All 42 bestPRSs</w:t>
            </w:r>
            <w:r>
              <w:t>, sex</w:t>
            </w:r>
          </w:p>
        </w:tc>
        <w:tc>
          <w:tcPr>
            <w:tcW w:w="1700" w:type="dxa"/>
            <w:tcBorders>
              <w:top w:val="nil"/>
              <w:left w:val="nil"/>
              <w:bottom w:val="nil"/>
              <w:right w:val="nil"/>
            </w:tcBorders>
            <w:shd w:val="clear" w:color="auto" w:fill="auto"/>
            <w:noWrap/>
            <w:vAlign w:val="bottom"/>
            <w:hideMark/>
          </w:tcPr>
          <w:p w14:paraId="4CD3D591" w14:textId="47AC6C58"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xml:space="preserve">0.884 </w:t>
            </w:r>
            <w:r w:rsidRPr="00AD7085">
              <w:t>±</w:t>
            </w:r>
            <w:r>
              <w:rPr>
                <w:rFonts w:ascii="Calibri" w:hAnsi="Calibri" w:cs="Calibri"/>
                <w:color w:val="000000"/>
              </w:rPr>
              <w:t xml:space="preserve"> 0.002</w:t>
            </w:r>
          </w:p>
        </w:tc>
        <w:tc>
          <w:tcPr>
            <w:tcW w:w="1700" w:type="dxa"/>
            <w:tcBorders>
              <w:top w:val="nil"/>
              <w:left w:val="nil"/>
              <w:bottom w:val="nil"/>
              <w:right w:val="nil"/>
            </w:tcBorders>
            <w:shd w:val="clear" w:color="auto" w:fill="auto"/>
            <w:noWrap/>
            <w:vAlign w:val="bottom"/>
            <w:hideMark/>
          </w:tcPr>
          <w:p w14:paraId="75B4ED0C" w14:textId="2BDCAAB1"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xml:space="preserve">0.955 </w:t>
            </w:r>
            <w:r w:rsidRPr="00AD7085">
              <w:t>±</w:t>
            </w:r>
            <w:r>
              <w:rPr>
                <w:rFonts w:ascii="Calibri" w:hAnsi="Calibri" w:cs="Calibri"/>
                <w:color w:val="000000"/>
              </w:rPr>
              <w:t xml:space="preserve"> 0.000</w:t>
            </w:r>
          </w:p>
        </w:tc>
        <w:tc>
          <w:tcPr>
            <w:tcW w:w="1700" w:type="dxa"/>
            <w:tcBorders>
              <w:top w:val="nil"/>
              <w:left w:val="nil"/>
              <w:bottom w:val="nil"/>
              <w:right w:val="nil"/>
            </w:tcBorders>
            <w:shd w:val="clear" w:color="auto" w:fill="auto"/>
            <w:noWrap/>
            <w:vAlign w:val="bottom"/>
            <w:hideMark/>
          </w:tcPr>
          <w:p w14:paraId="38F6C93D" w14:textId="1419766E"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0.895 ± 0.003</w:t>
            </w:r>
          </w:p>
        </w:tc>
        <w:tc>
          <w:tcPr>
            <w:tcW w:w="1700" w:type="dxa"/>
            <w:tcBorders>
              <w:top w:val="nil"/>
              <w:left w:val="nil"/>
              <w:bottom w:val="nil"/>
              <w:right w:val="nil"/>
            </w:tcBorders>
            <w:shd w:val="clear" w:color="auto" w:fill="auto"/>
            <w:noWrap/>
            <w:vAlign w:val="bottom"/>
            <w:hideMark/>
          </w:tcPr>
          <w:p w14:paraId="6E9307F1" w14:textId="6BE51438"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0.887 ± 0.002</w:t>
            </w:r>
          </w:p>
        </w:tc>
        <w:tc>
          <w:tcPr>
            <w:tcW w:w="1700" w:type="dxa"/>
            <w:tcBorders>
              <w:top w:val="nil"/>
              <w:left w:val="nil"/>
              <w:bottom w:val="nil"/>
              <w:right w:val="nil"/>
            </w:tcBorders>
            <w:shd w:val="clear" w:color="auto" w:fill="auto"/>
            <w:noWrap/>
            <w:vAlign w:val="bottom"/>
            <w:hideMark/>
          </w:tcPr>
          <w:p w14:paraId="19A4A024" w14:textId="5D8A30BB"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0.891 ± 0.001</w:t>
            </w:r>
          </w:p>
        </w:tc>
      </w:tr>
      <w:tr w:rsidR="00370DD5" w:rsidRPr="00FF731C" w14:paraId="3AE2B94B" w14:textId="77777777" w:rsidTr="00EF59E1">
        <w:trPr>
          <w:trHeight w:val="288"/>
        </w:trPr>
        <w:tc>
          <w:tcPr>
            <w:tcW w:w="1000" w:type="dxa"/>
            <w:tcBorders>
              <w:top w:val="nil"/>
              <w:left w:val="nil"/>
              <w:bottom w:val="single" w:sz="4" w:space="0" w:color="auto"/>
              <w:right w:val="nil"/>
            </w:tcBorders>
            <w:shd w:val="clear" w:color="auto" w:fill="auto"/>
            <w:noWrap/>
            <w:vAlign w:val="bottom"/>
            <w:hideMark/>
          </w:tcPr>
          <w:p w14:paraId="2C10F7FC" w14:textId="08DA916B" w:rsidR="00370DD5" w:rsidRPr="00FF731C" w:rsidRDefault="00370DD5" w:rsidP="00370DD5">
            <w:pPr>
              <w:spacing w:after="0" w:line="240" w:lineRule="auto"/>
              <w:rPr>
                <w:rFonts w:ascii="Calibri" w:eastAsia="Times New Roman" w:hAnsi="Calibri" w:cs="Calibri"/>
                <w:color w:val="000000"/>
              </w:rPr>
            </w:pPr>
          </w:p>
        </w:tc>
        <w:tc>
          <w:tcPr>
            <w:tcW w:w="1000" w:type="dxa"/>
            <w:tcBorders>
              <w:top w:val="nil"/>
              <w:left w:val="nil"/>
              <w:bottom w:val="single" w:sz="4" w:space="0" w:color="auto"/>
              <w:right w:val="nil"/>
            </w:tcBorders>
            <w:shd w:val="clear" w:color="auto" w:fill="auto"/>
            <w:noWrap/>
            <w:vAlign w:val="bottom"/>
            <w:hideMark/>
          </w:tcPr>
          <w:p w14:paraId="2206480E" w14:textId="77777777" w:rsidR="00370DD5" w:rsidRPr="00FF731C" w:rsidRDefault="00370DD5" w:rsidP="00370DD5">
            <w:pPr>
              <w:spacing w:after="0" w:line="240" w:lineRule="auto"/>
              <w:rPr>
                <w:rFonts w:eastAsia="Times New Roman" w:cstheme="minorHAnsi"/>
              </w:rPr>
            </w:pPr>
            <w:r w:rsidRPr="00FF731C">
              <w:rPr>
                <w:rFonts w:eastAsia="Times New Roman" w:cstheme="minorHAnsi"/>
              </w:rPr>
              <w:t>SCZ</w:t>
            </w:r>
          </w:p>
        </w:tc>
        <w:tc>
          <w:tcPr>
            <w:tcW w:w="2680" w:type="dxa"/>
            <w:tcBorders>
              <w:top w:val="nil"/>
              <w:left w:val="nil"/>
              <w:bottom w:val="single" w:sz="4" w:space="0" w:color="auto"/>
              <w:right w:val="nil"/>
            </w:tcBorders>
            <w:shd w:val="clear" w:color="auto" w:fill="auto"/>
            <w:noWrap/>
            <w:hideMark/>
          </w:tcPr>
          <w:p w14:paraId="6606FBD4" w14:textId="7B429E44" w:rsidR="00370DD5" w:rsidRPr="00FF731C" w:rsidRDefault="00370DD5" w:rsidP="00370DD5">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34F7DD71" w14:textId="197C6D12"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23F70155" w14:textId="55711E09"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55FAE614" w14:textId="05ADF9C1"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0.872 ± 0.002</w:t>
            </w:r>
          </w:p>
        </w:tc>
        <w:tc>
          <w:tcPr>
            <w:tcW w:w="1700" w:type="dxa"/>
            <w:tcBorders>
              <w:top w:val="nil"/>
              <w:left w:val="nil"/>
              <w:bottom w:val="single" w:sz="4" w:space="0" w:color="auto"/>
              <w:right w:val="nil"/>
            </w:tcBorders>
            <w:shd w:val="clear" w:color="auto" w:fill="auto"/>
            <w:noWrap/>
            <w:vAlign w:val="bottom"/>
            <w:hideMark/>
          </w:tcPr>
          <w:p w14:paraId="1559830E" w14:textId="52CE4799"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0.881 ± 0.003</w:t>
            </w:r>
          </w:p>
        </w:tc>
        <w:tc>
          <w:tcPr>
            <w:tcW w:w="1700" w:type="dxa"/>
            <w:tcBorders>
              <w:top w:val="nil"/>
              <w:left w:val="nil"/>
              <w:bottom w:val="single" w:sz="4" w:space="0" w:color="auto"/>
              <w:right w:val="nil"/>
            </w:tcBorders>
            <w:shd w:val="clear" w:color="auto" w:fill="auto"/>
            <w:noWrap/>
            <w:vAlign w:val="bottom"/>
            <w:hideMark/>
          </w:tcPr>
          <w:p w14:paraId="2605783E" w14:textId="0F03FF87"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0.876 ± 0.002</w:t>
            </w:r>
          </w:p>
        </w:tc>
      </w:tr>
      <w:tr w:rsidR="00370DD5" w:rsidRPr="00FF731C" w14:paraId="6336C698" w14:textId="77777777" w:rsidTr="00EF59E1">
        <w:trPr>
          <w:trHeight w:val="288"/>
        </w:trPr>
        <w:tc>
          <w:tcPr>
            <w:tcW w:w="1000" w:type="dxa"/>
            <w:tcBorders>
              <w:top w:val="single" w:sz="4" w:space="0" w:color="auto"/>
              <w:left w:val="nil"/>
              <w:bottom w:val="nil"/>
              <w:right w:val="nil"/>
            </w:tcBorders>
            <w:shd w:val="clear" w:color="auto" w:fill="auto"/>
            <w:noWrap/>
            <w:vAlign w:val="bottom"/>
            <w:hideMark/>
          </w:tcPr>
          <w:p w14:paraId="26EB32C3" w14:textId="23EF2A58" w:rsidR="00370DD5" w:rsidRPr="00FF731C" w:rsidRDefault="00370DD5" w:rsidP="00370DD5">
            <w:pPr>
              <w:spacing w:after="0" w:line="240" w:lineRule="auto"/>
              <w:rPr>
                <w:rFonts w:ascii="Calibri" w:eastAsia="Times New Roman" w:hAnsi="Calibri" w:cs="Calibri"/>
                <w:color w:val="000000"/>
              </w:rPr>
            </w:pPr>
            <w:r>
              <w:rPr>
                <w:rFonts w:ascii="Calibri" w:eastAsia="Times New Roman" w:hAnsi="Calibri" w:cs="Calibri"/>
                <w:color w:val="000000"/>
              </w:rPr>
              <w:t>B.III.SCZ</w:t>
            </w:r>
          </w:p>
        </w:tc>
        <w:tc>
          <w:tcPr>
            <w:tcW w:w="1000" w:type="dxa"/>
            <w:tcBorders>
              <w:top w:val="single" w:sz="4" w:space="0" w:color="auto"/>
              <w:left w:val="nil"/>
              <w:bottom w:val="nil"/>
              <w:right w:val="nil"/>
            </w:tcBorders>
            <w:shd w:val="clear" w:color="auto" w:fill="auto"/>
            <w:noWrap/>
            <w:vAlign w:val="bottom"/>
            <w:hideMark/>
          </w:tcPr>
          <w:p w14:paraId="28072561" w14:textId="77777777" w:rsidR="00370DD5" w:rsidRPr="00FF731C" w:rsidRDefault="00370DD5" w:rsidP="00370DD5">
            <w:pPr>
              <w:spacing w:after="0" w:line="240" w:lineRule="auto"/>
              <w:rPr>
                <w:rFonts w:eastAsia="Times New Roman" w:cstheme="minorHAnsi"/>
              </w:rPr>
            </w:pPr>
            <w:r w:rsidRPr="00FF731C">
              <w:rPr>
                <w:rFonts w:eastAsia="Times New Roman" w:cstheme="minorHAnsi"/>
              </w:rPr>
              <w:t>CTRL</w:t>
            </w:r>
          </w:p>
        </w:tc>
        <w:tc>
          <w:tcPr>
            <w:tcW w:w="2680" w:type="dxa"/>
            <w:tcBorders>
              <w:top w:val="nil"/>
              <w:left w:val="nil"/>
              <w:bottom w:val="nil"/>
              <w:right w:val="nil"/>
            </w:tcBorders>
            <w:shd w:val="clear" w:color="auto" w:fill="auto"/>
            <w:noWrap/>
            <w:hideMark/>
          </w:tcPr>
          <w:p w14:paraId="3531B91B" w14:textId="03D899DC" w:rsidR="00370DD5" w:rsidRPr="00FF731C" w:rsidRDefault="00370DD5" w:rsidP="00370DD5">
            <w:pPr>
              <w:spacing w:after="0" w:line="240" w:lineRule="auto"/>
              <w:rPr>
                <w:rFonts w:ascii="Calibri" w:eastAsia="Times New Roman" w:hAnsi="Calibri" w:cs="Calibri"/>
                <w:color w:val="000000"/>
              </w:rPr>
            </w:pPr>
            <w:r w:rsidRPr="00E15034">
              <w:t>All but no SCZ bestPRS</w:t>
            </w:r>
            <w:r>
              <w:t>, sex</w:t>
            </w:r>
          </w:p>
        </w:tc>
        <w:tc>
          <w:tcPr>
            <w:tcW w:w="1700" w:type="dxa"/>
            <w:tcBorders>
              <w:top w:val="nil"/>
              <w:left w:val="nil"/>
              <w:bottom w:val="nil"/>
              <w:right w:val="nil"/>
            </w:tcBorders>
            <w:shd w:val="clear" w:color="auto" w:fill="auto"/>
            <w:noWrap/>
            <w:vAlign w:val="bottom"/>
            <w:hideMark/>
          </w:tcPr>
          <w:p w14:paraId="4F97037F" w14:textId="59811463"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xml:space="preserve">0.734 </w:t>
            </w:r>
            <w:r w:rsidRPr="00AD7085">
              <w:t>±</w:t>
            </w:r>
            <w:r>
              <w:rPr>
                <w:rFonts w:ascii="Calibri" w:hAnsi="Calibri" w:cs="Calibri"/>
                <w:color w:val="000000"/>
              </w:rPr>
              <w:t xml:space="preserve"> 0.001</w:t>
            </w:r>
          </w:p>
        </w:tc>
        <w:tc>
          <w:tcPr>
            <w:tcW w:w="1700" w:type="dxa"/>
            <w:tcBorders>
              <w:top w:val="nil"/>
              <w:left w:val="nil"/>
              <w:bottom w:val="nil"/>
              <w:right w:val="nil"/>
            </w:tcBorders>
            <w:shd w:val="clear" w:color="auto" w:fill="auto"/>
            <w:noWrap/>
            <w:vAlign w:val="bottom"/>
            <w:hideMark/>
          </w:tcPr>
          <w:p w14:paraId="6F6DEBF0" w14:textId="27A8DEB7"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xml:space="preserve">0.812 </w:t>
            </w:r>
            <w:r w:rsidRPr="00AD7085">
              <w:t>±</w:t>
            </w:r>
            <w:r>
              <w:rPr>
                <w:rFonts w:ascii="Calibri" w:hAnsi="Calibri" w:cs="Calibri"/>
                <w:color w:val="000000"/>
              </w:rPr>
              <w:t xml:space="preserve"> 0.001</w:t>
            </w:r>
          </w:p>
        </w:tc>
        <w:tc>
          <w:tcPr>
            <w:tcW w:w="1700" w:type="dxa"/>
            <w:tcBorders>
              <w:top w:val="nil"/>
              <w:left w:val="nil"/>
              <w:bottom w:val="nil"/>
              <w:right w:val="nil"/>
            </w:tcBorders>
            <w:shd w:val="clear" w:color="auto" w:fill="auto"/>
            <w:noWrap/>
            <w:vAlign w:val="bottom"/>
            <w:hideMark/>
          </w:tcPr>
          <w:p w14:paraId="670136FE" w14:textId="3C6FF580"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0.742 ± 0.001</w:t>
            </w:r>
          </w:p>
        </w:tc>
        <w:tc>
          <w:tcPr>
            <w:tcW w:w="1700" w:type="dxa"/>
            <w:tcBorders>
              <w:top w:val="nil"/>
              <w:left w:val="nil"/>
              <w:bottom w:val="nil"/>
              <w:right w:val="nil"/>
            </w:tcBorders>
            <w:shd w:val="clear" w:color="auto" w:fill="auto"/>
            <w:noWrap/>
            <w:vAlign w:val="bottom"/>
            <w:hideMark/>
          </w:tcPr>
          <w:p w14:paraId="34A7A230" w14:textId="1B313D40"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0.769 ± 0.002</w:t>
            </w:r>
          </w:p>
        </w:tc>
        <w:tc>
          <w:tcPr>
            <w:tcW w:w="1700" w:type="dxa"/>
            <w:tcBorders>
              <w:top w:val="nil"/>
              <w:left w:val="nil"/>
              <w:bottom w:val="nil"/>
              <w:right w:val="nil"/>
            </w:tcBorders>
            <w:shd w:val="clear" w:color="auto" w:fill="auto"/>
            <w:noWrap/>
            <w:vAlign w:val="bottom"/>
            <w:hideMark/>
          </w:tcPr>
          <w:p w14:paraId="1E05E534" w14:textId="783A34E0"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0.755 ± 0.001</w:t>
            </w:r>
          </w:p>
        </w:tc>
      </w:tr>
      <w:tr w:rsidR="00370DD5" w:rsidRPr="00FF731C" w14:paraId="08463879" w14:textId="77777777" w:rsidTr="00EF59E1">
        <w:trPr>
          <w:trHeight w:val="288"/>
        </w:trPr>
        <w:tc>
          <w:tcPr>
            <w:tcW w:w="1000" w:type="dxa"/>
            <w:tcBorders>
              <w:top w:val="nil"/>
              <w:left w:val="nil"/>
              <w:bottom w:val="single" w:sz="4" w:space="0" w:color="auto"/>
              <w:right w:val="nil"/>
            </w:tcBorders>
            <w:shd w:val="clear" w:color="auto" w:fill="auto"/>
            <w:noWrap/>
            <w:vAlign w:val="bottom"/>
            <w:hideMark/>
          </w:tcPr>
          <w:p w14:paraId="476D92BB" w14:textId="21601AFD" w:rsidR="00370DD5" w:rsidRPr="00FF731C" w:rsidRDefault="00370DD5" w:rsidP="00370DD5">
            <w:pPr>
              <w:spacing w:after="0" w:line="240" w:lineRule="auto"/>
              <w:rPr>
                <w:rFonts w:ascii="Calibri" w:eastAsia="Times New Roman" w:hAnsi="Calibri" w:cs="Calibri"/>
                <w:color w:val="000000"/>
              </w:rPr>
            </w:pPr>
          </w:p>
        </w:tc>
        <w:tc>
          <w:tcPr>
            <w:tcW w:w="1000" w:type="dxa"/>
            <w:tcBorders>
              <w:top w:val="nil"/>
              <w:left w:val="nil"/>
              <w:bottom w:val="single" w:sz="4" w:space="0" w:color="auto"/>
              <w:right w:val="nil"/>
            </w:tcBorders>
            <w:shd w:val="clear" w:color="auto" w:fill="auto"/>
            <w:noWrap/>
            <w:vAlign w:val="bottom"/>
            <w:hideMark/>
          </w:tcPr>
          <w:p w14:paraId="51A2DDC9" w14:textId="77777777" w:rsidR="00370DD5" w:rsidRPr="00FF731C" w:rsidRDefault="00370DD5" w:rsidP="00370DD5">
            <w:pPr>
              <w:spacing w:after="0" w:line="240" w:lineRule="auto"/>
              <w:rPr>
                <w:rFonts w:eastAsia="Times New Roman" w:cstheme="minorHAnsi"/>
                <w:color w:val="000000"/>
              </w:rPr>
            </w:pPr>
            <w:r w:rsidRPr="00FF731C">
              <w:rPr>
                <w:rFonts w:eastAsia="Times New Roman" w:cstheme="minorHAnsi"/>
                <w:color w:val="000000"/>
              </w:rPr>
              <w:t>SCZ </w:t>
            </w:r>
          </w:p>
        </w:tc>
        <w:tc>
          <w:tcPr>
            <w:tcW w:w="2680" w:type="dxa"/>
            <w:tcBorders>
              <w:top w:val="nil"/>
              <w:left w:val="nil"/>
              <w:bottom w:val="single" w:sz="4" w:space="0" w:color="auto"/>
              <w:right w:val="nil"/>
            </w:tcBorders>
            <w:shd w:val="clear" w:color="auto" w:fill="auto"/>
            <w:noWrap/>
            <w:hideMark/>
          </w:tcPr>
          <w:p w14:paraId="7023374B" w14:textId="7F01D746" w:rsidR="00370DD5" w:rsidRPr="00FF731C" w:rsidRDefault="00370DD5" w:rsidP="00370DD5">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120D18D5" w14:textId="6C0B7D11"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1B7E5C1A" w14:textId="0FC9F395"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59A0182D" w14:textId="7756C587"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0.724 ± 0.002</w:t>
            </w:r>
          </w:p>
        </w:tc>
        <w:tc>
          <w:tcPr>
            <w:tcW w:w="1700" w:type="dxa"/>
            <w:tcBorders>
              <w:top w:val="nil"/>
              <w:left w:val="nil"/>
              <w:bottom w:val="single" w:sz="4" w:space="0" w:color="auto"/>
              <w:right w:val="nil"/>
            </w:tcBorders>
            <w:shd w:val="clear" w:color="auto" w:fill="auto"/>
            <w:noWrap/>
            <w:vAlign w:val="bottom"/>
            <w:hideMark/>
          </w:tcPr>
          <w:p w14:paraId="6DCC622B" w14:textId="1EC7C950"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0.694 ± 0.002</w:t>
            </w:r>
          </w:p>
        </w:tc>
        <w:tc>
          <w:tcPr>
            <w:tcW w:w="1700" w:type="dxa"/>
            <w:tcBorders>
              <w:top w:val="nil"/>
              <w:left w:val="nil"/>
              <w:bottom w:val="single" w:sz="4" w:space="0" w:color="auto"/>
              <w:right w:val="nil"/>
            </w:tcBorders>
            <w:shd w:val="clear" w:color="auto" w:fill="auto"/>
            <w:noWrap/>
            <w:vAlign w:val="bottom"/>
            <w:hideMark/>
          </w:tcPr>
          <w:p w14:paraId="54DEF412" w14:textId="420A77CF" w:rsidR="00370DD5" w:rsidRPr="00FF731C" w:rsidRDefault="00370DD5" w:rsidP="00370DD5">
            <w:pPr>
              <w:spacing w:after="0" w:line="240" w:lineRule="auto"/>
              <w:rPr>
                <w:rFonts w:ascii="Calibri" w:eastAsia="Times New Roman" w:hAnsi="Calibri" w:cs="Calibri"/>
                <w:color w:val="000000"/>
              </w:rPr>
            </w:pPr>
            <w:r>
              <w:rPr>
                <w:rFonts w:ascii="Calibri" w:hAnsi="Calibri" w:cs="Calibri"/>
                <w:color w:val="000000"/>
              </w:rPr>
              <w:t>0.708 ± 0.001</w:t>
            </w:r>
          </w:p>
        </w:tc>
      </w:tr>
    </w:tbl>
    <w:p w14:paraId="4ABEE44E" w14:textId="07955A42" w:rsidR="00691E0B" w:rsidRDefault="00691E0B">
      <w:pPr>
        <w:rPr>
          <w:b/>
          <w:bCs/>
        </w:rPr>
      </w:pPr>
    </w:p>
    <w:p w14:paraId="07B4584B" w14:textId="77777777" w:rsidR="004C2596" w:rsidRDefault="004C2596">
      <w:pPr>
        <w:rPr>
          <w:b/>
          <w:bCs/>
        </w:rPr>
      </w:pPr>
    </w:p>
    <w:p w14:paraId="7CA806B7" w14:textId="55137738" w:rsidR="00114082" w:rsidRDefault="00244CEA">
      <w:r w:rsidRPr="00244CEA">
        <w:rPr>
          <w:b/>
          <w:bCs/>
        </w:rPr>
        <w:t>Table S</w:t>
      </w:r>
      <w:r w:rsidR="00C93F37">
        <w:rPr>
          <w:b/>
          <w:bCs/>
        </w:rPr>
        <w:t>3</w:t>
      </w:r>
      <w:r w:rsidRPr="00244CEA">
        <w:rPr>
          <w:b/>
          <w:bCs/>
        </w:rPr>
        <w:t xml:space="preserve">. Classification of </w:t>
      </w:r>
      <w:r>
        <w:rPr>
          <w:b/>
          <w:bCs/>
        </w:rPr>
        <w:t>Bipolar Disorder</w:t>
      </w:r>
      <w:r w:rsidRPr="00244CEA">
        <w:rPr>
          <w:b/>
          <w:bCs/>
        </w:rPr>
        <w:t xml:space="preserve"> by Regression Models</w:t>
      </w:r>
    </w:p>
    <w:tbl>
      <w:tblPr>
        <w:tblW w:w="13180" w:type="dxa"/>
        <w:tblLook w:val="04A0" w:firstRow="1" w:lastRow="0" w:firstColumn="1" w:lastColumn="0" w:noHBand="0" w:noVBand="1"/>
      </w:tblPr>
      <w:tblGrid>
        <w:gridCol w:w="1000"/>
        <w:gridCol w:w="1000"/>
        <w:gridCol w:w="2680"/>
        <w:gridCol w:w="1700"/>
        <w:gridCol w:w="1700"/>
        <w:gridCol w:w="1700"/>
        <w:gridCol w:w="1700"/>
        <w:gridCol w:w="1700"/>
      </w:tblGrid>
      <w:tr w:rsidR="00244CEA" w:rsidRPr="00FF731C" w14:paraId="17FFC762" w14:textId="77777777" w:rsidTr="007B26B8">
        <w:trPr>
          <w:trHeight w:val="288"/>
        </w:trPr>
        <w:tc>
          <w:tcPr>
            <w:tcW w:w="1000" w:type="dxa"/>
            <w:tcBorders>
              <w:top w:val="single" w:sz="4" w:space="0" w:color="auto"/>
              <w:left w:val="nil"/>
              <w:bottom w:val="single" w:sz="4" w:space="0" w:color="auto"/>
              <w:right w:val="nil"/>
            </w:tcBorders>
            <w:shd w:val="clear" w:color="auto" w:fill="BFBFBF" w:themeFill="background1" w:themeFillShade="BF"/>
            <w:noWrap/>
            <w:vAlign w:val="bottom"/>
            <w:hideMark/>
          </w:tcPr>
          <w:p w14:paraId="505C1A9E" w14:textId="77777777" w:rsidR="00244CEA" w:rsidRPr="00244CEA" w:rsidRDefault="00244CEA" w:rsidP="00A23EB7">
            <w:pPr>
              <w:spacing w:after="0" w:line="240" w:lineRule="auto"/>
              <w:rPr>
                <w:rFonts w:ascii="Calibri" w:eastAsia="Times New Roman" w:hAnsi="Calibri" w:cs="Calibri"/>
                <w:b/>
                <w:bCs/>
                <w:color w:val="000000"/>
              </w:rPr>
            </w:pPr>
            <w:r w:rsidRPr="00244CEA">
              <w:rPr>
                <w:rFonts w:ascii="Calibri" w:eastAsia="Times New Roman" w:hAnsi="Calibri" w:cs="Calibri"/>
                <w:b/>
                <w:bCs/>
                <w:color w:val="000000"/>
              </w:rPr>
              <w:t>Model</w:t>
            </w:r>
          </w:p>
        </w:tc>
        <w:tc>
          <w:tcPr>
            <w:tcW w:w="1000" w:type="dxa"/>
            <w:tcBorders>
              <w:top w:val="single" w:sz="4" w:space="0" w:color="auto"/>
              <w:left w:val="nil"/>
              <w:bottom w:val="single" w:sz="4" w:space="0" w:color="auto"/>
              <w:right w:val="nil"/>
            </w:tcBorders>
            <w:shd w:val="clear" w:color="auto" w:fill="BFBFBF" w:themeFill="background1" w:themeFillShade="BF"/>
            <w:noWrap/>
            <w:vAlign w:val="bottom"/>
            <w:hideMark/>
          </w:tcPr>
          <w:p w14:paraId="787603E0" w14:textId="77777777" w:rsidR="00244CEA" w:rsidRPr="00244CEA" w:rsidRDefault="00244CEA" w:rsidP="00A23EB7">
            <w:pPr>
              <w:spacing w:after="0" w:line="240" w:lineRule="auto"/>
              <w:rPr>
                <w:rFonts w:eastAsia="Times New Roman" w:cstheme="minorHAnsi"/>
                <w:b/>
                <w:bCs/>
                <w:color w:val="000000"/>
              </w:rPr>
            </w:pPr>
            <w:r w:rsidRPr="00244CEA">
              <w:rPr>
                <w:rFonts w:eastAsia="Times New Roman" w:cstheme="minorHAnsi"/>
                <w:b/>
                <w:bCs/>
                <w:color w:val="000000"/>
              </w:rPr>
              <w:t>Class</w:t>
            </w:r>
          </w:p>
        </w:tc>
        <w:tc>
          <w:tcPr>
            <w:tcW w:w="2680" w:type="dxa"/>
            <w:tcBorders>
              <w:top w:val="single" w:sz="4" w:space="0" w:color="auto"/>
              <w:left w:val="nil"/>
              <w:bottom w:val="single" w:sz="4" w:space="0" w:color="auto"/>
              <w:right w:val="nil"/>
            </w:tcBorders>
            <w:shd w:val="clear" w:color="auto" w:fill="BFBFBF" w:themeFill="background1" w:themeFillShade="BF"/>
            <w:noWrap/>
            <w:vAlign w:val="bottom"/>
            <w:hideMark/>
          </w:tcPr>
          <w:p w14:paraId="627F9877" w14:textId="77777777" w:rsidR="00244CEA" w:rsidRPr="00244CEA" w:rsidRDefault="00244CEA" w:rsidP="00A23EB7">
            <w:pPr>
              <w:spacing w:after="0" w:line="240" w:lineRule="auto"/>
              <w:rPr>
                <w:rFonts w:ascii="Calibri" w:eastAsia="Times New Roman" w:hAnsi="Calibri" w:cs="Calibri"/>
                <w:b/>
                <w:bCs/>
                <w:color w:val="000000"/>
              </w:rPr>
            </w:pPr>
            <w:r w:rsidRPr="00244CEA">
              <w:rPr>
                <w:rFonts w:ascii="Calibri" w:eastAsia="Times New Roman" w:hAnsi="Calibri" w:cs="Calibri"/>
                <w:b/>
                <w:bCs/>
                <w:color w:val="000000"/>
              </w:rPr>
              <w:t>Variables in model</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5409033E"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ACC</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78CE3E95"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AUC</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1B43CAE6"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Precision</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12CB9B45"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Recall</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28106502"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F1-score</w:t>
            </w:r>
          </w:p>
        </w:tc>
      </w:tr>
      <w:tr w:rsidR="00093C29" w:rsidRPr="00FF731C" w14:paraId="3128E863" w14:textId="77777777" w:rsidTr="00C05F32">
        <w:trPr>
          <w:trHeight w:val="288"/>
        </w:trPr>
        <w:tc>
          <w:tcPr>
            <w:tcW w:w="1000" w:type="dxa"/>
            <w:tcBorders>
              <w:top w:val="single" w:sz="4" w:space="0" w:color="auto"/>
              <w:left w:val="nil"/>
              <w:bottom w:val="nil"/>
              <w:right w:val="nil"/>
            </w:tcBorders>
            <w:shd w:val="clear" w:color="auto" w:fill="auto"/>
            <w:noWrap/>
            <w:vAlign w:val="bottom"/>
            <w:hideMark/>
          </w:tcPr>
          <w:p w14:paraId="50EFF979" w14:textId="31474690" w:rsidR="00093C29" w:rsidRPr="00FF731C" w:rsidRDefault="00093C29" w:rsidP="00093C29">
            <w:pPr>
              <w:spacing w:after="0" w:line="240" w:lineRule="auto"/>
              <w:rPr>
                <w:rFonts w:ascii="Calibri" w:eastAsia="Times New Roman" w:hAnsi="Calibri" w:cs="Calibri"/>
                <w:color w:val="000000"/>
              </w:rPr>
            </w:pPr>
            <w:r w:rsidRPr="00FF731C">
              <w:rPr>
                <w:rFonts w:ascii="Calibri" w:eastAsia="Times New Roman" w:hAnsi="Calibri" w:cs="Calibri"/>
                <w:color w:val="000000"/>
              </w:rPr>
              <w:t>B.I</w:t>
            </w:r>
            <w:r>
              <w:rPr>
                <w:rFonts w:ascii="Calibri" w:eastAsia="Times New Roman" w:hAnsi="Calibri" w:cs="Calibri"/>
                <w:color w:val="000000"/>
              </w:rPr>
              <w:t>.BIP</w:t>
            </w:r>
          </w:p>
        </w:tc>
        <w:tc>
          <w:tcPr>
            <w:tcW w:w="1000" w:type="dxa"/>
            <w:tcBorders>
              <w:top w:val="single" w:sz="4" w:space="0" w:color="auto"/>
              <w:left w:val="nil"/>
              <w:bottom w:val="nil"/>
              <w:right w:val="nil"/>
            </w:tcBorders>
            <w:shd w:val="clear" w:color="auto" w:fill="auto"/>
            <w:noWrap/>
            <w:vAlign w:val="bottom"/>
            <w:hideMark/>
          </w:tcPr>
          <w:p w14:paraId="21427CF0" w14:textId="77777777" w:rsidR="00093C29" w:rsidRPr="00FF731C" w:rsidRDefault="00093C29" w:rsidP="00093C29">
            <w:pPr>
              <w:spacing w:after="0" w:line="240" w:lineRule="auto"/>
              <w:rPr>
                <w:rFonts w:eastAsia="Times New Roman" w:cstheme="minorHAnsi"/>
                <w:color w:val="000000"/>
              </w:rPr>
            </w:pPr>
            <w:r w:rsidRPr="00FF731C">
              <w:rPr>
                <w:rFonts w:eastAsia="Times New Roman" w:cstheme="minorHAnsi"/>
                <w:color w:val="000000"/>
              </w:rPr>
              <w:t>CTRL</w:t>
            </w:r>
          </w:p>
        </w:tc>
        <w:tc>
          <w:tcPr>
            <w:tcW w:w="2680" w:type="dxa"/>
            <w:tcBorders>
              <w:top w:val="single" w:sz="4" w:space="0" w:color="auto"/>
              <w:left w:val="nil"/>
              <w:bottom w:val="nil"/>
              <w:right w:val="nil"/>
            </w:tcBorders>
            <w:shd w:val="clear" w:color="auto" w:fill="auto"/>
            <w:noWrap/>
            <w:hideMark/>
          </w:tcPr>
          <w:p w14:paraId="0EBFBED5" w14:textId="39515DA4" w:rsidR="00093C29" w:rsidRPr="00FF731C" w:rsidRDefault="00093C29" w:rsidP="00093C29">
            <w:pPr>
              <w:spacing w:after="0" w:line="240" w:lineRule="auto"/>
              <w:rPr>
                <w:rFonts w:ascii="Calibri" w:eastAsia="Times New Roman" w:hAnsi="Calibri" w:cs="Calibri"/>
                <w:color w:val="000000"/>
              </w:rPr>
            </w:pPr>
            <w:r w:rsidRPr="00AD7085">
              <w:t>BIP bestPRS</w:t>
            </w:r>
            <w:r>
              <w:t>, sex</w:t>
            </w:r>
          </w:p>
        </w:tc>
        <w:tc>
          <w:tcPr>
            <w:tcW w:w="1700" w:type="dxa"/>
            <w:tcBorders>
              <w:top w:val="single" w:sz="4" w:space="0" w:color="auto"/>
              <w:left w:val="nil"/>
              <w:bottom w:val="nil"/>
              <w:right w:val="nil"/>
            </w:tcBorders>
            <w:shd w:val="clear" w:color="auto" w:fill="auto"/>
            <w:noWrap/>
            <w:vAlign w:val="bottom"/>
            <w:hideMark/>
          </w:tcPr>
          <w:p w14:paraId="6D08BB55" w14:textId="495FAC0F"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0.847 </w:t>
            </w:r>
            <w:r w:rsidRPr="00AD7085">
              <w:t>±</w:t>
            </w:r>
            <w:r>
              <w:rPr>
                <w:rFonts w:ascii="Calibri" w:hAnsi="Calibri" w:cs="Calibri"/>
                <w:color w:val="000000"/>
              </w:rPr>
              <w:t xml:space="preserve"> 0.001</w:t>
            </w:r>
          </w:p>
        </w:tc>
        <w:tc>
          <w:tcPr>
            <w:tcW w:w="1700" w:type="dxa"/>
            <w:tcBorders>
              <w:top w:val="single" w:sz="4" w:space="0" w:color="auto"/>
              <w:left w:val="nil"/>
              <w:bottom w:val="nil"/>
              <w:right w:val="nil"/>
            </w:tcBorders>
            <w:shd w:val="clear" w:color="auto" w:fill="auto"/>
            <w:noWrap/>
            <w:vAlign w:val="bottom"/>
            <w:hideMark/>
          </w:tcPr>
          <w:p w14:paraId="03079070" w14:textId="2E98CFE3"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0.928 </w:t>
            </w:r>
            <w:r w:rsidRPr="00AD7085">
              <w:t>±</w:t>
            </w:r>
            <w:r>
              <w:rPr>
                <w:rFonts w:ascii="Calibri" w:hAnsi="Calibri" w:cs="Calibri"/>
                <w:color w:val="000000"/>
              </w:rPr>
              <w:t xml:space="preserve"> 0.000</w:t>
            </w:r>
          </w:p>
        </w:tc>
        <w:tc>
          <w:tcPr>
            <w:tcW w:w="1700" w:type="dxa"/>
            <w:tcBorders>
              <w:top w:val="single" w:sz="4" w:space="0" w:color="auto"/>
              <w:left w:val="nil"/>
              <w:bottom w:val="nil"/>
              <w:right w:val="nil"/>
            </w:tcBorders>
            <w:shd w:val="clear" w:color="auto" w:fill="auto"/>
            <w:noWrap/>
            <w:vAlign w:val="bottom"/>
            <w:hideMark/>
          </w:tcPr>
          <w:p w14:paraId="543CC32C" w14:textId="588AE96B"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0.916 ± 0.000</w:t>
            </w:r>
          </w:p>
        </w:tc>
        <w:tc>
          <w:tcPr>
            <w:tcW w:w="1700" w:type="dxa"/>
            <w:tcBorders>
              <w:top w:val="single" w:sz="4" w:space="0" w:color="auto"/>
              <w:left w:val="nil"/>
              <w:bottom w:val="nil"/>
              <w:right w:val="nil"/>
            </w:tcBorders>
            <w:shd w:val="clear" w:color="auto" w:fill="auto"/>
            <w:noWrap/>
            <w:vAlign w:val="bottom"/>
            <w:hideMark/>
          </w:tcPr>
          <w:p w14:paraId="3A184874" w14:textId="56382293"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0.833 ± 0.001</w:t>
            </w:r>
          </w:p>
        </w:tc>
        <w:tc>
          <w:tcPr>
            <w:tcW w:w="1700" w:type="dxa"/>
            <w:tcBorders>
              <w:top w:val="single" w:sz="4" w:space="0" w:color="auto"/>
              <w:left w:val="nil"/>
              <w:bottom w:val="nil"/>
              <w:right w:val="nil"/>
            </w:tcBorders>
            <w:shd w:val="clear" w:color="auto" w:fill="auto"/>
            <w:noWrap/>
            <w:vAlign w:val="bottom"/>
            <w:hideMark/>
          </w:tcPr>
          <w:p w14:paraId="50A04FF9" w14:textId="24631610"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0.872 ± 0.001</w:t>
            </w:r>
          </w:p>
        </w:tc>
      </w:tr>
      <w:tr w:rsidR="00093C29" w:rsidRPr="00FF731C" w14:paraId="09ACC372" w14:textId="77777777" w:rsidTr="00C05F32">
        <w:trPr>
          <w:trHeight w:val="288"/>
        </w:trPr>
        <w:tc>
          <w:tcPr>
            <w:tcW w:w="1000" w:type="dxa"/>
            <w:tcBorders>
              <w:top w:val="nil"/>
              <w:left w:val="nil"/>
              <w:bottom w:val="single" w:sz="4" w:space="0" w:color="auto"/>
              <w:right w:val="nil"/>
            </w:tcBorders>
            <w:shd w:val="clear" w:color="auto" w:fill="auto"/>
            <w:noWrap/>
            <w:vAlign w:val="bottom"/>
            <w:hideMark/>
          </w:tcPr>
          <w:p w14:paraId="0967EB25" w14:textId="77777777" w:rsidR="00093C29" w:rsidRPr="00FF731C" w:rsidRDefault="00093C29" w:rsidP="00093C29">
            <w:pPr>
              <w:spacing w:after="0" w:line="240" w:lineRule="auto"/>
              <w:rPr>
                <w:rFonts w:ascii="Calibri" w:eastAsia="Times New Roman" w:hAnsi="Calibri" w:cs="Calibri"/>
                <w:color w:val="000000"/>
              </w:rPr>
            </w:pPr>
          </w:p>
        </w:tc>
        <w:tc>
          <w:tcPr>
            <w:tcW w:w="1000" w:type="dxa"/>
            <w:tcBorders>
              <w:top w:val="nil"/>
              <w:left w:val="nil"/>
              <w:bottom w:val="single" w:sz="4" w:space="0" w:color="auto"/>
              <w:right w:val="nil"/>
            </w:tcBorders>
            <w:shd w:val="clear" w:color="auto" w:fill="auto"/>
            <w:noWrap/>
            <w:vAlign w:val="bottom"/>
            <w:hideMark/>
          </w:tcPr>
          <w:p w14:paraId="72B4A15C" w14:textId="77777777" w:rsidR="00093C29" w:rsidRPr="00FF731C" w:rsidRDefault="00093C29" w:rsidP="00093C29">
            <w:pPr>
              <w:spacing w:after="0" w:line="240" w:lineRule="auto"/>
              <w:rPr>
                <w:rFonts w:eastAsia="Times New Roman" w:cstheme="minorHAnsi"/>
              </w:rPr>
            </w:pPr>
            <w:r w:rsidRPr="00FF731C">
              <w:rPr>
                <w:rFonts w:eastAsia="Times New Roman" w:cstheme="minorHAnsi"/>
              </w:rPr>
              <w:t>BIP</w:t>
            </w:r>
          </w:p>
        </w:tc>
        <w:tc>
          <w:tcPr>
            <w:tcW w:w="2680" w:type="dxa"/>
            <w:tcBorders>
              <w:top w:val="nil"/>
              <w:left w:val="nil"/>
              <w:bottom w:val="single" w:sz="4" w:space="0" w:color="auto"/>
              <w:right w:val="nil"/>
            </w:tcBorders>
            <w:shd w:val="clear" w:color="auto" w:fill="auto"/>
            <w:noWrap/>
            <w:hideMark/>
          </w:tcPr>
          <w:p w14:paraId="169F4C19" w14:textId="7681627F" w:rsidR="00093C29" w:rsidRPr="00FF731C" w:rsidRDefault="00093C29" w:rsidP="00093C29">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7837105A" w14:textId="085217BE"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737B5284" w14:textId="506582C7"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5D197BAD" w14:textId="5FC16143"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0.756 ± 0.001</w:t>
            </w:r>
          </w:p>
        </w:tc>
        <w:tc>
          <w:tcPr>
            <w:tcW w:w="1700" w:type="dxa"/>
            <w:tcBorders>
              <w:top w:val="nil"/>
              <w:left w:val="nil"/>
              <w:bottom w:val="single" w:sz="4" w:space="0" w:color="auto"/>
              <w:right w:val="nil"/>
            </w:tcBorders>
            <w:shd w:val="clear" w:color="auto" w:fill="auto"/>
            <w:noWrap/>
            <w:vAlign w:val="bottom"/>
            <w:hideMark/>
          </w:tcPr>
          <w:p w14:paraId="35AA8114" w14:textId="2B276DF4"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0.871 ± 0.001</w:t>
            </w:r>
          </w:p>
        </w:tc>
        <w:tc>
          <w:tcPr>
            <w:tcW w:w="1700" w:type="dxa"/>
            <w:tcBorders>
              <w:top w:val="nil"/>
              <w:left w:val="nil"/>
              <w:bottom w:val="single" w:sz="4" w:space="0" w:color="auto"/>
              <w:right w:val="nil"/>
            </w:tcBorders>
            <w:shd w:val="clear" w:color="auto" w:fill="auto"/>
            <w:noWrap/>
            <w:vAlign w:val="bottom"/>
            <w:hideMark/>
          </w:tcPr>
          <w:p w14:paraId="69269EF3" w14:textId="0EF80B01"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0.810 ± 0.000</w:t>
            </w:r>
          </w:p>
        </w:tc>
      </w:tr>
      <w:tr w:rsidR="00093C29" w:rsidRPr="00FF731C" w14:paraId="46B397E7" w14:textId="77777777" w:rsidTr="00C05F32">
        <w:trPr>
          <w:trHeight w:val="288"/>
        </w:trPr>
        <w:tc>
          <w:tcPr>
            <w:tcW w:w="1000" w:type="dxa"/>
            <w:tcBorders>
              <w:top w:val="single" w:sz="4" w:space="0" w:color="auto"/>
              <w:left w:val="nil"/>
              <w:bottom w:val="nil"/>
              <w:right w:val="nil"/>
            </w:tcBorders>
            <w:shd w:val="clear" w:color="auto" w:fill="auto"/>
            <w:noWrap/>
            <w:vAlign w:val="bottom"/>
            <w:hideMark/>
          </w:tcPr>
          <w:p w14:paraId="43D2A6DC" w14:textId="56EFC6F3" w:rsidR="00093C29" w:rsidRPr="00FF731C" w:rsidRDefault="00093C29" w:rsidP="00093C29">
            <w:pPr>
              <w:spacing w:after="0" w:line="240" w:lineRule="auto"/>
              <w:rPr>
                <w:rFonts w:ascii="Calibri" w:eastAsia="Times New Roman" w:hAnsi="Calibri" w:cs="Calibri"/>
                <w:color w:val="000000"/>
              </w:rPr>
            </w:pPr>
            <w:r>
              <w:rPr>
                <w:rFonts w:ascii="Calibri" w:eastAsia="Times New Roman" w:hAnsi="Calibri" w:cs="Calibri"/>
                <w:color w:val="000000"/>
              </w:rPr>
              <w:t>B.II.BIP</w:t>
            </w:r>
          </w:p>
        </w:tc>
        <w:tc>
          <w:tcPr>
            <w:tcW w:w="1000" w:type="dxa"/>
            <w:tcBorders>
              <w:top w:val="single" w:sz="4" w:space="0" w:color="auto"/>
              <w:left w:val="nil"/>
              <w:bottom w:val="nil"/>
              <w:right w:val="nil"/>
            </w:tcBorders>
            <w:shd w:val="clear" w:color="auto" w:fill="auto"/>
            <w:noWrap/>
            <w:vAlign w:val="bottom"/>
            <w:hideMark/>
          </w:tcPr>
          <w:p w14:paraId="0358137A" w14:textId="77777777" w:rsidR="00093C29" w:rsidRPr="00FF731C" w:rsidRDefault="00093C29" w:rsidP="00093C29">
            <w:pPr>
              <w:spacing w:after="0" w:line="240" w:lineRule="auto"/>
              <w:rPr>
                <w:rFonts w:eastAsia="Times New Roman" w:cstheme="minorHAnsi"/>
              </w:rPr>
            </w:pPr>
            <w:r w:rsidRPr="00FF731C">
              <w:rPr>
                <w:rFonts w:eastAsia="Times New Roman" w:cstheme="minorHAnsi"/>
              </w:rPr>
              <w:t>CTRL</w:t>
            </w:r>
          </w:p>
        </w:tc>
        <w:tc>
          <w:tcPr>
            <w:tcW w:w="2680" w:type="dxa"/>
            <w:tcBorders>
              <w:top w:val="nil"/>
              <w:left w:val="nil"/>
              <w:bottom w:val="nil"/>
              <w:right w:val="nil"/>
            </w:tcBorders>
            <w:shd w:val="clear" w:color="auto" w:fill="auto"/>
            <w:noWrap/>
            <w:hideMark/>
          </w:tcPr>
          <w:p w14:paraId="64EFE2B8" w14:textId="537E48D8" w:rsidR="00093C29" w:rsidRPr="00FF731C" w:rsidRDefault="00093C29" w:rsidP="00093C29">
            <w:pPr>
              <w:spacing w:after="0" w:line="240" w:lineRule="auto"/>
              <w:rPr>
                <w:rFonts w:ascii="Calibri" w:eastAsia="Times New Roman" w:hAnsi="Calibri" w:cs="Calibri"/>
                <w:color w:val="000000"/>
              </w:rPr>
            </w:pPr>
            <w:r w:rsidRPr="00AD7085">
              <w:t>All 42 bestPRSs</w:t>
            </w:r>
            <w:r>
              <w:t>, sex</w:t>
            </w:r>
          </w:p>
        </w:tc>
        <w:tc>
          <w:tcPr>
            <w:tcW w:w="1700" w:type="dxa"/>
            <w:tcBorders>
              <w:top w:val="nil"/>
              <w:left w:val="nil"/>
              <w:bottom w:val="nil"/>
              <w:right w:val="nil"/>
            </w:tcBorders>
            <w:shd w:val="clear" w:color="auto" w:fill="auto"/>
            <w:noWrap/>
            <w:vAlign w:val="bottom"/>
            <w:hideMark/>
          </w:tcPr>
          <w:p w14:paraId="61D99DE9" w14:textId="40E0950A"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0.905 </w:t>
            </w:r>
            <w:r w:rsidRPr="00AD7085">
              <w:t>±</w:t>
            </w:r>
            <w:r>
              <w:rPr>
                <w:rFonts w:ascii="Calibri" w:hAnsi="Calibri" w:cs="Calibri"/>
                <w:color w:val="000000"/>
              </w:rPr>
              <w:t xml:space="preserve"> 0.001</w:t>
            </w:r>
          </w:p>
        </w:tc>
        <w:tc>
          <w:tcPr>
            <w:tcW w:w="1700" w:type="dxa"/>
            <w:tcBorders>
              <w:top w:val="nil"/>
              <w:left w:val="nil"/>
              <w:bottom w:val="nil"/>
              <w:right w:val="nil"/>
            </w:tcBorders>
            <w:shd w:val="clear" w:color="auto" w:fill="auto"/>
            <w:noWrap/>
            <w:vAlign w:val="bottom"/>
            <w:hideMark/>
          </w:tcPr>
          <w:p w14:paraId="748BD127" w14:textId="79B83970"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0.966 </w:t>
            </w:r>
            <w:r w:rsidRPr="00AD7085">
              <w:t>±</w:t>
            </w:r>
            <w:r>
              <w:rPr>
                <w:rFonts w:ascii="Calibri" w:hAnsi="Calibri" w:cs="Calibri"/>
                <w:color w:val="000000"/>
              </w:rPr>
              <w:t xml:space="preserve"> 0.000</w:t>
            </w:r>
          </w:p>
        </w:tc>
        <w:tc>
          <w:tcPr>
            <w:tcW w:w="1700" w:type="dxa"/>
            <w:tcBorders>
              <w:top w:val="nil"/>
              <w:left w:val="nil"/>
              <w:bottom w:val="nil"/>
              <w:right w:val="nil"/>
            </w:tcBorders>
            <w:shd w:val="clear" w:color="auto" w:fill="auto"/>
            <w:noWrap/>
            <w:vAlign w:val="bottom"/>
            <w:hideMark/>
          </w:tcPr>
          <w:p w14:paraId="32E3B962" w14:textId="7DB4641A"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0.913 ± 0.001</w:t>
            </w:r>
          </w:p>
        </w:tc>
        <w:tc>
          <w:tcPr>
            <w:tcW w:w="1700" w:type="dxa"/>
            <w:tcBorders>
              <w:top w:val="nil"/>
              <w:left w:val="nil"/>
              <w:bottom w:val="nil"/>
              <w:right w:val="nil"/>
            </w:tcBorders>
            <w:shd w:val="clear" w:color="auto" w:fill="auto"/>
            <w:noWrap/>
            <w:vAlign w:val="bottom"/>
            <w:hideMark/>
          </w:tcPr>
          <w:p w14:paraId="654BB3F3" w14:textId="6C8A0066"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0.938 ± 0.004</w:t>
            </w:r>
          </w:p>
        </w:tc>
        <w:tc>
          <w:tcPr>
            <w:tcW w:w="1700" w:type="dxa"/>
            <w:tcBorders>
              <w:top w:val="nil"/>
              <w:left w:val="nil"/>
              <w:bottom w:val="nil"/>
              <w:right w:val="nil"/>
            </w:tcBorders>
            <w:shd w:val="clear" w:color="auto" w:fill="auto"/>
            <w:noWrap/>
            <w:vAlign w:val="bottom"/>
            <w:hideMark/>
          </w:tcPr>
          <w:p w14:paraId="244358D5" w14:textId="3D180E24"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0.925 ± 0.001</w:t>
            </w:r>
          </w:p>
        </w:tc>
      </w:tr>
      <w:tr w:rsidR="00093C29" w:rsidRPr="00FF731C" w14:paraId="2923F46C" w14:textId="77777777" w:rsidTr="00C05F32">
        <w:trPr>
          <w:trHeight w:val="288"/>
        </w:trPr>
        <w:tc>
          <w:tcPr>
            <w:tcW w:w="1000" w:type="dxa"/>
            <w:tcBorders>
              <w:top w:val="nil"/>
              <w:left w:val="nil"/>
              <w:bottom w:val="single" w:sz="4" w:space="0" w:color="auto"/>
              <w:right w:val="nil"/>
            </w:tcBorders>
            <w:shd w:val="clear" w:color="auto" w:fill="auto"/>
            <w:noWrap/>
            <w:vAlign w:val="bottom"/>
            <w:hideMark/>
          </w:tcPr>
          <w:p w14:paraId="72D75F6B" w14:textId="77777777" w:rsidR="00093C29" w:rsidRPr="00FF731C" w:rsidRDefault="00093C29" w:rsidP="00093C29">
            <w:pPr>
              <w:spacing w:after="0" w:line="240" w:lineRule="auto"/>
              <w:rPr>
                <w:rFonts w:ascii="Calibri" w:eastAsia="Times New Roman" w:hAnsi="Calibri" w:cs="Calibri"/>
                <w:color w:val="000000"/>
              </w:rPr>
            </w:pPr>
          </w:p>
        </w:tc>
        <w:tc>
          <w:tcPr>
            <w:tcW w:w="1000" w:type="dxa"/>
            <w:tcBorders>
              <w:top w:val="nil"/>
              <w:left w:val="nil"/>
              <w:bottom w:val="single" w:sz="4" w:space="0" w:color="auto"/>
              <w:right w:val="nil"/>
            </w:tcBorders>
            <w:shd w:val="clear" w:color="auto" w:fill="auto"/>
            <w:noWrap/>
            <w:vAlign w:val="bottom"/>
            <w:hideMark/>
          </w:tcPr>
          <w:p w14:paraId="4B74784B" w14:textId="77777777" w:rsidR="00093C29" w:rsidRPr="00FF731C" w:rsidRDefault="00093C29" w:rsidP="00093C29">
            <w:pPr>
              <w:spacing w:after="0" w:line="240" w:lineRule="auto"/>
              <w:rPr>
                <w:rFonts w:eastAsia="Times New Roman" w:cstheme="minorHAnsi"/>
              </w:rPr>
            </w:pPr>
            <w:r w:rsidRPr="00FF731C">
              <w:rPr>
                <w:rFonts w:eastAsia="Times New Roman" w:cstheme="minorHAnsi"/>
              </w:rPr>
              <w:t>BIP</w:t>
            </w:r>
          </w:p>
        </w:tc>
        <w:tc>
          <w:tcPr>
            <w:tcW w:w="2680" w:type="dxa"/>
            <w:tcBorders>
              <w:top w:val="nil"/>
              <w:left w:val="nil"/>
              <w:bottom w:val="single" w:sz="4" w:space="0" w:color="auto"/>
              <w:right w:val="nil"/>
            </w:tcBorders>
            <w:shd w:val="clear" w:color="auto" w:fill="auto"/>
            <w:noWrap/>
            <w:hideMark/>
          </w:tcPr>
          <w:p w14:paraId="4E37A8CA" w14:textId="2B72DBA3" w:rsidR="00093C29" w:rsidRPr="00FF731C" w:rsidRDefault="00093C29" w:rsidP="00093C29">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48533B87" w14:textId="5EE354D7"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3C1F8455" w14:textId="523AAD2C"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20248600" w14:textId="41E05D2A"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0.890 ± 0.005</w:t>
            </w:r>
          </w:p>
        </w:tc>
        <w:tc>
          <w:tcPr>
            <w:tcW w:w="1700" w:type="dxa"/>
            <w:tcBorders>
              <w:top w:val="nil"/>
              <w:left w:val="nil"/>
              <w:bottom w:val="single" w:sz="4" w:space="0" w:color="auto"/>
              <w:right w:val="nil"/>
            </w:tcBorders>
            <w:shd w:val="clear" w:color="auto" w:fill="auto"/>
            <w:noWrap/>
            <w:vAlign w:val="bottom"/>
            <w:hideMark/>
          </w:tcPr>
          <w:p w14:paraId="34356EAA" w14:textId="6CC82375"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0.850 ± 0.003</w:t>
            </w:r>
          </w:p>
        </w:tc>
        <w:tc>
          <w:tcPr>
            <w:tcW w:w="1700" w:type="dxa"/>
            <w:tcBorders>
              <w:top w:val="nil"/>
              <w:left w:val="nil"/>
              <w:bottom w:val="single" w:sz="4" w:space="0" w:color="auto"/>
              <w:right w:val="nil"/>
            </w:tcBorders>
            <w:shd w:val="clear" w:color="auto" w:fill="auto"/>
            <w:noWrap/>
            <w:vAlign w:val="bottom"/>
            <w:hideMark/>
          </w:tcPr>
          <w:p w14:paraId="00E3403C" w14:textId="173AFCC3"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0.869 ± 0.002</w:t>
            </w:r>
          </w:p>
        </w:tc>
      </w:tr>
      <w:tr w:rsidR="00093C29" w:rsidRPr="00FF731C" w14:paraId="5438195B" w14:textId="77777777" w:rsidTr="00C05F32">
        <w:trPr>
          <w:trHeight w:val="288"/>
        </w:trPr>
        <w:tc>
          <w:tcPr>
            <w:tcW w:w="1000" w:type="dxa"/>
            <w:tcBorders>
              <w:top w:val="single" w:sz="4" w:space="0" w:color="auto"/>
              <w:left w:val="nil"/>
              <w:bottom w:val="nil"/>
              <w:right w:val="nil"/>
            </w:tcBorders>
            <w:shd w:val="clear" w:color="auto" w:fill="auto"/>
            <w:noWrap/>
            <w:vAlign w:val="bottom"/>
            <w:hideMark/>
          </w:tcPr>
          <w:p w14:paraId="636496AB" w14:textId="4F6CEC60" w:rsidR="00093C29" w:rsidRPr="00FF731C" w:rsidRDefault="00093C29" w:rsidP="00093C29">
            <w:pPr>
              <w:spacing w:after="0" w:line="240" w:lineRule="auto"/>
              <w:rPr>
                <w:rFonts w:ascii="Calibri" w:eastAsia="Times New Roman" w:hAnsi="Calibri" w:cs="Calibri"/>
                <w:color w:val="000000"/>
              </w:rPr>
            </w:pPr>
            <w:r>
              <w:rPr>
                <w:rFonts w:ascii="Calibri" w:eastAsia="Times New Roman" w:hAnsi="Calibri" w:cs="Calibri"/>
                <w:color w:val="000000"/>
              </w:rPr>
              <w:t>B.III.BIP</w:t>
            </w:r>
          </w:p>
        </w:tc>
        <w:tc>
          <w:tcPr>
            <w:tcW w:w="1000" w:type="dxa"/>
            <w:tcBorders>
              <w:top w:val="single" w:sz="4" w:space="0" w:color="auto"/>
              <w:left w:val="nil"/>
              <w:bottom w:val="nil"/>
              <w:right w:val="nil"/>
            </w:tcBorders>
            <w:shd w:val="clear" w:color="auto" w:fill="auto"/>
            <w:noWrap/>
            <w:vAlign w:val="bottom"/>
            <w:hideMark/>
          </w:tcPr>
          <w:p w14:paraId="24F515BF" w14:textId="77777777" w:rsidR="00093C29" w:rsidRPr="00FF731C" w:rsidRDefault="00093C29" w:rsidP="00093C29">
            <w:pPr>
              <w:spacing w:after="0" w:line="240" w:lineRule="auto"/>
              <w:rPr>
                <w:rFonts w:eastAsia="Times New Roman" w:cstheme="minorHAnsi"/>
              </w:rPr>
            </w:pPr>
            <w:r w:rsidRPr="00FF731C">
              <w:rPr>
                <w:rFonts w:eastAsia="Times New Roman" w:cstheme="minorHAnsi"/>
              </w:rPr>
              <w:t>CTRL</w:t>
            </w:r>
          </w:p>
        </w:tc>
        <w:tc>
          <w:tcPr>
            <w:tcW w:w="2680" w:type="dxa"/>
            <w:tcBorders>
              <w:top w:val="nil"/>
              <w:left w:val="nil"/>
              <w:bottom w:val="nil"/>
              <w:right w:val="nil"/>
            </w:tcBorders>
            <w:shd w:val="clear" w:color="auto" w:fill="auto"/>
            <w:noWrap/>
            <w:hideMark/>
          </w:tcPr>
          <w:p w14:paraId="695006AB" w14:textId="6E0FDA5E" w:rsidR="00093C29" w:rsidRPr="00FF731C" w:rsidRDefault="00093C29" w:rsidP="00093C29">
            <w:pPr>
              <w:spacing w:after="0" w:line="240" w:lineRule="auto"/>
              <w:rPr>
                <w:rFonts w:ascii="Calibri" w:eastAsia="Times New Roman" w:hAnsi="Calibri" w:cs="Calibri"/>
                <w:color w:val="000000"/>
              </w:rPr>
            </w:pPr>
            <w:r w:rsidRPr="00AD7085">
              <w:t>All but no BIP bestPRS</w:t>
            </w:r>
            <w:r>
              <w:t>, sex</w:t>
            </w:r>
          </w:p>
        </w:tc>
        <w:tc>
          <w:tcPr>
            <w:tcW w:w="1700" w:type="dxa"/>
            <w:tcBorders>
              <w:top w:val="nil"/>
              <w:left w:val="nil"/>
              <w:bottom w:val="nil"/>
              <w:right w:val="nil"/>
            </w:tcBorders>
            <w:shd w:val="clear" w:color="auto" w:fill="auto"/>
            <w:noWrap/>
            <w:vAlign w:val="bottom"/>
            <w:hideMark/>
          </w:tcPr>
          <w:p w14:paraId="3E1CB67F" w14:textId="7B1260F0"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0.754 </w:t>
            </w:r>
            <w:r w:rsidRPr="00AD7085">
              <w:t>±</w:t>
            </w:r>
            <w:r>
              <w:rPr>
                <w:rFonts w:ascii="Calibri" w:hAnsi="Calibri" w:cs="Calibri"/>
                <w:color w:val="000000"/>
              </w:rPr>
              <w:t xml:space="preserve"> 0.001</w:t>
            </w:r>
          </w:p>
        </w:tc>
        <w:tc>
          <w:tcPr>
            <w:tcW w:w="1700" w:type="dxa"/>
            <w:tcBorders>
              <w:top w:val="nil"/>
              <w:left w:val="nil"/>
              <w:bottom w:val="nil"/>
              <w:right w:val="nil"/>
            </w:tcBorders>
            <w:shd w:val="clear" w:color="auto" w:fill="auto"/>
            <w:noWrap/>
            <w:vAlign w:val="bottom"/>
            <w:hideMark/>
          </w:tcPr>
          <w:p w14:paraId="6E9200F3" w14:textId="7CCDCDF2"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0.826 </w:t>
            </w:r>
            <w:r w:rsidRPr="00AD7085">
              <w:t>±</w:t>
            </w:r>
            <w:r>
              <w:rPr>
                <w:rFonts w:ascii="Calibri" w:hAnsi="Calibri" w:cs="Calibri"/>
                <w:color w:val="000000"/>
              </w:rPr>
              <w:t xml:space="preserve"> 0.001</w:t>
            </w:r>
          </w:p>
        </w:tc>
        <w:tc>
          <w:tcPr>
            <w:tcW w:w="1700" w:type="dxa"/>
            <w:tcBorders>
              <w:top w:val="nil"/>
              <w:left w:val="nil"/>
              <w:bottom w:val="nil"/>
              <w:right w:val="nil"/>
            </w:tcBorders>
            <w:shd w:val="clear" w:color="auto" w:fill="auto"/>
            <w:noWrap/>
            <w:vAlign w:val="bottom"/>
            <w:hideMark/>
          </w:tcPr>
          <w:p w14:paraId="723B49CF" w14:textId="0B9165B2"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0.785 ± 0.001</w:t>
            </w:r>
          </w:p>
        </w:tc>
        <w:tc>
          <w:tcPr>
            <w:tcW w:w="1700" w:type="dxa"/>
            <w:tcBorders>
              <w:top w:val="nil"/>
              <w:left w:val="nil"/>
              <w:bottom w:val="nil"/>
              <w:right w:val="nil"/>
            </w:tcBorders>
            <w:shd w:val="clear" w:color="auto" w:fill="auto"/>
            <w:noWrap/>
            <w:vAlign w:val="bottom"/>
            <w:hideMark/>
          </w:tcPr>
          <w:p w14:paraId="678B7AD0" w14:textId="161A7D9E"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0.835 ± 0.003</w:t>
            </w:r>
          </w:p>
        </w:tc>
        <w:tc>
          <w:tcPr>
            <w:tcW w:w="1700" w:type="dxa"/>
            <w:tcBorders>
              <w:top w:val="nil"/>
              <w:left w:val="nil"/>
              <w:bottom w:val="nil"/>
              <w:right w:val="nil"/>
            </w:tcBorders>
            <w:shd w:val="clear" w:color="auto" w:fill="auto"/>
            <w:noWrap/>
            <w:vAlign w:val="bottom"/>
            <w:hideMark/>
          </w:tcPr>
          <w:p w14:paraId="6CF37E10" w14:textId="5CCAD7DD"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0.810 ± 0.001</w:t>
            </w:r>
          </w:p>
        </w:tc>
      </w:tr>
      <w:tr w:rsidR="00093C29" w:rsidRPr="00FF731C" w14:paraId="461C2BCB" w14:textId="77777777" w:rsidTr="00C05F32">
        <w:trPr>
          <w:trHeight w:val="288"/>
        </w:trPr>
        <w:tc>
          <w:tcPr>
            <w:tcW w:w="1000" w:type="dxa"/>
            <w:tcBorders>
              <w:top w:val="nil"/>
              <w:left w:val="nil"/>
              <w:bottom w:val="single" w:sz="4" w:space="0" w:color="auto"/>
              <w:right w:val="nil"/>
            </w:tcBorders>
            <w:shd w:val="clear" w:color="auto" w:fill="auto"/>
            <w:noWrap/>
            <w:vAlign w:val="bottom"/>
            <w:hideMark/>
          </w:tcPr>
          <w:p w14:paraId="0731A77B" w14:textId="77777777" w:rsidR="00093C29" w:rsidRPr="00FF731C" w:rsidRDefault="00093C29" w:rsidP="00093C29">
            <w:pPr>
              <w:spacing w:after="0" w:line="240" w:lineRule="auto"/>
              <w:rPr>
                <w:rFonts w:ascii="Calibri" w:eastAsia="Times New Roman" w:hAnsi="Calibri" w:cs="Calibri"/>
                <w:color w:val="000000"/>
              </w:rPr>
            </w:pPr>
            <w:r w:rsidRPr="00FF731C">
              <w:rPr>
                <w:rFonts w:ascii="Calibri" w:eastAsia="Times New Roman" w:hAnsi="Calibri" w:cs="Calibri"/>
                <w:color w:val="000000"/>
              </w:rPr>
              <w:t> </w:t>
            </w:r>
          </w:p>
        </w:tc>
        <w:tc>
          <w:tcPr>
            <w:tcW w:w="1000" w:type="dxa"/>
            <w:tcBorders>
              <w:top w:val="nil"/>
              <w:left w:val="nil"/>
              <w:bottom w:val="single" w:sz="4" w:space="0" w:color="auto"/>
              <w:right w:val="nil"/>
            </w:tcBorders>
            <w:shd w:val="clear" w:color="auto" w:fill="auto"/>
            <w:noWrap/>
            <w:vAlign w:val="bottom"/>
            <w:hideMark/>
          </w:tcPr>
          <w:p w14:paraId="16F2D0FC" w14:textId="77777777" w:rsidR="00093C29" w:rsidRPr="00FF731C" w:rsidRDefault="00093C29" w:rsidP="00093C29">
            <w:pPr>
              <w:spacing w:after="0" w:line="240" w:lineRule="auto"/>
              <w:rPr>
                <w:rFonts w:eastAsia="Times New Roman" w:cstheme="minorHAnsi"/>
                <w:color w:val="000000"/>
              </w:rPr>
            </w:pPr>
            <w:r w:rsidRPr="00FF731C">
              <w:rPr>
                <w:rFonts w:eastAsia="Times New Roman" w:cstheme="minorHAnsi"/>
                <w:color w:val="000000"/>
              </w:rPr>
              <w:t>BIP</w:t>
            </w:r>
          </w:p>
        </w:tc>
        <w:tc>
          <w:tcPr>
            <w:tcW w:w="2680" w:type="dxa"/>
            <w:tcBorders>
              <w:top w:val="nil"/>
              <w:left w:val="nil"/>
              <w:bottom w:val="single" w:sz="4" w:space="0" w:color="auto"/>
              <w:right w:val="nil"/>
            </w:tcBorders>
            <w:shd w:val="clear" w:color="auto" w:fill="auto"/>
            <w:noWrap/>
            <w:hideMark/>
          </w:tcPr>
          <w:p w14:paraId="7C4808F8" w14:textId="1174C5E5" w:rsidR="00093C29" w:rsidRPr="00FF731C" w:rsidRDefault="00093C29" w:rsidP="00093C29">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728CFF7C" w14:textId="0DC6874B"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26323FBE" w14:textId="1440FE0C"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70C43410" w14:textId="5505281A"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0.690 ± 0.003</w:t>
            </w:r>
          </w:p>
        </w:tc>
        <w:tc>
          <w:tcPr>
            <w:tcW w:w="1700" w:type="dxa"/>
            <w:tcBorders>
              <w:top w:val="nil"/>
              <w:left w:val="nil"/>
              <w:bottom w:val="single" w:sz="4" w:space="0" w:color="auto"/>
              <w:right w:val="nil"/>
            </w:tcBorders>
            <w:shd w:val="clear" w:color="auto" w:fill="auto"/>
            <w:noWrap/>
            <w:vAlign w:val="bottom"/>
            <w:hideMark/>
          </w:tcPr>
          <w:p w14:paraId="320E3410" w14:textId="47C3543F"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0.616 ± 0.004</w:t>
            </w:r>
          </w:p>
        </w:tc>
        <w:tc>
          <w:tcPr>
            <w:tcW w:w="1700" w:type="dxa"/>
            <w:tcBorders>
              <w:top w:val="nil"/>
              <w:left w:val="nil"/>
              <w:bottom w:val="single" w:sz="4" w:space="0" w:color="auto"/>
              <w:right w:val="nil"/>
            </w:tcBorders>
            <w:shd w:val="clear" w:color="auto" w:fill="auto"/>
            <w:noWrap/>
            <w:vAlign w:val="bottom"/>
            <w:hideMark/>
          </w:tcPr>
          <w:p w14:paraId="65F0132A" w14:textId="7B989BFD"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0.651 ± 0.002</w:t>
            </w:r>
          </w:p>
        </w:tc>
      </w:tr>
    </w:tbl>
    <w:p w14:paraId="31742D05" w14:textId="556CA2EF" w:rsidR="00244CEA" w:rsidRDefault="00244CEA"/>
    <w:p w14:paraId="08090CCA" w14:textId="5E3C4559" w:rsidR="00244CEA" w:rsidRDefault="00244CEA"/>
    <w:p w14:paraId="4F0DFA3E" w14:textId="0E310598" w:rsidR="00244CEA" w:rsidRDefault="00244CEA" w:rsidP="00244CEA">
      <w:r w:rsidRPr="00244CEA">
        <w:rPr>
          <w:b/>
          <w:bCs/>
        </w:rPr>
        <w:t>Table S</w:t>
      </w:r>
      <w:r w:rsidR="00C93F37">
        <w:rPr>
          <w:b/>
          <w:bCs/>
        </w:rPr>
        <w:t>4</w:t>
      </w:r>
      <w:r w:rsidRPr="00244CEA">
        <w:rPr>
          <w:b/>
          <w:bCs/>
        </w:rPr>
        <w:t xml:space="preserve">. Classification of </w:t>
      </w:r>
      <w:r>
        <w:rPr>
          <w:b/>
          <w:bCs/>
        </w:rPr>
        <w:t>Major Depressive Disorder</w:t>
      </w:r>
      <w:r w:rsidRPr="00244CEA">
        <w:rPr>
          <w:b/>
          <w:bCs/>
        </w:rPr>
        <w:t xml:space="preserve"> by Regression Models</w:t>
      </w:r>
    </w:p>
    <w:tbl>
      <w:tblPr>
        <w:tblW w:w="13252" w:type="dxa"/>
        <w:tblLook w:val="04A0" w:firstRow="1" w:lastRow="0" w:firstColumn="1" w:lastColumn="0" w:noHBand="0" w:noVBand="1"/>
      </w:tblPr>
      <w:tblGrid>
        <w:gridCol w:w="1072"/>
        <w:gridCol w:w="800"/>
        <w:gridCol w:w="2880"/>
        <w:gridCol w:w="1700"/>
        <w:gridCol w:w="1700"/>
        <w:gridCol w:w="1700"/>
        <w:gridCol w:w="1700"/>
        <w:gridCol w:w="1700"/>
      </w:tblGrid>
      <w:tr w:rsidR="00244CEA" w:rsidRPr="00FF731C" w14:paraId="65012A79" w14:textId="77777777" w:rsidTr="007B26B8">
        <w:trPr>
          <w:trHeight w:val="288"/>
        </w:trPr>
        <w:tc>
          <w:tcPr>
            <w:tcW w:w="1072" w:type="dxa"/>
            <w:tcBorders>
              <w:top w:val="single" w:sz="4" w:space="0" w:color="auto"/>
              <w:left w:val="nil"/>
              <w:bottom w:val="single" w:sz="4" w:space="0" w:color="auto"/>
              <w:right w:val="nil"/>
            </w:tcBorders>
            <w:shd w:val="clear" w:color="auto" w:fill="BFBFBF" w:themeFill="background1" w:themeFillShade="BF"/>
            <w:noWrap/>
            <w:vAlign w:val="bottom"/>
            <w:hideMark/>
          </w:tcPr>
          <w:p w14:paraId="6645E9EC" w14:textId="77777777" w:rsidR="00244CEA" w:rsidRPr="00244CEA" w:rsidRDefault="00244CEA" w:rsidP="00A23EB7">
            <w:pPr>
              <w:spacing w:after="0" w:line="240" w:lineRule="auto"/>
              <w:rPr>
                <w:rFonts w:ascii="Calibri" w:eastAsia="Times New Roman" w:hAnsi="Calibri" w:cs="Calibri"/>
                <w:b/>
                <w:bCs/>
                <w:color w:val="000000"/>
              </w:rPr>
            </w:pPr>
            <w:r w:rsidRPr="00244CEA">
              <w:rPr>
                <w:rFonts w:ascii="Calibri" w:eastAsia="Times New Roman" w:hAnsi="Calibri" w:cs="Calibri"/>
                <w:b/>
                <w:bCs/>
                <w:color w:val="000000"/>
              </w:rPr>
              <w:t>Model</w:t>
            </w:r>
          </w:p>
        </w:tc>
        <w:tc>
          <w:tcPr>
            <w:tcW w:w="800" w:type="dxa"/>
            <w:tcBorders>
              <w:top w:val="single" w:sz="4" w:space="0" w:color="auto"/>
              <w:left w:val="nil"/>
              <w:bottom w:val="single" w:sz="4" w:space="0" w:color="auto"/>
              <w:right w:val="nil"/>
            </w:tcBorders>
            <w:shd w:val="clear" w:color="auto" w:fill="BFBFBF" w:themeFill="background1" w:themeFillShade="BF"/>
            <w:noWrap/>
            <w:vAlign w:val="bottom"/>
            <w:hideMark/>
          </w:tcPr>
          <w:p w14:paraId="232BF4ED" w14:textId="77777777" w:rsidR="00244CEA" w:rsidRPr="00244CEA" w:rsidRDefault="00244CEA" w:rsidP="00A23EB7">
            <w:pPr>
              <w:spacing w:after="0" w:line="240" w:lineRule="auto"/>
              <w:rPr>
                <w:rFonts w:eastAsia="Times New Roman" w:cstheme="minorHAnsi"/>
                <w:b/>
                <w:bCs/>
                <w:color w:val="000000"/>
              </w:rPr>
            </w:pPr>
            <w:r w:rsidRPr="00244CEA">
              <w:rPr>
                <w:rFonts w:eastAsia="Times New Roman" w:cstheme="minorHAnsi"/>
                <w:b/>
                <w:bCs/>
                <w:color w:val="000000"/>
              </w:rPr>
              <w:t>Class</w:t>
            </w:r>
          </w:p>
        </w:tc>
        <w:tc>
          <w:tcPr>
            <w:tcW w:w="2880" w:type="dxa"/>
            <w:tcBorders>
              <w:top w:val="single" w:sz="4" w:space="0" w:color="auto"/>
              <w:left w:val="nil"/>
              <w:bottom w:val="single" w:sz="4" w:space="0" w:color="auto"/>
              <w:right w:val="nil"/>
            </w:tcBorders>
            <w:shd w:val="clear" w:color="auto" w:fill="BFBFBF" w:themeFill="background1" w:themeFillShade="BF"/>
            <w:noWrap/>
            <w:vAlign w:val="bottom"/>
            <w:hideMark/>
          </w:tcPr>
          <w:p w14:paraId="685FFB0B" w14:textId="77777777" w:rsidR="00244CEA" w:rsidRPr="00244CEA" w:rsidRDefault="00244CEA" w:rsidP="00A23EB7">
            <w:pPr>
              <w:spacing w:after="0" w:line="240" w:lineRule="auto"/>
              <w:rPr>
                <w:rFonts w:ascii="Calibri" w:eastAsia="Times New Roman" w:hAnsi="Calibri" w:cs="Calibri"/>
                <w:b/>
                <w:bCs/>
                <w:color w:val="000000"/>
              </w:rPr>
            </w:pPr>
            <w:r w:rsidRPr="00244CEA">
              <w:rPr>
                <w:rFonts w:ascii="Calibri" w:eastAsia="Times New Roman" w:hAnsi="Calibri" w:cs="Calibri"/>
                <w:b/>
                <w:bCs/>
                <w:color w:val="000000"/>
              </w:rPr>
              <w:t>Variables in model</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452EB1C2"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ACC</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2B66345F"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AUC</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0AF3F2A3"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Precision</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4BB00DB0"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Recall</w:t>
            </w:r>
          </w:p>
        </w:tc>
        <w:tc>
          <w:tcPr>
            <w:tcW w:w="1700" w:type="dxa"/>
            <w:tcBorders>
              <w:top w:val="single" w:sz="4" w:space="0" w:color="auto"/>
              <w:left w:val="nil"/>
              <w:bottom w:val="single" w:sz="4" w:space="0" w:color="auto"/>
              <w:right w:val="nil"/>
            </w:tcBorders>
            <w:shd w:val="clear" w:color="auto" w:fill="BFBFBF" w:themeFill="background1" w:themeFillShade="BF"/>
            <w:noWrap/>
            <w:vAlign w:val="bottom"/>
            <w:hideMark/>
          </w:tcPr>
          <w:p w14:paraId="3C09F4CD" w14:textId="77777777" w:rsidR="00244CEA" w:rsidRPr="00244CEA" w:rsidRDefault="00244CEA" w:rsidP="00A23EB7">
            <w:pPr>
              <w:spacing w:after="0" w:line="240" w:lineRule="auto"/>
              <w:rPr>
                <w:rFonts w:ascii="Calibri" w:hAnsi="Calibri" w:cs="Calibri"/>
                <w:b/>
                <w:bCs/>
                <w:color w:val="000000"/>
              </w:rPr>
            </w:pPr>
            <w:r w:rsidRPr="00244CEA">
              <w:rPr>
                <w:rFonts w:ascii="Calibri" w:hAnsi="Calibri" w:cs="Calibri"/>
                <w:b/>
                <w:bCs/>
                <w:color w:val="000000"/>
              </w:rPr>
              <w:t>F1-score</w:t>
            </w:r>
          </w:p>
        </w:tc>
      </w:tr>
      <w:tr w:rsidR="00093C29" w:rsidRPr="00FF731C" w14:paraId="761E36FA" w14:textId="77777777" w:rsidTr="00093C29">
        <w:trPr>
          <w:trHeight w:val="288"/>
        </w:trPr>
        <w:tc>
          <w:tcPr>
            <w:tcW w:w="1072" w:type="dxa"/>
            <w:tcBorders>
              <w:top w:val="single" w:sz="4" w:space="0" w:color="auto"/>
              <w:left w:val="nil"/>
              <w:bottom w:val="nil"/>
              <w:right w:val="nil"/>
            </w:tcBorders>
            <w:shd w:val="clear" w:color="auto" w:fill="auto"/>
            <w:noWrap/>
            <w:vAlign w:val="bottom"/>
            <w:hideMark/>
          </w:tcPr>
          <w:p w14:paraId="78C7412A" w14:textId="7F6B358D" w:rsidR="00093C29" w:rsidRPr="00FF731C" w:rsidRDefault="00093C29" w:rsidP="00093C29">
            <w:pPr>
              <w:spacing w:after="0" w:line="240" w:lineRule="auto"/>
              <w:rPr>
                <w:rFonts w:ascii="Calibri" w:eastAsia="Times New Roman" w:hAnsi="Calibri" w:cs="Calibri"/>
                <w:color w:val="000000"/>
              </w:rPr>
            </w:pPr>
            <w:r w:rsidRPr="00FF731C">
              <w:rPr>
                <w:rFonts w:ascii="Calibri" w:eastAsia="Times New Roman" w:hAnsi="Calibri" w:cs="Calibri"/>
                <w:color w:val="000000"/>
              </w:rPr>
              <w:t>B.</w:t>
            </w:r>
            <w:r>
              <w:rPr>
                <w:rFonts w:ascii="Calibri" w:eastAsia="Times New Roman" w:hAnsi="Calibri" w:cs="Calibri"/>
                <w:color w:val="000000"/>
              </w:rPr>
              <w:t>I.MDD</w:t>
            </w:r>
          </w:p>
        </w:tc>
        <w:tc>
          <w:tcPr>
            <w:tcW w:w="800" w:type="dxa"/>
            <w:tcBorders>
              <w:top w:val="single" w:sz="4" w:space="0" w:color="auto"/>
              <w:left w:val="nil"/>
              <w:bottom w:val="nil"/>
              <w:right w:val="nil"/>
            </w:tcBorders>
            <w:shd w:val="clear" w:color="auto" w:fill="auto"/>
            <w:noWrap/>
            <w:vAlign w:val="bottom"/>
            <w:hideMark/>
          </w:tcPr>
          <w:p w14:paraId="0F1BE6F7" w14:textId="63BF72E0" w:rsidR="00093C29" w:rsidRPr="00FF731C" w:rsidRDefault="00093C29" w:rsidP="00093C29">
            <w:pPr>
              <w:spacing w:after="0" w:line="240" w:lineRule="auto"/>
              <w:rPr>
                <w:rFonts w:eastAsia="Times New Roman" w:cstheme="minorHAnsi"/>
                <w:color w:val="000000"/>
              </w:rPr>
            </w:pPr>
            <w:r w:rsidRPr="00FF731C">
              <w:rPr>
                <w:rFonts w:eastAsia="Times New Roman" w:cstheme="minorHAnsi"/>
                <w:color w:val="000000"/>
              </w:rPr>
              <w:t>CTRL</w:t>
            </w:r>
          </w:p>
        </w:tc>
        <w:tc>
          <w:tcPr>
            <w:tcW w:w="2880" w:type="dxa"/>
            <w:tcBorders>
              <w:top w:val="single" w:sz="4" w:space="0" w:color="auto"/>
              <w:left w:val="nil"/>
              <w:bottom w:val="nil"/>
              <w:right w:val="nil"/>
            </w:tcBorders>
            <w:shd w:val="clear" w:color="auto" w:fill="auto"/>
            <w:noWrap/>
            <w:hideMark/>
          </w:tcPr>
          <w:p w14:paraId="3C784B33" w14:textId="345C2887" w:rsidR="00093C29" w:rsidRPr="00FF731C" w:rsidRDefault="00093C29" w:rsidP="00093C29">
            <w:pPr>
              <w:spacing w:after="0" w:line="240" w:lineRule="auto"/>
              <w:rPr>
                <w:rFonts w:ascii="Calibri" w:eastAsia="Times New Roman" w:hAnsi="Calibri" w:cs="Calibri"/>
                <w:color w:val="000000"/>
              </w:rPr>
            </w:pPr>
            <w:r w:rsidRPr="002425BA">
              <w:t>MDD bestPRS</w:t>
            </w:r>
            <w:r>
              <w:t>, sex</w:t>
            </w:r>
          </w:p>
        </w:tc>
        <w:tc>
          <w:tcPr>
            <w:tcW w:w="1700" w:type="dxa"/>
            <w:tcBorders>
              <w:top w:val="single" w:sz="4" w:space="0" w:color="auto"/>
              <w:left w:val="nil"/>
              <w:bottom w:val="nil"/>
              <w:right w:val="nil"/>
            </w:tcBorders>
            <w:shd w:val="clear" w:color="auto" w:fill="auto"/>
            <w:noWrap/>
            <w:vAlign w:val="bottom"/>
            <w:hideMark/>
          </w:tcPr>
          <w:p w14:paraId="6DE9C994" w14:textId="045C2E91"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0.650 </w:t>
            </w:r>
            <w:r w:rsidRPr="00093C29">
              <w:rPr>
                <w:rFonts w:ascii="Calibri" w:hAnsi="Calibri" w:cs="Calibri"/>
                <w:color w:val="000000"/>
              </w:rPr>
              <w:t>±</w:t>
            </w:r>
            <w:r>
              <w:rPr>
                <w:rFonts w:ascii="Calibri" w:hAnsi="Calibri" w:cs="Calibri"/>
                <w:color w:val="000000"/>
              </w:rPr>
              <w:t xml:space="preserve"> 0.001</w:t>
            </w:r>
          </w:p>
        </w:tc>
        <w:tc>
          <w:tcPr>
            <w:tcW w:w="1700" w:type="dxa"/>
            <w:tcBorders>
              <w:top w:val="single" w:sz="4" w:space="0" w:color="auto"/>
              <w:left w:val="nil"/>
              <w:bottom w:val="nil"/>
              <w:right w:val="nil"/>
            </w:tcBorders>
            <w:shd w:val="clear" w:color="auto" w:fill="auto"/>
            <w:noWrap/>
            <w:vAlign w:val="bottom"/>
            <w:hideMark/>
          </w:tcPr>
          <w:p w14:paraId="3CE71BBE" w14:textId="1C35C296"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0.710 </w:t>
            </w:r>
            <w:r w:rsidRPr="00AD7085">
              <w:t>±</w:t>
            </w:r>
            <w:r>
              <w:rPr>
                <w:rFonts w:ascii="Calibri" w:hAnsi="Calibri" w:cs="Calibri"/>
                <w:color w:val="000000"/>
              </w:rPr>
              <w:t xml:space="preserve"> 0.000</w:t>
            </w:r>
          </w:p>
        </w:tc>
        <w:tc>
          <w:tcPr>
            <w:tcW w:w="1700" w:type="dxa"/>
            <w:tcBorders>
              <w:top w:val="single" w:sz="4" w:space="0" w:color="auto"/>
              <w:left w:val="nil"/>
              <w:bottom w:val="nil"/>
              <w:right w:val="nil"/>
            </w:tcBorders>
            <w:shd w:val="clear" w:color="auto" w:fill="auto"/>
            <w:noWrap/>
            <w:vAlign w:val="bottom"/>
            <w:hideMark/>
          </w:tcPr>
          <w:p w14:paraId="09200DEF" w14:textId="5FDD9D9C"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0.788 ± 0.002</w:t>
            </w:r>
          </w:p>
        </w:tc>
        <w:tc>
          <w:tcPr>
            <w:tcW w:w="1700" w:type="dxa"/>
            <w:tcBorders>
              <w:top w:val="single" w:sz="4" w:space="0" w:color="auto"/>
              <w:left w:val="nil"/>
              <w:bottom w:val="nil"/>
              <w:right w:val="nil"/>
            </w:tcBorders>
            <w:shd w:val="clear" w:color="auto" w:fill="auto"/>
            <w:noWrap/>
            <w:vAlign w:val="bottom"/>
            <w:hideMark/>
          </w:tcPr>
          <w:p w14:paraId="2DC34F5C" w14:textId="5C618F2D"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0.646 ± 0.002</w:t>
            </w:r>
          </w:p>
        </w:tc>
        <w:tc>
          <w:tcPr>
            <w:tcW w:w="1700" w:type="dxa"/>
            <w:tcBorders>
              <w:top w:val="single" w:sz="4" w:space="0" w:color="auto"/>
              <w:left w:val="nil"/>
              <w:bottom w:val="nil"/>
              <w:right w:val="nil"/>
            </w:tcBorders>
            <w:shd w:val="clear" w:color="auto" w:fill="auto"/>
            <w:noWrap/>
            <w:vAlign w:val="bottom"/>
            <w:hideMark/>
          </w:tcPr>
          <w:p w14:paraId="38C8457A" w14:textId="47956A0F"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0.71</w:t>
            </w:r>
            <w:r w:rsidR="00AD2B8D">
              <w:rPr>
                <w:rFonts w:ascii="Calibri" w:hAnsi="Calibri" w:cs="Calibri"/>
                <w:color w:val="000000"/>
              </w:rPr>
              <w:t>0</w:t>
            </w:r>
            <w:r>
              <w:rPr>
                <w:rFonts w:ascii="Calibri" w:hAnsi="Calibri" w:cs="Calibri"/>
                <w:color w:val="000000"/>
              </w:rPr>
              <w:t xml:space="preserve"> ± 0.001</w:t>
            </w:r>
          </w:p>
        </w:tc>
      </w:tr>
      <w:tr w:rsidR="00093C29" w:rsidRPr="00FF731C" w14:paraId="3EED1645" w14:textId="77777777" w:rsidTr="00093C29">
        <w:trPr>
          <w:trHeight w:val="288"/>
        </w:trPr>
        <w:tc>
          <w:tcPr>
            <w:tcW w:w="1072" w:type="dxa"/>
            <w:tcBorders>
              <w:top w:val="nil"/>
              <w:left w:val="nil"/>
              <w:bottom w:val="single" w:sz="4" w:space="0" w:color="auto"/>
              <w:right w:val="nil"/>
            </w:tcBorders>
            <w:shd w:val="clear" w:color="auto" w:fill="auto"/>
            <w:noWrap/>
            <w:vAlign w:val="bottom"/>
            <w:hideMark/>
          </w:tcPr>
          <w:p w14:paraId="003016FA" w14:textId="77777777" w:rsidR="00093C29" w:rsidRPr="00FF731C" w:rsidRDefault="00093C29" w:rsidP="00093C29">
            <w:pPr>
              <w:spacing w:after="0" w:line="240" w:lineRule="auto"/>
              <w:rPr>
                <w:rFonts w:ascii="Calibri" w:eastAsia="Times New Roman" w:hAnsi="Calibri" w:cs="Calibri"/>
                <w:color w:val="000000"/>
              </w:rPr>
            </w:pPr>
          </w:p>
        </w:tc>
        <w:tc>
          <w:tcPr>
            <w:tcW w:w="800" w:type="dxa"/>
            <w:tcBorders>
              <w:top w:val="nil"/>
              <w:left w:val="nil"/>
              <w:bottom w:val="single" w:sz="4" w:space="0" w:color="auto"/>
              <w:right w:val="nil"/>
            </w:tcBorders>
            <w:shd w:val="clear" w:color="auto" w:fill="auto"/>
            <w:noWrap/>
            <w:vAlign w:val="bottom"/>
            <w:hideMark/>
          </w:tcPr>
          <w:p w14:paraId="4FEE1590" w14:textId="7B859A4B" w:rsidR="00093C29" w:rsidRPr="00FF731C" w:rsidRDefault="00093C29" w:rsidP="00093C29">
            <w:pPr>
              <w:spacing w:after="0" w:line="240" w:lineRule="auto"/>
              <w:rPr>
                <w:rFonts w:eastAsia="Times New Roman" w:cstheme="minorHAnsi"/>
              </w:rPr>
            </w:pPr>
            <w:r w:rsidRPr="00FF731C">
              <w:rPr>
                <w:rFonts w:eastAsia="Times New Roman" w:cstheme="minorHAnsi"/>
              </w:rPr>
              <w:t>MDD</w:t>
            </w:r>
          </w:p>
        </w:tc>
        <w:tc>
          <w:tcPr>
            <w:tcW w:w="2880" w:type="dxa"/>
            <w:tcBorders>
              <w:top w:val="nil"/>
              <w:left w:val="nil"/>
              <w:bottom w:val="single" w:sz="4" w:space="0" w:color="auto"/>
              <w:right w:val="nil"/>
            </w:tcBorders>
            <w:shd w:val="clear" w:color="auto" w:fill="auto"/>
            <w:noWrap/>
            <w:hideMark/>
          </w:tcPr>
          <w:p w14:paraId="7BBE1D9C" w14:textId="2FC14060" w:rsidR="00093C29" w:rsidRPr="00FF731C" w:rsidRDefault="00093C29" w:rsidP="00093C29">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4782F244" w14:textId="6FE9299F"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0594F9A4" w14:textId="5EEEBAD6"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3F39C160" w14:textId="35FB7913"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0.485 ± 0.001</w:t>
            </w:r>
          </w:p>
        </w:tc>
        <w:tc>
          <w:tcPr>
            <w:tcW w:w="1700" w:type="dxa"/>
            <w:tcBorders>
              <w:top w:val="nil"/>
              <w:left w:val="nil"/>
              <w:bottom w:val="single" w:sz="4" w:space="0" w:color="auto"/>
              <w:right w:val="nil"/>
            </w:tcBorders>
            <w:shd w:val="clear" w:color="auto" w:fill="auto"/>
            <w:noWrap/>
            <w:vAlign w:val="bottom"/>
            <w:hideMark/>
          </w:tcPr>
          <w:p w14:paraId="25BC4D94" w14:textId="15B9B994"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0.657 ± 0.004</w:t>
            </w:r>
          </w:p>
        </w:tc>
        <w:tc>
          <w:tcPr>
            <w:tcW w:w="1700" w:type="dxa"/>
            <w:tcBorders>
              <w:top w:val="nil"/>
              <w:left w:val="nil"/>
              <w:bottom w:val="single" w:sz="4" w:space="0" w:color="auto"/>
              <w:right w:val="nil"/>
            </w:tcBorders>
            <w:shd w:val="clear" w:color="auto" w:fill="auto"/>
            <w:noWrap/>
            <w:vAlign w:val="bottom"/>
            <w:hideMark/>
          </w:tcPr>
          <w:p w14:paraId="43F8E81A" w14:textId="58C58C3A"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0.558 ± 0.002</w:t>
            </w:r>
          </w:p>
        </w:tc>
      </w:tr>
      <w:tr w:rsidR="00093C29" w:rsidRPr="00FF731C" w14:paraId="36619ACF" w14:textId="77777777" w:rsidTr="00093C29">
        <w:trPr>
          <w:trHeight w:val="288"/>
        </w:trPr>
        <w:tc>
          <w:tcPr>
            <w:tcW w:w="1072" w:type="dxa"/>
            <w:tcBorders>
              <w:top w:val="single" w:sz="4" w:space="0" w:color="auto"/>
              <w:left w:val="nil"/>
              <w:bottom w:val="nil"/>
              <w:right w:val="nil"/>
            </w:tcBorders>
            <w:shd w:val="clear" w:color="auto" w:fill="auto"/>
            <w:noWrap/>
            <w:vAlign w:val="bottom"/>
            <w:hideMark/>
          </w:tcPr>
          <w:p w14:paraId="287C3354" w14:textId="5402DD5C" w:rsidR="00093C29" w:rsidRPr="00FF731C" w:rsidRDefault="00093C29" w:rsidP="00093C29">
            <w:pPr>
              <w:spacing w:after="0" w:line="240" w:lineRule="auto"/>
              <w:rPr>
                <w:rFonts w:ascii="Calibri" w:eastAsia="Times New Roman" w:hAnsi="Calibri" w:cs="Calibri"/>
                <w:color w:val="000000"/>
              </w:rPr>
            </w:pPr>
            <w:r>
              <w:rPr>
                <w:rFonts w:ascii="Calibri" w:eastAsia="Times New Roman" w:hAnsi="Calibri" w:cs="Calibri"/>
                <w:color w:val="000000"/>
              </w:rPr>
              <w:t>B.II.MDD</w:t>
            </w:r>
          </w:p>
        </w:tc>
        <w:tc>
          <w:tcPr>
            <w:tcW w:w="800" w:type="dxa"/>
            <w:tcBorders>
              <w:top w:val="single" w:sz="4" w:space="0" w:color="auto"/>
              <w:left w:val="nil"/>
              <w:bottom w:val="nil"/>
              <w:right w:val="nil"/>
            </w:tcBorders>
            <w:shd w:val="clear" w:color="auto" w:fill="auto"/>
            <w:noWrap/>
            <w:vAlign w:val="bottom"/>
            <w:hideMark/>
          </w:tcPr>
          <w:p w14:paraId="3FC9E453" w14:textId="64491EFF" w:rsidR="00093C29" w:rsidRPr="00FF731C" w:rsidRDefault="00093C29" w:rsidP="00093C29">
            <w:pPr>
              <w:spacing w:after="0" w:line="240" w:lineRule="auto"/>
              <w:rPr>
                <w:rFonts w:eastAsia="Times New Roman" w:cstheme="minorHAnsi"/>
              </w:rPr>
            </w:pPr>
            <w:r w:rsidRPr="00FF731C">
              <w:rPr>
                <w:rFonts w:eastAsia="Times New Roman" w:cstheme="minorHAnsi"/>
              </w:rPr>
              <w:t>CTRL</w:t>
            </w:r>
          </w:p>
        </w:tc>
        <w:tc>
          <w:tcPr>
            <w:tcW w:w="2880" w:type="dxa"/>
            <w:tcBorders>
              <w:top w:val="nil"/>
              <w:left w:val="nil"/>
              <w:bottom w:val="nil"/>
              <w:right w:val="nil"/>
            </w:tcBorders>
            <w:shd w:val="clear" w:color="auto" w:fill="auto"/>
            <w:noWrap/>
            <w:hideMark/>
          </w:tcPr>
          <w:p w14:paraId="3F491094" w14:textId="12549564" w:rsidR="00093C29" w:rsidRPr="00FF731C" w:rsidRDefault="00093C29" w:rsidP="00093C29">
            <w:pPr>
              <w:spacing w:after="0" w:line="240" w:lineRule="auto"/>
              <w:rPr>
                <w:rFonts w:ascii="Calibri" w:eastAsia="Times New Roman" w:hAnsi="Calibri" w:cs="Calibri"/>
                <w:color w:val="000000"/>
              </w:rPr>
            </w:pPr>
            <w:r w:rsidRPr="002425BA">
              <w:t>All 42 bestPRSs</w:t>
            </w:r>
            <w:r>
              <w:t>, sex</w:t>
            </w:r>
          </w:p>
        </w:tc>
        <w:tc>
          <w:tcPr>
            <w:tcW w:w="1700" w:type="dxa"/>
            <w:tcBorders>
              <w:top w:val="nil"/>
              <w:left w:val="nil"/>
              <w:bottom w:val="nil"/>
              <w:right w:val="nil"/>
            </w:tcBorders>
            <w:shd w:val="clear" w:color="auto" w:fill="auto"/>
            <w:noWrap/>
            <w:vAlign w:val="bottom"/>
            <w:hideMark/>
          </w:tcPr>
          <w:p w14:paraId="710DE218" w14:textId="49AF01F0"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0.751 </w:t>
            </w:r>
            <w:r w:rsidRPr="00AD7085">
              <w:t>±</w:t>
            </w:r>
            <w:r>
              <w:rPr>
                <w:rFonts w:ascii="Calibri" w:hAnsi="Calibri" w:cs="Calibri"/>
                <w:color w:val="000000"/>
              </w:rPr>
              <w:t xml:space="preserve"> 0.002</w:t>
            </w:r>
          </w:p>
        </w:tc>
        <w:tc>
          <w:tcPr>
            <w:tcW w:w="1700" w:type="dxa"/>
            <w:tcBorders>
              <w:top w:val="nil"/>
              <w:left w:val="nil"/>
              <w:bottom w:val="nil"/>
              <w:right w:val="nil"/>
            </w:tcBorders>
            <w:shd w:val="clear" w:color="auto" w:fill="auto"/>
            <w:noWrap/>
            <w:vAlign w:val="bottom"/>
            <w:hideMark/>
          </w:tcPr>
          <w:p w14:paraId="3CA794E0" w14:textId="74852709"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0.810 </w:t>
            </w:r>
            <w:r w:rsidRPr="00AD7085">
              <w:t>±</w:t>
            </w:r>
            <w:r>
              <w:rPr>
                <w:rFonts w:ascii="Calibri" w:hAnsi="Calibri" w:cs="Calibri"/>
                <w:color w:val="000000"/>
              </w:rPr>
              <w:t xml:space="preserve"> 0.001</w:t>
            </w:r>
          </w:p>
        </w:tc>
        <w:tc>
          <w:tcPr>
            <w:tcW w:w="1700" w:type="dxa"/>
            <w:tcBorders>
              <w:top w:val="nil"/>
              <w:left w:val="nil"/>
              <w:bottom w:val="nil"/>
              <w:right w:val="nil"/>
            </w:tcBorders>
            <w:shd w:val="clear" w:color="auto" w:fill="auto"/>
            <w:noWrap/>
            <w:vAlign w:val="bottom"/>
            <w:hideMark/>
          </w:tcPr>
          <w:p w14:paraId="04072D6B" w14:textId="3DD6D5EE"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0.771 ± 0.003</w:t>
            </w:r>
          </w:p>
        </w:tc>
        <w:tc>
          <w:tcPr>
            <w:tcW w:w="1700" w:type="dxa"/>
            <w:tcBorders>
              <w:top w:val="nil"/>
              <w:left w:val="nil"/>
              <w:bottom w:val="nil"/>
              <w:right w:val="nil"/>
            </w:tcBorders>
            <w:shd w:val="clear" w:color="auto" w:fill="auto"/>
            <w:noWrap/>
            <w:vAlign w:val="bottom"/>
            <w:hideMark/>
          </w:tcPr>
          <w:p w14:paraId="226625C2" w14:textId="4127E4B3"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0.887 ± 0.002</w:t>
            </w:r>
          </w:p>
        </w:tc>
        <w:tc>
          <w:tcPr>
            <w:tcW w:w="1700" w:type="dxa"/>
            <w:tcBorders>
              <w:top w:val="nil"/>
              <w:left w:val="nil"/>
              <w:bottom w:val="nil"/>
              <w:right w:val="nil"/>
            </w:tcBorders>
            <w:shd w:val="clear" w:color="auto" w:fill="auto"/>
            <w:noWrap/>
            <w:vAlign w:val="bottom"/>
            <w:hideMark/>
          </w:tcPr>
          <w:p w14:paraId="43C34CAE" w14:textId="13979864"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0.825 ± 0.001</w:t>
            </w:r>
          </w:p>
        </w:tc>
      </w:tr>
      <w:tr w:rsidR="00093C29" w:rsidRPr="00FF731C" w14:paraId="69E944B2" w14:textId="77777777" w:rsidTr="00093C29">
        <w:trPr>
          <w:trHeight w:val="288"/>
        </w:trPr>
        <w:tc>
          <w:tcPr>
            <w:tcW w:w="1072" w:type="dxa"/>
            <w:tcBorders>
              <w:top w:val="nil"/>
              <w:left w:val="nil"/>
              <w:bottom w:val="single" w:sz="4" w:space="0" w:color="auto"/>
              <w:right w:val="nil"/>
            </w:tcBorders>
            <w:shd w:val="clear" w:color="auto" w:fill="auto"/>
            <w:noWrap/>
            <w:vAlign w:val="bottom"/>
            <w:hideMark/>
          </w:tcPr>
          <w:p w14:paraId="597CCABE" w14:textId="77777777" w:rsidR="00093C29" w:rsidRPr="00FF731C" w:rsidRDefault="00093C29" w:rsidP="00093C29">
            <w:pPr>
              <w:spacing w:after="0" w:line="240" w:lineRule="auto"/>
              <w:rPr>
                <w:rFonts w:ascii="Calibri" w:eastAsia="Times New Roman" w:hAnsi="Calibri" w:cs="Calibri"/>
                <w:color w:val="000000"/>
              </w:rPr>
            </w:pPr>
          </w:p>
        </w:tc>
        <w:tc>
          <w:tcPr>
            <w:tcW w:w="800" w:type="dxa"/>
            <w:tcBorders>
              <w:top w:val="nil"/>
              <w:left w:val="nil"/>
              <w:bottom w:val="single" w:sz="4" w:space="0" w:color="auto"/>
              <w:right w:val="nil"/>
            </w:tcBorders>
            <w:shd w:val="clear" w:color="auto" w:fill="auto"/>
            <w:noWrap/>
            <w:vAlign w:val="bottom"/>
            <w:hideMark/>
          </w:tcPr>
          <w:p w14:paraId="237AC92C" w14:textId="626E64F7" w:rsidR="00093C29" w:rsidRPr="00FF731C" w:rsidRDefault="00093C29" w:rsidP="00093C29">
            <w:pPr>
              <w:spacing w:after="0" w:line="240" w:lineRule="auto"/>
              <w:rPr>
                <w:rFonts w:eastAsia="Times New Roman" w:cstheme="minorHAnsi"/>
              </w:rPr>
            </w:pPr>
            <w:r w:rsidRPr="00FF731C">
              <w:rPr>
                <w:rFonts w:eastAsia="Times New Roman" w:cstheme="minorHAnsi"/>
              </w:rPr>
              <w:t>MDD</w:t>
            </w:r>
          </w:p>
        </w:tc>
        <w:tc>
          <w:tcPr>
            <w:tcW w:w="2880" w:type="dxa"/>
            <w:tcBorders>
              <w:top w:val="nil"/>
              <w:left w:val="nil"/>
              <w:bottom w:val="single" w:sz="4" w:space="0" w:color="auto"/>
              <w:right w:val="nil"/>
            </w:tcBorders>
            <w:shd w:val="clear" w:color="auto" w:fill="auto"/>
            <w:noWrap/>
            <w:hideMark/>
          </w:tcPr>
          <w:p w14:paraId="388450E9" w14:textId="4B3BEFBB" w:rsidR="00093C29" w:rsidRPr="00FF731C" w:rsidRDefault="00093C29" w:rsidP="00093C29">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4720CFC3" w14:textId="39BE02EE"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50CF52DE" w14:textId="49832CB1"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3CAADF1F" w14:textId="34AF1C07"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0.684 ± 0.001</w:t>
            </w:r>
          </w:p>
        </w:tc>
        <w:tc>
          <w:tcPr>
            <w:tcW w:w="1700" w:type="dxa"/>
            <w:tcBorders>
              <w:top w:val="nil"/>
              <w:left w:val="nil"/>
              <w:bottom w:val="single" w:sz="4" w:space="0" w:color="auto"/>
              <w:right w:val="nil"/>
            </w:tcBorders>
            <w:shd w:val="clear" w:color="auto" w:fill="auto"/>
            <w:noWrap/>
            <w:vAlign w:val="bottom"/>
            <w:hideMark/>
          </w:tcPr>
          <w:p w14:paraId="023E8540" w14:textId="050572DA"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0.482 ± 0.009</w:t>
            </w:r>
          </w:p>
        </w:tc>
        <w:tc>
          <w:tcPr>
            <w:tcW w:w="1700" w:type="dxa"/>
            <w:tcBorders>
              <w:top w:val="nil"/>
              <w:left w:val="nil"/>
              <w:bottom w:val="single" w:sz="4" w:space="0" w:color="auto"/>
              <w:right w:val="nil"/>
            </w:tcBorders>
            <w:shd w:val="clear" w:color="auto" w:fill="auto"/>
            <w:noWrap/>
            <w:vAlign w:val="bottom"/>
            <w:hideMark/>
          </w:tcPr>
          <w:p w14:paraId="338AABB0" w14:textId="3A374978"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0.565 ± 0.006</w:t>
            </w:r>
          </w:p>
        </w:tc>
      </w:tr>
      <w:tr w:rsidR="00093C29" w:rsidRPr="00FF731C" w14:paraId="22E674A5" w14:textId="77777777" w:rsidTr="00093C29">
        <w:trPr>
          <w:trHeight w:val="288"/>
        </w:trPr>
        <w:tc>
          <w:tcPr>
            <w:tcW w:w="1072" w:type="dxa"/>
            <w:tcBorders>
              <w:top w:val="single" w:sz="4" w:space="0" w:color="auto"/>
              <w:left w:val="nil"/>
              <w:bottom w:val="nil"/>
              <w:right w:val="nil"/>
            </w:tcBorders>
            <w:shd w:val="clear" w:color="auto" w:fill="auto"/>
            <w:noWrap/>
            <w:vAlign w:val="bottom"/>
            <w:hideMark/>
          </w:tcPr>
          <w:p w14:paraId="34FD55A1" w14:textId="4B0F65C3" w:rsidR="00093C29" w:rsidRPr="00FF731C" w:rsidRDefault="00093C29" w:rsidP="00093C29">
            <w:pPr>
              <w:spacing w:after="0" w:line="240" w:lineRule="auto"/>
              <w:rPr>
                <w:rFonts w:ascii="Calibri" w:eastAsia="Times New Roman" w:hAnsi="Calibri" w:cs="Calibri"/>
                <w:color w:val="000000"/>
              </w:rPr>
            </w:pPr>
            <w:r>
              <w:rPr>
                <w:rFonts w:ascii="Calibri" w:eastAsia="Times New Roman" w:hAnsi="Calibri" w:cs="Calibri"/>
                <w:color w:val="000000"/>
              </w:rPr>
              <w:t>B.III.MDD</w:t>
            </w:r>
          </w:p>
        </w:tc>
        <w:tc>
          <w:tcPr>
            <w:tcW w:w="800" w:type="dxa"/>
            <w:tcBorders>
              <w:top w:val="single" w:sz="4" w:space="0" w:color="auto"/>
              <w:left w:val="nil"/>
              <w:bottom w:val="nil"/>
              <w:right w:val="nil"/>
            </w:tcBorders>
            <w:shd w:val="clear" w:color="auto" w:fill="auto"/>
            <w:noWrap/>
            <w:vAlign w:val="bottom"/>
            <w:hideMark/>
          </w:tcPr>
          <w:p w14:paraId="75CAC9B7" w14:textId="4BF715D1" w:rsidR="00093C29" w:rsidRPr="00FF731C" w:rsidRDefault="00093C29" w:rsidP="00093C29">
            <w:pPr>
              <w:spacing w:after="0" w:line="240" w:lineRule="auto"/>
              <w:rPr>
                <w:rFonts w:eastAsia="Times New Roman" w:cstheme="minorHAnsi"/>
              </w:rPr>
            </w:pPr>
            <w:r w:rsidRPr="00FF731C">
              <w:rPr>
                <w:rFonts w:eastAsia="Times New Roman" w:cstheme="minorHAnsi"/>
              </w:rPr>
              <w:t>CTRL</w:t>
            </w:r>
          </w:p>
        </w:tc>
        <w:tc>
          <w:tcPr>
            <w:tcW w:w="2880" w:type="dxa"/>
            <w:tcBorders>
              <w:top w:val="nil"/>
              <w:left w:val="nil"/>
              <w:bottom w:val="nil"/>
              <w:right w:val="nil"/>
            </w:tcBorders>
            <w:shd w:val="clear" w:color="auto" w:fill="auto"/>
            <w:noWrap/>
            <w:hideMark/>
          </w:tcPr>
          <w:p w14:paraId="7FA97593" w14:textId="305E923D" w:rsidR="00093C29" w:rsidRPr="00FF731C" w:rsidRDefault="00093C29" w:rsidP="00093C29">
            <w:pPr>
              <w:spacing w:after="0" w:line="240" w:lineRule="auto"/>
              <w:rPr>
                <w:rFonts w:ascii="Calibri" w:eastAsia="Times New Roman" w:hAnsi="Calibri" w:cs="Calibri"/>
                <w:color w:val="000000"/>
              </w:rPr>
            </w:pPr>
            <w:r w:rsidRPr="002425BA">
              <w:t>All but no MDD bestPRS</w:t>
            </w:r>
            <w:r>
              <w:t>, sex</w:t>
            </w:r>
          </w:p>
        </w:tc>
        <w:tc>
          <w:tcPr>
            <w:tcW w:w="1700" w:type="dxa"/>
            <w:tcBorders>
              <w:top w:val="nil"/>
              <w:left w:val="nil"/>
              <w:bottom w:val="nil"/>
              <w:right w:val="nil"/>
            </w:tcBorders>
            <w:shd w:val="clear" w:color="auto" w:fill="auto"/>
            <w:noWrap/>
            <w:vAlign w:val="bottom"/>
            <w:hideMark/>
          </w:tcPr>
          <w:p w14:paraId="23109199" w14:textId="4ACBEA0D"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0.722 </w:t>
            </w:r>
            <w:r w:rsidRPr="00AD7085">
              <w:t>±</w:t>
            </w:r>
            <w:r>
              <w:rPr>
                <w:rFonts w:ascii="Calibri" w:hAnsi="Calibri" w:cs="Calibri"/>
                <w:color w:val="000000"/>
              </w:rPr>
              <w:t xml:space="preserve"> 0.005</w:t>
            </w:r>
          </w:p>
        </w:tc>
        <w:tc>
          <w:tcPr>
            <w:tcW w:w="1700" w:type="dxa"/>
            <w:tcBorders>
              <w:top w:val="nil"/>
              <w:left w:val="nil"/>
              <w:bottom w:val="nil"/>
              <w:right w:val="nil"/>
            </w:tcBorders>
            <w:shd w:val="clear" w:color="auto" w:fill="auto"/>
            <w:noWrap/>
            <w:vAlign w:val="bottom"/>
            <w:hideMark/>
          </w:tcPr>
          <w:p w14:paraId="4DAE6489" w14:textId="6868153F"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xml:space="preserve">0.753 </w:t>
            </w:r>
            <w:r w:rsidRPr="00AD7085">
              <w:t>±</w:t>
            </w:r>
            <w:r>
              <w:rPr>
                <w:rFonts w:ascii="Calibri" w:hAnsi="Calibri" w:cs="Calibri"/>
                <w:color w:val="000000"/>
              </w:rPr>
              <w:t xml:space="preserve"> 0.002</w:t>
            </w:r>
          </w:p>
        </w:tc>
        <w:tc>
          <w:tcPr>
            <w:tcW w:w="1700" w:type="dxa"/>
            <w:tcBorders>
              <w:top w:val="nil"/>
              <w:left w:val="nil"/>
              <w:bottom w:val="nil"/>
              <w:right w:val="nil"/>
            </w:tcBorders>
            <w:shd w:val="clear" w:color="auto" w:fill="auto"/>
            <w:noWrap/>
            <w:vAlign w:val="bottom"/>
            <w:hideMark/>
          </w:tcPr>
          <w:p w14:paraId="3653C053" w14:textId="6EDA4BA8"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0.74</w:t>
            </w:r>
            <w:r w:rsidR="00AD2B8D">
              <w:rPr>
                <w:rFonts w:ascii="Calibri" w:hAnsi="Calibri" w:cs="Calibri"/>
                <w:color w:val="000000"/>
              </w:rPr>
              <w:t>0</w:t>
            </w:r>
            <w:r>
              <w:rPr>
                <w:rFonts w:ascii="Calibri" w:hAnsi="Calibri" w:cs="Calibri"/>
                <w:color w:val="000000"/>
              </w:rPr>
              <w:t xml:space="preserve"> ± 0.004</w:t>
            </w:r>
          </w:p>
        </w:tc>
        <w:tc>
          <w:tcPr>
            <w:tcW w:w="1700" w:type="dxa"/>
            <w:tcBorders>
              <w:top w:val="nil"/>
              <w:left w:val="nil"/>
              <w:bottom w:val="nil"/>
              <w:right w:val="nil"/>
            </w:tcBorders>
            <w:shd w:val="clear" w:color="auto" w:fill="auto"/>
            <w:noWrap/>
            <w:vAlign w:val="bottom"/>
            <w:hideMark/>
          </w:tcPr>
          <w:p w14:paraId="460600DA" w14:textId="167FEE6F"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0.893 ± 0.006</w:t>
            </w:r>
          </w:p>
        </w:tc>
        <w:tc>
          <w:tcPr>
            <w:tcW w:w="1700" w:type="dxa"/>
            <w:tcBorders>
              <w:top w:val="nil"/>
              <w:left w:val="nil"/>
              <w:bottom w:val="nil"/>
              <w:right w:val="nil"/>
            </w:tcBorders>
            <w:shd w:val="clear" w:color="auto" w:fill="auto"/>
            <w:noWrap/>
            <w:vAlign w:val="bottom"/>
            <w:hideMark/>
          </w:tcPr>
          <w:p w14:paraId="6F5B76B8" w14:textId="4A12AF5E"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0.81</w:t>
            </w:r>
            <w:r w:rsidR="00AD2B8D">
              <w:rPr>
                <w:rFonts w:ascii="Calibri" w:hAnsi="Calibri" w:cs="Calibri"/>
                <w:color w:val="000000"/>
              </w:rPr>
              <w:t>0</w:t>
            </w:r>
            <w:r>
              <w:rPr>
                <w:rFonts w:ascii="Calibri" w:hAnsi="Calibri" w:cs="Calibri"/>
                <w:color w:val="000000"/>
              </w:rPr>
              <w:t xml:space="preserve"> ± 0.004</w:t>
            </w:r>
          </w:p>
        </w:tc>
      </w:tr>
      <w:tr w:rsidR="00093C29" w:rsidRPr="00FF731C" w14:paraId="24064456" w14:textId="77777777" w:rsidTr="00093C29">
        <w:trPr>
          <w:trHeight w:val="288"/>
        </w:trPr>
        <w:tc>
          <w:tcPr>
            <w:tcW w:w="1072" w:type="dxa"/>
            <w:tcBorders>
              <w:top w:val="nil"/>
              <w:left w:val="nil"/>
              <w:bottom w:val="single" w:sz="4" w:space="0" w:color="auto"/>
              <w:right w:val="nil"/>
            </w:tcBorders>
            <w:shd w:val="clear" w:color="auto" w:fill="auto"/>
            <w:noWrap/>
            <w:vAlign w:val="bottom"/>
            <w:hideMark/>
          </w:tcPr>
          <w:p w14:paraId="7E15A4E5" w14:textId="6DDD726F" w:rsidR="00093C29" w:rsidRPr="00FF731C" w:rsidRDefault="00093C29" w:rsidP="00093C29">
            <w:pPr>
              <w:spacing w:after="0" w:line="240" w:lineRule="auto"/>
              <w:rPr>
                <w:rFonts w:ascii="Calibri" w:eastAsia="Times New Roman" w:hAnsi="Calibri" w:cs="Calibri"/>
                <w:color w:val="000000"/>
              </w:rPr>
            </w:pPr>
            <w:r w:rsidRPr="00FF731C">
              <w:rPr>
                <w:rFonts w:ascii="Calibri" w:eastAsia="Times New Roman" w:hAnsi="Calibri" w:cs="Calibri"/>
                <w:color w:val="000000"/>
              </w:rPr>
              <w:t> </w:t>
            </w:r>
          </w:p>
        </w:tc>
        <w:tc>
          <w:tcPr>
            <w:tcW w:w="800" w:type="dxa"/>
            <w:tcBorders>
              <w:top w:val="nil"/>
              <w:left w:val="nil"/>
              <w:bottom w:val="single" w:sz="4" w:space="0" w:color="auto"/>
              <w:right w:val="nil"/>
            </w:tcBorders>
            <w:shd w:val="clear" w:color="auto" w:fill="auto"/>
            <w:noWrap/>
            <w:vAlign w:val="bottom"/>
            <w:hideMark/>
          </w:tcPr>
          <w:p w14:paraId="1F63E5EC" w14:textId="2852B04B" w:rsidR="00093C29" w:rsidRPr="00FF731C" w:rsidRDefault="00093C29" w:rsidP="00093C29">
            <w:pPr>
              <w:spacing w:after="0" w:line="240" w:lineRule="auto"/>
              <w:rPr>
                <w:rFonts w:eastAsia="Times New Roman" w:cstheme="minorHAnsi"/>
                <w:color w:val="000000"/>
              </w:rPr>
            </w:pPr>
            <w:r w:rsidRPr="00FF731C">
              <w:rPr>
                <w:rFonts w:eastAsia="Times New Roman" w:cstheme="minorHAnsi"/>
                <w:color w:val="000000"/>
              </w:rPr>
              <w:t>MDD</w:t>
            </w:r>
          </w:p>
        </w:tc>
        <w:tc>
          <w:tcPr>
            <w:tcW w:w="2880" w:type="dxa"/>
            <w:tcBorders>
              <w:top w:val="nil"/>
              <w:left w:val="nil"/>
              <w:bottom w:val="single" w:sz="4" w:space="0" w:color="auto"/>
              <w:right w:val="nil"/>
            </w:tcBorders>
            <w:shd w:val="clear" w:color="auto" w:fill="auto"/>
            <w:noWrap/>
            <w:hideMark/>
          </w:tcPr>
          <w:p w14:paraId="5678449B" w14:textId="724C0B60" w:rsidR="00093C29" w:rsidRPr="00FF731C" w:rsidRDefault="00093C29" w:rsidP="00093C29">
            <w:pPr>
              <w:spacing w:after="0" w:line="240" w:lineRule="auto"/>
              <w:rPr>
                <w:rFonts w:ascii="Calibri" w:eastAsia="Times New Roman" w:hAnsi="Calibri" w:cs="Calibri"/>
                <w:color w:val="000000"/>
              </w:rPr>
            </w:pPr>
          </w:p>
        </w:tc>
        <w:tc>
          <w:tcPr>
            <w:tcW w:w="1700" w:type="dxa"/>
            <w:tcBorders>
              <w:top w:val="nil"/>
              <w:left w:val="nil"/>
              <w:bottom w:val="single" w:sz="4" w:space="0" w:color="auto"/>
              <w:right w:val="nil"/>
            </w:tcBorders>
            <w:shd w:val="clear" w:color="auto" w:fill="auto"/>
            <w:noWrap/>
            <w:vAlign w:val="bottom"/>
            <w:hideMark/>
          </w:tcPr>
          <w:p w14:paraId="5EECDF26" w14:textId="6726607D"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4039A3C6" w14:textId="4650976B"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 </w:t>
            </w:r>
          </w:p>
        </w:tc>
        <w:tc>
          <w:tcPr>
            <w:tcW w:w="1700" w:type="dxa"/>
            <w:tcBorders>
              <w:top w:val="nil"/>
              <w:left w:val="nil"/>
              <w:bottom w:val="single" w:sz="4" w:space="0" w:color="auto"/>
              <w:right w:val="nil"/>
            </w:tcBorders>
            <w:shd w:val="clear" w:color="auto" w:fill="auto"/>
            <w:noWrap/>
            <w:vAlign w:val="bottom"/>
            <w:hideMark/>
          </w:tcPr>
          <w:p w14:paraId="7E4CBD24" w14:textId="19BD7A45"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0.646 ± 0.016</w:t>
            </w:r>
          </w:p>
        </w:tc>
        <w:tc>
          <w:tcPr>
            <w:tcW w:w="1700" w:type="dxa"/>
            <w:tcBorders>
              <w:top w:val="nil"/>
              <w:left w:val="nil"/>
              <w:bottom w:val="single" w:sz="4" w:space="0" w:color="auto"/>
              <w:right w:val="nil"/>
            </w:tcBorders>
            <w:shd w:val="clear" w:color="auto" w:fill="auto"/>
            <w:noWrap/>
            <w:vAlign w:val="bottom"/>
            <w:hideMark/>
          </w:tcPr>
          <w:p w14:paraId="61010297" w14:textId="7DB06835"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0.383 ± 0.008</w:t>
            </w:r>
          </w:p>
        </w:tc>
        <w:tc>
          <w:tcPr>
            <w:tcW w:w="1700" w:type="dxa"/>
            <w:tcBorders>
              <w:top w:val="nil"/>
              <w:left w:val="nil"/>
              <w:bottom w:val="single" w:sz="4" w:space="0" w:color="auto"/>
              <w:right w:val="nil"/>
            </w:tcBorders>
            <w:shd w:val="clear" w:color="auto" w:fill="auto"/>
            <w:noWrap/>
            <w:vAlign w:val="bottom"/>
            <w:hideMark/>
          </w:tcPr>
          <w:p w14:paraId="7ECD4613" w14:textId="49DE94E5" w:rsidR="00093C29" w:rsidRPr="00FF731C" w:rsidRDefault="00093C29" w:rsidP="00093C29">
            <w:pPr>
              <w:spacing w:after="0" w:line="240" w:lineRule="auto"/>
              <w:rPr>
                <w:rFonts w:ascii="Calibri" w:eastAsia="Times New Roman" w:hAnsi="Calibri" w:cs="Calibri"/>
                <w:color w:val="000000"/>
              </w:rPr>
            </w:pPr>
            <w:r>
              <w:rPr>
                <w:rFonts w:ascii="Calibri" w:hAnsi="Calibri" w:cs="Calibri"/>
                <w:color w:val="000000"/>
              </w:rPr>
              <w:t>0.481 ± 0.01</w:t>
            </w:r>
            <w:r w:rsidR="00AD2B8D">
              <w:rPr>
                <w:rFonts w:ascii="Calibri" w:hAnsi="Calibri" w:cs="Calibri"/>
                <w:color w:val="000000"/>
              </w:rPr>
              <w:t>0</w:t>
            </w:r>
          </w:p>
        </w:tc>
      </w:tr>
    </w:tbl>
    <w:p w14:paraId="493D485D" w14:textId="1D758C86" w:rsidR="00244CEA" w:rsidRDefault="00D76C8E">
      <w:r>
        <w:lastRenderedPageBreak/>
        <w:t>References</w:t>
      </w:r>
    </w:p>
    <w:p w14:paraId="52D0C488" w14:textId="77777777" w:rsidR="009B7C37" w:rsidRPr="009B7C37" w:rsidRDefault="00D76C8E" w:rsidP="009B7C37">
      <w:pPr>
        <w:pStyle w:val="Bibliography"/>
        <w:rPr>
          <w:rFonts w:ascii="Calibri" w:hAnsi="Calibri" w:cs="Calibri"/>
        </w:rPr>
      </w:pPr>
      <w:r>
        <w:fldChar w:fldCharType="begin"/>
      </w:r>
      <w:r w:rsidR="009B7C37">
        <w:instrText xml:space="preserve"> ADDIN ZOTERO_BIBL {"uncited":[],"omitted":[],"custom":[]} CSL_BIBLIOGRAPHY </w:instrText>
      </w:r>
      <w:r>
        <w:fldChar w:fldCharType="separate"/>
      </w:r>
      <w:r w:rsidR="009B7C37" w:rsidRPr="009B7C37">
        <w:rPr>
          <w:rFonts w:ascii="Calibri" w:hAnsi="Calibri" w:cs="Calibri"/>
        </w:rPr>
        <w:t xml:space="preserve">1. </w:t>
      </w:r>
      <w:r w:rsidR="009B7C37" w:rsidRPr="009B7C37">
        <w:rPr>
          <w:rFonts w:ascii="Calibri" w:hAnsi="Calibri" w:cs="Calibri"/>
        </w:rPr>
        <w:tab/>
        <w:t>Jansen IE, Savage JE, Watanabe K, Bryois J, Williams DM, Steinberg S, et al. Genome-wide meta-analysis identifies new loci and functional pathways influencing Alzheimer’s disease risk. Nat Genet. 2019;51:404–413.</w:t>
      </w:r>
    </w:p>
    <w:p w14:paraId="2E1073F8" w14:textId="77777777" w:rsidR="009B7C37" w:rsidRPr="009B7C37" w:rsidRDefault="009B7C37" w:rsidP="009B7C37">
      <w:pPr>
        <w:pStyle w:val="Bibliography"/>
        <w:rPr>
          <w:rFonts w:ascii="Calibri" w:hAnsi="Calibri" w:cs="Calibri"/>
        </w:rPr>
      </w:pPr>
      <w:r w:rsidRPr="009B7C37">
        <w:rPr>
          <w:rFonts w:ascii="Calibri" w:hAnsi="Calibri" w:cs="Calibri"/>
        </w:rPr>
        <w:t xml:space="preserve">2. </w:t>
      </w:r>
      <w:r w:rsidRPr="009B7C37">
        <w:rPr>
          <w:rFonts w:ascii="Calibri" w:hAnsi="Calibri" w:cs="Calibri"/>
        </w:rPr>
        <w:tab/>
        <w:t>Demontis D, Walters RK, Rajagopal VM, Waldman ID, Grove J, Als TD, et al. Risk variants and polygenic architecture of disruptive behavior disorders in the context of attention-deficit/hyperactivity disorder. Nat Commun. 2021;12:576.</w:t>
      </w:r>
    </w:p>
    <w:p w14:paraId="483DAD69" w14:textId="77777777" w:rsidR="009B7C37" w:rsidRPr="009B7C37" w:rsidRDefault="009B7C37" w:rsidP="009B7C37">
      <w:pPr>
        <w:pStyle w:val="Bibliography"/>
        <w:rPr>
          <w:rFonts w:ascii="Calibri" w:hAnsi="Calibri" w:cs="Calibri"/>
        </w:rPr>
      </w:pPr>
      <w:r w:rsidRPr="009B7C37">
        <w:rPr>
          <w:rFonts w:ascii="Calibri" w:hAnsi="Calibri" w:cs="Calibri"/>
        </w:rPr>
        <w:t xml:space="preserve">3. </w:t>
      </w:r>
      <w:r w:rsidRPr="009B7C37">
        <w:rPr>
          <w:rFonts w:ascii="Calibri" w:hAnsi="Calibri" w:cs="Calibri"/>
        </w:rPr>
        <w:tab/>
        <w:t>Boraska V, Franklin CS, Floyd J a. B, Thornton LM, Huckins LM, Southam L, et al. A genome-wide association study of anorexia nervosa. Mol Psychiatry. 2014;19:1085–1094.</w:t>
      </w:r>
    </w:p>
    <w:p w14:paraId="01327774" w14:textId="77777777" w:rsidR="009B7C37" w:rsidRPr="009B7C37" w:rsidRDefault="009B7C37" w:rsidP="009B7C37">
      <w:pPr>
        <w:pStyle w:val="Bibliography"/>
        <w:rPr>
          <w:rFonts w:ascii="Calibri" w:hAnsi="Calibri" w:cs="Calibri"/>
        </w:rPr>
      </w:pPr>
      <w:r w:rsidRPr="009B7C37">
        <w:rPr>
          <w:rFonts w:ascii="Calibri" w:hAnsi="Calibri" w:cs="Calibri"/>
        </w:rPr>
        <w:t xml:space="preserve">4. </w:t>
      </w:r>
      <w:r w:rsidRPr="009B7C37">
        <w:rPr>
          <w:rFonts w:ascii="Calibri" w:hAnsi="Calibri" w:cs="Calibri"/>
        </w:rPr>
        <w:tab/>
        <w:t>Otowa T, Hek K, Lee M, Byrne EM, Mirza SS, Nivard MG, et al. Meta-analysis of genome-wide association studies of anxiety disorders. Mol Psychiatry. 2016;21:1391–1399.</w:t>
      </w:r>
    </w:p>
    <w:p w14:paraId="081D5C9C" w14:textId="77777777" w:rsidR="009B7C37" w:rsidRPr="009B7C37" w:rsidRDefault="009B7C37" w:rsidP="009B7C37">
      <w:pPr>
        <w:pStyle w:val="Bibliography"/>
        <w:rPr>
          <w:rFonts w:ascii="Calibri" w:hAnsi="Calibri" w:cs="Calibri"/>
        </w:rPr>
      </w:pPr>
      <w:r w:rsidRPr="009B7C37">
        <w:rPr>
          <w:rFonts w:ascii="Calibri" w:hAnsi="Calibri" w:cs="Calibri"/>
        </w:rPr>
        <w:t xml:space="preserve">5. </w:t>
      </w:r>
      <w:r w:rsidRPr="009B7C37">
        <w:rPr>
          <w:rFonts w:ascii="Calibri" w:hAnsi="Calibri" w:cs="Calibri"/>
        </w:rPr>
        <w:tab/>
        <w:t>Bipolar Disorder and Schizophrenia Working Group of the Psychiatric Genomics Consortium. Electronic address: douglas.ruderfer@vanderbilt.edu, Bipolar Disorder and Schizophrenia Working Group of the Psychiatric Genomics Consortium. Genomic Dissection of Bipolar Disorder and Schizophrenia, Including 28 Subphenotypes. Cell. 2018;173:1705-1715.e16.</w:t>
      </w:r>
    </w:p>
    <w:p w14:paraId="69767A61" w14:textId="77777777" w:rsidR="009B7C37" w:rsidRPr="009B7C37" w:rsidRDefault="009B7C37" w:rsidP="009B7C37">
      <w:pPr>
        <w:pStyle w:val="Bibliography"/>
        <w:rPr>
          <w:rFonts w:ascii="Calibri" w:hAnsi="Calibri" w:cs="Calibri"/>
        </w:rPr>
      </w:pPr>
      <w:r w:rsidRPr="009B7C37">
        <w:rPr>
          <w:rFonts w:ascii="Calibri" w:hAnsi="Calibri" w:cs="Calibri"/>
        </w:rPr>
        <w:t xml:space="preserve">6. </w:t>
      </w:r>
      <w:r w:rsidRPr="009B7C37">
        <w:rPr>
          <w:rFonts w:ascii="Calibri" w:hAnsi="Calibri" w:cs="Calibri"/>
        </w:rPr>
        <w:tab/>
        <w:t>Graff M, Scott RA, Justice AE, Young KL, Feitosa MF, Barata L, et al. Genome-wide physical activity interactions in adiposity - A meta-analysis of 200,452 adults. PLoS Genet. 2017;13:e1006528.</w:t>
      </w:r>
    </w:p>
    <w:p w14:paraId="0141B8F1" w14:textId="77777777" w:rsidR="009B7C37" w:rsidRPr="009B7C37" w:rsidRDefault="009B7C37" w:rsidP="009B7C37">
      <w:pPr>
        <w:pStyle w:val="Bibliography"/>
        <w:rPr>
          <w:rFonts w:ascii="Calibri" w:hAnsi="Calibri" w:cs="Calibri"/>
        </w:rPr>
      </w:pPr>
      <w:r w:rsidRPr="009B7C37">
        <w:rPr>
          <w:rFonts w:ascii="Calibri" w:hAnsi="Calibri" w:cs="Calibri"/>
        </w:rPr>
        <w:t xml:space="preserve">7. </w:t>
      </w:r>
      <w:r w:rsidRPr="009B7C37">
        <w:rPr>
          <w:rFonts w:ascii="Calibri" w:hAnsi="Calibri" w:cs="Calibri"/>
        </w:rPr>
        <w:tab/>
        <w:t>Nikpay M, Goel A, Won H-H, Hall LM, Willenborg C, Kanoni S, et al. A comprehensive 1,000 Genomes-based genome-wide association meta-analysis of coronary artery disease. Nat Genet. 2015;47:1121–1130.</w:t>
      </w:r>
    </w:p>
    <w:p w14:paraId="51609B50" w14:textId="77777777" w:rsidR="009B7C37" w:rsidRPr="009B7C37" w:rsidRDefault="009B7C37" w:rsidP="009B7C37">
      <w:pPr>
        <w:pStyle w:val="Bibliography"/>
        <w:rPr>
          <w:rFonts w:ascii="Calibri" w:hAnsi="Calibri" w:cs="Calibri"/>
        </w:rPr>
      </w:pPr>
      <w:r w:rsidRPr="009B7C37">
        <w:rPr>
          <w:rFonts w:ascii="Calibri" w:hAnsi="Calibri" w:cs="Calibri"/>
        </w:rPr>
        <w:t xml:space="preserve">8. </w:t>
      </w:r>
      <w:r w:rsidRPr="009B7C37">
        <w:rPr>
          <w:rFonts w:ascii="Calibri" w:hAnsi="Calibri" w:cs="Calibri"/>
        </w:rPr>
        <w:tab/>
        <w:t>Johnson EC, Demontis D, Thorgeirsson TE, Walters RK, Polimanti R, Hatoum AS, et al. A large-scale genome-wide association study meta-analysis of cannabis use disorder. Lancet Psychiatry. 2020;7:1032–1045.</w:t>
      </w:r>
    </w:p>
    <w:p w14:paraId="02333AE3" w14:textId="77777777" w:rsidR="009B7C37" w:rsidRPr="009B7C37" w:rsidRDefault="009B7C37" w:rsidP="009B7C37">
      <w:pPr>
        <w:pStyle w:val="Bibliography"/>
        <w:rPr>
          <w:rFonts w:ascii="Calibri" w:hAnsi="Calibri" w:cs="Calibri"/>
        </w:rPr>
      </w:pPr>
      <w:r w:rsidRPr="009B7C37">
        <w:rPr>
          <w:rFonts w:ascii="Calibri" w:hAnsi="Calibri" w:cs="Calibri"/>
        </w:rPr>
        <w:t xml:space="preserve">9. </w:t>
      </w:r>
      <w:r w:rsidRPr="009B7C37">
        <w:rPr>
          <w:rFonts w:ascii="Calibri" w:hAnsi="Calibri" w:cs="Calibri"/>
        </w:rPr>
        <w:tab/>
        <w:t>Demontis D, Walters RK, Martin J, Mattheisen M, Als TD, Agerbo E, et al. Discovery of the first genome-wide significant risk loci for attention deficit/hyperactivity disorder. Nat Genet. 2019;51:63–75.</w:t>
      </w:r>
    </w:p>
    <w:p w14:paraId="0266C7D9" w14:textId="77777777" w:rsidR="009B7C37" w:rsidRPr="009B7C37" w:rsidRDefault="009B7C37" w:rsidP="009B7C37">
      <w:pPr>
        <w:pStyle w:val="Bibliography"/>
        <w:rPr>
          <w:rFonts w:ascii="Calibri" w:hAnsi="Calibri" w:cs="Calibri"/>
        </w:rPr>
      </w:pPr>
      <w:r w:rsidRPr="009B7C37">
        <w:rPr>
          <w:rFonts w:ascii="Calibri" w:hAnsi="Calibri" w:cs="Calibri"/>
        </w:rPr>
        <w:t xml:space="preserve">10. </w:t>
      </w:r>
      <w:r w:rsidRPr="009B7C37">
        <w:rPr>
          <w:rFonts w:ascii="Calibri" w:hAnsi="Calibri" w:cs="Calibri"/>
        </w:rPr>
        <w:tab/>
        <w:t>Davies G, Marioni RE, Liewald DC, Hill WD, Hagenaars SP, Harris SE, et al. Genome-wide association study of cognitive functions and educational attainment in UK Biobank (N=112 151). Mol Psychiatry. 2016;21:758–767.</w:t>
      </w:r>
    </w:p>
    <w:p w14:paraId="3C0D77D9" w14:textId="77777777" w:rsidR="009B7C37" w:rsidRPr="009B7C37" w:rsidRDefault="009B7C37" w:rsidP="009B7C37">
      <w:pPr>
        <w:pStyle w:val="Bibliography"/>
        <w:rPr>
          <w:rFonts w:ascii="Calibri" w:hAnsi="Calibri" w:cs="Calibri"/>
        </w:rPr>
      </w:pPr>
      <w:r w:rsidRPr="009B7C37">
        <w:rPr>
          <w:rFonts w:ascii="Calibri" w:hAnsi="Calibri" w:cs="Calibri"/>
        </w:rPr>
        <w:t xml:space="preserve">11. </w:t>
      </w:r>
      <w:r w:rsidRPr="009B7C37">
        <w:rPr>
          <w:rFonts w:ascii="Calibri" w:hAnsi="Calibri" w:cs="Calibri"/>
        </w:rPr>
        <w:tab/>
        <w:t>Okbay A, Baselmans BML, De Neve J-E, Turley P, Nivard MG, Fontana MA, et al. Genetic variants associated with subjective well-being, depressive symptoms, and neuroticism identified through genome-wide analyses. Nat Genet. 2016;48:624–633.</w:t>
      </w:r>
    </w:p>
    <w:p w14:paraId="6BBB8A27" w14:textId="77777777" w:rsidR="009B7C37" w:rsidRPr="009B7C37" w:rsidRDefault="009B7C37" w:rsidP="009B7C37">
      <w:pPr>
        <w:pStyle w:val="Bibliography"/>
        <w:rPr>
          <w:rFonts w:ascii="Calibri" w:hAnsi="Calibri" w:cs="Calibri"/>
        </w:rPr>
      </w:pPr>
      <w:r w:rsidRPr="009B7C37">
        <w:rPr>
          <w:rFonts w:ascii="Calibri" w:hAnsi="Calibri" w:cs="Calibri"/>
        </w:rPr>
        <w:t xml:space="preserve">12. </w:t>
      </w:r>
      <w:r w:rsidRPr="009B7C37">
        <w:rPr>
          <w:rFonts w:ascii="Calibri" w:hAnsi="Calibri" w:cs="Calibri"/>
        </w:rPr>
        <w:tab/>
        <w:t>Okbay A, Beauchamp JP, Fontana MA, Lee JJ, Pers TH, Rietveld CA, et al. Genome-wide association study identifies 74 loci associated with educational attainment. Nature. 2016;533:539–542.</w:t>
      </w:r>
    </w:p>
    <w:p w14:paraId="14AFF9EC" w14:textId="77777777" w:rsidR="009B7C37" w:rsidRPr="009B7C37" w:rsidRDefault="009B7C37" w:rsidP="009B7C37">
      <w:pPr>
        <w:pStyle w:val="Bibliography"/>
        <w:rPr>
          <w:rFonts w:ascii="Calibri" w:hAnsi="Calibri" w:cs="Calibri"/>
        </w:rPr>
      </w:pPr>
      <w:r w:rsidRPr="009B7C37">
        <w:rPr>
          <w:rFonts w:ascii="Calibri" w:hAnsi="Calibri" w:cs="Calibri"/>
        </w:rPr>
        <w:t xml:space="preserve">13. </w:t>
      </w:r>
      <w:r w:rsidRPr="009B7C37">
        <w:rPr>
          <w:rFonts w:ascii="Calibri" w:hAnsi="Calibri" w:cs="Calibri"/>
        </w:rPr>
        <w:tab/>
        <w:t>Hill WD, Hagenaars SP, Marioni RE, Harris SE, Liewald DCM, Davies G, et al. Molecular Genetic Contributions to Social Deprivation and Household Income in UK Biobank. Curr Biol CB. 2016;26:3083–3089.</w:t>
      </w:r>
    </w:p>
    <w:p w14:paraId="3E13A109" w14:textId="77777777" w:rsidR="009B7C37" w:rsidRPr="009B7C37" w:rsidRDefault="009B7C37" w:rsidP="009B7C37">
      <w:pPr>
        <w:pStyle w:val="Bibliography"/>
        <w:rPr>
          <w:rFonts w:ascii="Calibri" w:hAnsi="Calibri" w:cs="Calibri"/>
        </w:rPr>
      </w:pPr>
      <w:r w:rsidRPr="009B7C37">
        <w:rPr>
          <w:rFonts w:ascii="Calibri" w:hAnsi="Calibri" w:cs="Calibri"/>
        </w:rPr>
        <w:t xml:space="preserve">14. </w:t>
      </w:r>
      <w:r w:rsidRPr="009B7C37">
        <w:rPr>
          <w:rFonts w:ascii="Calibri" w:hAnsi="Calibri" w:cs="Calibri"/>
        </w:rPr>
        <w:tab/>
        <w:t>Autism Spectrum Disorders Working Group of The Psychiatric Genomics Consortium. Meta-analysis of GWAS of over 16,000 individuals with autism spectrum disorder highlights a novel locus at 10q24.32 and a significant overlap with schizophrenia. Mol Autism. 2017;8:21.</w:t>
      </w:r>
    </w:p>
    <w:p w14:paraId="1215A8FE" w14:textId="77777777" w:rsidR="009B7C37" w:rsidRPr="009B7C37" w:rsidRDefault="009B7C37" w:rsidP="009B7C37">
      <w:pPr>
        <w:pStyle w:val="Bibliography"/>
        <w:rPr>
          <w:rFonts w:ascii="Calibri" w:hAnsi="Calibri" w:cs="Calibri"/>
        </w:rPr>
      </w:pPr>
      <w:r w:rsidRPr="009B7C37">
        <w:rPr>
          <w:rFonts w:ascii="Calibri" w:hAnsi="Calibri" w:cs="Calibri"/>
        </w:rPr>
        <w:t xml:space="preserve">15. </w:t>
      </w:r>
      <w:r w:rsidRPr="009B7C37">
        <w:rPr>
          <w:rFonts w:ascii="Calibri" w:hAnsi="Calibri" w:cs="Calibri"/>
        </w:rPr>
        <w:tab/>
        <w:t>Willer CJ, Schmidt EM, Sengupta S, Peloso GM, Gustafsson S, Kanoni S, et al. Discovery and refinement of loci associated with lipid levels. Nat Genet. 2013;45:1274–1283.</w:t>
      </w:r>
    </w:p>
    <w:p w14:paraId="6400E021" w14:textId="77777777" w:rsidR="009B7C37" w:rsidRPr="009B7C37" w:rsidRDefault="009B7C37" w:rsidP="009B7C37">
      <w:pPr>
        <w:pStyle w:val="Bibliography"/>
        <w:rPr>
          <w:rFonts w:ascii="Calibri" w:hAnsi="Calibri" w:cs="Calibri"/>
        </w:rPr>
      </w:pPr>
      <w:r w:rsidRPr="009B7C37">
        <w:rPr>
          <w:rFonts w:ascii="Calibri" w:hAnsi="Calibri" w:cs="Calibri"/>
        </w:rPr>
        <w:lastRenderedPageBreak/>
        <w:t xml:space="preserve">16. </w:t>
      </w:r>
      <w:r w:rsidRPr="009B7C37">
        <w:rPr>
          <w:rFonts w:ascii="Calibri" w:hAnsi="Calibri" w:cs="Calibri"/>
        </w:rPr>
        <w:tab/>
        <w:t>International Obsessive Compulsive Disorder Foundation Genetics Collaborative (IOCDF-GC) and OCD Collaborative Genetics Association Studies (OCGAS). Revealing the complex genetic architecture of obsessive-compulsive disorder using meta-analysis. Mol Psychiatry. 2018;23:1181–1188.</w:t>
      </w:r>
    </w:p>
    <w:p w14:paraId="10A33340" w14:textId="77777777" w:rsidR="009B7C37" w:rsidRPr="009B7C37" w:rsidRDefault="009B7C37" w:rsidP="009B7C37">
      <w:pPr>
        <w:pStyle w:val="Bibliography"/>
        <w:rPr>
          <w:rFonts w:ascii="Calibri" w:hAnsi="Calibri" w:cs="Calibri"/>
        </w:rPr>
      </w:pPr>
      <w:r w:rsidRPr="009B7C37">
        <w:rPr>
          <w:rFonts w:ascii="Calibri" w:hAnsi="Calibri" w:cs="Calibri"/>
        </w:rPr>
        <w:t xml:space="preserve">17. </w:t>
      </w:r>
      <w:r w:rsidRPr="009B7C37">
        <w:rPr>
          <w:rFonts w:ascii="Calibri" w:hAnsi="Calibri" w:cs="Calibri"/>
        </w:rPr>
        <w:tab/>
        <w:t>Walters RK, Polimanti R, Johnson EC, McClintick JN, Adams MJ, Adkins AE, et al. Transancestral GWAS of alcohol dependence reveals common genetic underpinnings with psychiatric disorders. Nat Neurosci. 2018;21:1656–1669.</w:t>
      </w:r>
    </w:p>
    <w:p w14:paraId="5FF1C8E2" w14:textId="77777777" w:rsidR="009B7C37" w:rsidRPr="009B7C37" w:rsidRDefault="009B7C37" w:rsidP="009B7C37">
      <w:pPr>
        <w:pStyle w:val="Bibliography"/>
        <w:rPr>
          <w:rFonts w:ascii="Calibri" w:hAnsi="Calibri" w:cs="Calibri"/>
        </w:rPr>
      </w:pPr>
      <w:r w:rsidRPr="009B7C37">
        <w:rPr>
          <w:rFonts w:ascii="Calibri" w:hAnsi="Calibri" w:cs="Calibri"/>
        </w:rPr>
        <w:t xml:space="preserve">18. </w:t>
      </w:r>
      <w:r w:rsidRPr="009B7C37">
        <w:rPr>
          <w:rFonts w:ascii="Calibri" w:hAnsi="Calibri" w:cs="Calibri"/>
        </w:rPr>
        <w:tab/>
        <w:t>Cross-Disorder Group of the Psychiatric Genomics Consortium. Electronic address: plee0@mgh.harvard.edu, Cross-Disorder Group of the Psychiatric Genomics Consortium. Genomic Relationships, Novel Loci, and Pleiotropic Mechanisms across Eight Psychiatric Disorders. Cell. 2019;179:1469-1482.e11.</w:t>
      </w:r>
    </w:p>
    <w:p w14:paraId="59B46D80" w14:textId="77777777" w:rsidR="009B7C37" w:rsidRPr="009B7C37" w:rsidRDefault="009B7C37" w:rsidP="009B7C37">
      <w:pPr>
        <w:pStyle w:val="Bibliography"/>
        <w:rPr>
          <w:rFonts w:ascii="Calibri" w:hAnsi="Calibri" w:cs="Calibri"/>
        </w:rPr>
      </w:pPr>
      <w:r w:rsidRPr="009B7C37">
        <w:rPr>
          <w:rFonts w:ascii="Calibri" w:hAnsi="Calibri" w:cs="Calibri"/>
        </w:rPr>
        <w:t xml:space="preserve">19. </w:t>
      </w:r>
      <w:r w:rsidRPr="009B7C37">
        <w:rPr>
          <w:rFonts w:ascii="Calibri" w:hAnsi="Calibri" w:cs="Calibri"/>
        </w:rPr>
        <w:tab/>
        <w:t>Howard DM, Adams MJ, Clarke T-K, Hafferty JD, Gibson J, Shirali M, et al. Genome-wide meta-analysis of depression identifies 102 independent variants and highlights the importance of the prefrontal brain regions. Nat Neurosci. 2019;22:343–352.</w:t>
      </w:r>
    </w:p>
    <w:p w14:paraId="79D9BAD0" w14:textId="77777777" w:rsidR="009B7C37" w:rsidRPr="009B7C37" w:rsidRDefault="009B7C37" w:rsidP="009B7C37">
      <w:pPr>
        <w:pStyle w:val="Bibliography"/>
        <w:rPr>
          <w:rFonts w:ascii="Calibri" w:hAnsi="Calibri" w:cs="Calibri"/>
        </w:rPr>
      </w:pPr>
      <w:r w:rsidRPr="009B7C37">
        <w:rPr>
          <w:rFonts w:ascii="Calibri" w:hAnsi="Calibri" w:cs="Calibri"/>
        </w:rPr>
        <w:t xml:space="preserve">20. </w:t>
      </w:r>
      <w:r w:rsidRPr="009B7C37">
        <w:rPr>
          <w:rFonts w:ascii="Calibri" w:hAnsi="Calibri" w:cs="Calibri"/>
        </w:rPr>
        <w:tab/>
        <w:t>Trubetskoy V, Pardiñas AF, Qi T, Panagiotaropoulou G, Awasthi S, Bigdeli TB, et al. Mapping genomic loci implicates genes and synaptic biology in schizophrenia. Nature. 2022;604:502–508.</w:t>
      </w:r>
    </w:p>
    <w:p w14:paraId="30E0AC4F" w14:textId="77777777" w:rsidR="009B7C37" w:rsidRPr="009B7C37" w:rsidRDefault="009B7C37" w:rsidP="009B7C37">
      <w:pPr>
        <w:pStyle w:val="Bibliography"/>
        <w:rPr>
          <w:rFonts w:ascii="Calibri" w:hAnsi="Calibri" w:cs="Calibri"/>
        </w:rPr>
      </w:pPr>
      <w:r w:rsidRPr="009B7C37">
        <w:rPr>
          <w:rFonts w:ascii="Calibri" w:hAnsi="Calibri" w:cs="Calibri"/>
        </w:rPr>
        <w:t xml:space="preserve">21. </w:t>
      </w:r>
      <w:r w:rsidRPr="009B7C37">
        <w:rPr>
          <w:rFonts w:ascii="Calibri" w:hAnsi="Calibri" w:cs="Calibri"/>
        </w:rPr>
        <w:tab/>
        <w:t>Wightman DP, Jansen IE, Savage JE, Shadrin AA, Bahrami S, Holland D, et al. A genome-wide association study with 1,126,563 individuals identifies new risk loci for Alzheimer’s disease. Nat Genet. 2021;53:1276–1282.</w:t>
      </w:r>
    </w:p>
    <w:p w14:paraId="363F1829" w14:textId="77777777" w:rsidR="009B7C37" w:rsidRPr="009B7C37" w:rsidRDefault="009B7C37" w:rsidP="009B7C37">
      <w:pPr>
        <w:pStyle w:val="Bibliography"/>
        <w:rPr>
          <w:rFonts w:ascii="Calibri" w:hAnsi="Calibri" w:cs="Calibri"/>
        </w:rPr>
      </w:pPr>
      <w:r w:rsidRPr="009B7C37">
        <w:rPr>
          <w:rFonts w:ascii="Calibri" w:hAnsi="Calibri" w:cs="Calibri"/>
        </w:rPr>
        <w:t xml:space="preserve">22. </w:t>
      </w:r>
      <w:r w:rsidRPr="009B7C37">
        <w:rPr>
          <w:rFonts w:ascii="Calibri" w:hAnsi="Calibri" w:cs="Calibri"/>
        </w:rPr>
        <w:tab/>
        <w:t>Watson HJ, Yilmaz Z, Thornton LM, Hübel C, Coleman JRI, Gaspar HA, et al. Genome-wide association study identifies eight risk loci and implicates metabo-psychiatric origins for anorexia nervosa. Nat Genet. 2019;51:1207–1214.</w:t>
      </w:r>
    </w:p>
    <w:p w14:paraId="2D8E9EFC" w14:textId="77777777" w:rsidR="009B7C37" w:rsidRPr="009B7C37" w:rsidRDefault="009B7C37" w:rsidP="009B7C37">
      <w:pPr>
        <w:pStyle w:val="Bibliography"/>
        <w:rPr>
          <w:rFonts w:ascii="Calibri" w:hAnsi="Calibri" w:cs="Calibri"/>
        </w:rPr>
      </w:pPr>
      <w:r w:rsidRPr="009B7C37">
        <w:rPr>
          <w:rFonts w:ascii="Calibri" w:hAnsi="Calibri" w:cs="Calibri"/>
        </w:rPr>
        <w:t xml:space="preserve">23. </w:t>
      </w:r>
      <w:r w:rsidRPr="009B7C37">
        <w:rPr>
          <w:rFonts w:ascii="Calibri" w:hAnsi="Calibri" w:cs="Calibri"/>
        </w:rPr>
        <w:tab/>
        <w:t>Mullins N, Forstner AJ, O’Connell KS, Coombes B, Coleman JRI, Qiao Z, et al. Genome-wide association study of more than 40,000 bipolar disorder cases provides new insights into the underlying biology. Nat Genet. 2021;53:817–829.</w:t>
      </w:r>
    </w:p>
    <w:p w14:paraId="5375E4F7" w14:textId="77777777" w:rsidR="009B7C37" w:rsidRPr="009B7C37" w:rsidRDefault="009B7C37" w:rsidP="009B7C37">
      <w:pPr>
        <w:pStyle w:val="Bibliography"/>
        <w:rPr>
          <w:rFonts w:ascii="Calibri" w:hAnsi="Calibri" w:cs="Calibri"/>
        </w:rPr>
      </w:pPr>
      <w:r w:rsidRPr="009B7C37">
        <w:rPr>
          <w:rFonts w:ascii="Calibri" w:hAnsi="Calibri" w:cs="Calibri"/>
        </w:rPr>
        <w:t xml:space="preserve">24. </w:t>
      </w:r>
      <w:r w:rsidRPr="009B7C37">
        <w:rPr>
          <w:rFonts w:ascii="Calibri" w:hAnsi="Calibri" w:cs="Calibri"/>
        </w:rPr>
        <w:tab/>
        <w:t>Forstner AJ, Awasthi S, Wolf C, Maron E, Erhardt A, Czamara D, et al. Genome-wide association study of panic disorder reveals genetic overlap with neuroticism and depression. Mol Psychiatry. 2021;26:4179–4190.</w:t>
      </w:r>
    </w:p>
    <w:p w14:paraId="6CDDB324" w14:textId="77777777" w:rsidR="009B7C37" w:rsidRPr="009B7C37" w:rsidRDefault="009B7C37" w:rsidP="009B7C37">
      <w:pPr>
        <w:pStyle w:val="Bibliography"/>
        <w:rPr>
          <w:rFonts w:ascii="Calibri" w:hAnsi="Calibri" w:cs="Calibri"/>
        </w:rPr>
      </w:pPr>
      <w:r w:rsidRPr="009B7C37">
        <w:rPr>
          <w:rFonts w:ascii="Calibri" w:hAnsi="Calibri" w:cs="Calibri"/>
        </w:rPr>
        <w:t xml:space="preserve">25. </w:t>
      </w:r>
      <w:r w:rsidRPr="009B7C37">
        <w:rPr>
          <w:rFonts w:ascii="Calibri" w:hAnsi="Calibri" w:cs="Calibri"/>
        </w:rPr>
        <w:tab/>
        <w:t>Nievergelt CM, Maihofer AX, Klengel T, Atkinson EG, Chen C-Y, Choi KW, et al. International meta-analysis of PTSD genome-wide association studies identifies sex- and ancestry-specific genetic risk loci. Nat Commun. 2019;10:4558.</w:t>
      </w:r>
    </w:p>
    <w:p w14:paraId="102E5D00" w14:textId="77777777" w:rsidR="009B7C37" w:rsidRPr="009B7C37" w:rsidRDefault="009B7C37" w:rsidP="009B7C37">
      <w:pPr>
        <w:pStyle w:val="Bibliography"/>
        <w:rPr>
          <w:rFonts w:ascii="Calibri" w:hAnsi="Calibri" w:cs="Calibri"/>
        </w:rPr>
      </w:pPr>
      <w:r w:rsidRPr="009B7C37">
        <w:rPr>
          <w:rFonts w:ascii="Calibri" w:hAnsi="Calibri" w:cs="Calibri"/>
        </w:rPr>
        <w:t xml:space="preserve">26. </w:t>
      </w:r>
      <w:r w:rsidRPr="009B7C37">
        <w:rPr>
          <w:rFonts w:ascii="Calibri" w:hAnsi="Calibri" w:cs="Calibri"/>
        </w:rPr>
        <w:tab/>
        <w:t>Harris SE, Hagenaars SP, Davies G, David Hill W, Liewald DCM, Ritchie SJ, et al. Molecular genetic contributions to self-rated health. Int J Epidemiol. 2017;46:994–1009.</w:t>
      </w:r>
    </w:p>
    <w:p w14:paraId="5DB27249" w14:textId="77777777" w:rsidR="009B7C37" w:rsidRPr="009B7C37" w:rsidRDefault="009B7C37" w:rsidP="009B7C37">
      <w:pPr>
        <w:pStyle w:val="Bibliography"/>
        <w:rPr>
          <w:rFonts w:ascii="Calibri" w:hAnsi="Calibri" w:cs="Calibri"/>
        </w:rPr>
      </w:pPr>
      <w:r w:rsidRPr="009B7C37">
        <w:rPr>
          <w:rFonts w:ascii="Calibri" w:hAnsi="Calibri" w:cs="Calibri"/>
        </w:rPr>
        <w:t xml:space="preserve">27. </w:t>
      </w:r>
      <w:r w:rsidRPr="009B7C37">
        <w:rPr>
          <w:rFonts w:ascii="Calibri" w:hAnsi="Calibri" w:cs="Calibri"/>
        </w:rPr>
        <w:tab/>
        <w:t>Tobacco and Genetics Consortium. Genome-wide meta-analyses identify multiple loci associated with smoking behavior. Nat Genet. 2010;42:441–447.</w:t>
      </w:r>
    </w:p>
    <w:p w14:paraId="21D73795" w14:textId="77777777" w:rsidR="009B7C37" w:rsidRPr="009B7C37" w:rsidRDefault="009B7C37" w:rsidP="009B7C37">
      <w:pPr>
        <w:pStyle w:val="Bibliography"/>
        <w:rPr>
          <w:rFonts w:ascii="Calibri" w:hAnsi="Calibri" w:cs="Calibri"/>
        </w:rPr>
      </w:pPr>
      <w:r w:rsidRPr="009B7C37">
        <w:rPr>
          <w:rFonts w:ascii="Calibri" w:hAnsi="Calibri" w:cs="Calibri"/>
        </w:rPr>
        <w:t xml:space="preserve">28. </w:t>
      </w:r>
      <w:r w:rsidRPr="009B7C37">
        <w:rPr>
          <w:rFonts w:ascii="Calibri" w:hAnsi="Calibri" w:cs="Calibri"/>
        </w:rPr>
        <w:tab/>
        <w:t>Hu Y, Shmygelska A, Tran D, Eriksson N, Tung JY, Hinds DA. GWAS of 89,283 individuals identifies genetic variants associated with self-reporting of being a morning person. Nat Commun. 2016;7:10448.</w:t>
      </w:r>
    </w:p>
    <w:p w14:paraId="587C1988" w14:textId="77777777" w:rsidR="009B7C37" w:rsidRPr="009B7C37" w:rsidRDefault="009B7C37" w:rsidP="009B7C37">
      <w:pPr>
        <w:pStyle w:val="Bibliography"/>
        <w:rPr>
          <w:rFonts w:ascii="Calibri" w:hAnsi="Calibri" w:cs="Calibri"/>
        </w:rPr>
      </w:pPr>
      <w:r w:rsidRPr="009B7C37">
        <w:rPr>
          <w:rFonts w:ascii="Calibri" w:hAnsi="Calibri" w:cs="Calibri"/>
        </w:rPr>
        <w:t xml:space="preserve">29. </w:t>
      </w:r>
      <w:r w:rsidRPr="009B7C37">
        <w:rPr>
          <w:rFonts w:ascii="Calibri" w:hAnsi="Calibri" w:cs="Calibri"/>
        </w:rPr>
        <w:tab/>
        <w:t>Yu D, Sul JH, Tsetsos F, Nawaz MS, Huang AY, Zelaya I, et al. Interrogating the Genetic Determinants of Tourette’s Syndrome and Other Tic Disorders Through Genome-Wide Association Studies. Am J Psychiatry. 2019;176:217–227.</w:t>
      </w:r>
    </w:p>
    <w:p w14:paraId="2BEC5E69" w14:textId="77777777" w:rsidR="009B7C37" w:rsidRPr="009B7C37" w:rsidRDefault="009B7C37" w:rsidP="009B7C37">
      <w:pPr>
        <w:pStyle w:val="Bibliography"/>
        <w:rPr>
          <w:rFonts w:ascii="Calibri" w:hAnsi="Calibri" w:cs="Calibri"/>
        </w:rPr>
      </w:pPr>
      <w:r w:rsidRPr="009B7C37">
        <w:rPr>
          <w:rFonts w:ascii="Calibri" w:hAnsi="Calibri" w:cs="Calibri"/>
        </w:rPr>
        <w:t xml:space="preserve">30. </w:t>
      </w:r>
      <w:r w:rsidRPr="009B7C37">
        <w:rPr>
          <w:rFonts w:ascii="Calibri" w:hAnsi="Calibri" w:cs="Calibri"/>
        </w:rPr>
        <w:tab/>
        <w:t>Legge SE, Jones HJ, Kendall KM, Pardiñas AF, Menzies G, Bracher-Smith M, et al. Association of Genetic Liability to Psychotic Experiences With Neuropsychotic Disorders and Traits. JAMA Psychiatry. 2019;76:1256–1265.</w:t>
      </w:r>
    </w:p>
    <w:p w14:paraId="3191A15C" w14:textId="4D9B3EAC" w:rsidR="00D76C8E" w:rsidRDefault="00D76C8E">
      <w:r>
        <w:fldChar w:fldCharType="end"/>
      </w:r>
    </w:p>
    <w:sectPr w:rsidR="00D76C8E" w:rsidSect="00D06EC2">
      <w:pgSz w:w="15840" w:h="12240" w:orient="landscape"/>
      <w:pgMar w:top="1440" w:right="126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U0sjAytzQ1MzAxMTNQ0lEKTi0uzszPAykwqgUA3axYCywAAAA="/>
  </w:docVars>
  <w:rsids>
    <w:rsidRoot w:val="00D837AD"/>
    <w:rsid w:val="00082A77"/>
    <w:rsid w:val="00093C29"/>
    <w:rsid w:val="000D6B97"/>
    <w:rsid w:val="000F7359"/>
    <w:rsid w:val="00101330"/>
    <w:rsid w:val="00114082"/>
    <w:rsid w:val="00166CF8"/>
    <w:rsid w:val="001C1D41"/>
    <w:rsid w:val="00244CEA"/>
    <w:rsid w:val="002A1E9C"/>
    <w:rsid w:val="002C1771"/>
    <w:rsid w:val="00352886"/>
    <w:rsid w:val="00370DD5"/>
    <w:rsid w:val="0039290B"/>
    <w:rsid w:val="003B19E1"/>
    <w:rsid w:val="003F6C2D"/>
    <w:rsid w:val="004239A1"/>
    <w:rsid w:val="00443B75"/>
    <w:rsid w:val="004C2596"/>
    <w:rsid w:val="00535862"/>
    <w:rsid w:val="00575D8A"/>
    <w:rsid w:val="00596D22"/>
    <w:rsid w:val="00691E0B"/>
    <w:rsid w:val="007204AB"/>
    <w:rsid w:val="00723B3F"/>
    <w:rsid w:val="00737598"/>
    <w:rsid w:val="00747057"/>
    <w:rsid w:val="00785831"/>
    <w:rsid w:val="007A6BD4"/>
    <w:rsid w:val="007B26B8"/>
    <w:rsid w:val="0092085C"/>
    <w:rsid w:val="009A3866"/>
    <w:rsid w:val="009B7C37"/>
    <w:rsid w:val="00A13BF9"/>
    <w:rsid w:val="00A330D0"/>
    <w:rsid w:val="00A53108"/>
    <w:rsid w:val="00AD2B8D"/>
    <w:rsid w:val="00B12B6F"/>
    <w:rsid w:val="00B40D47"/>
    <w:rsid w:val="00B74A41"/>
    <w:rsid w:val="00B90239"/>
    <w:rsid w:val="00B97451"/>
    <w:rsid w:val="00BC52FD"/>
    <w:rsid w:val="00C0535E"/>
    <w:rsid w:val="00C06C36"/>
    <w:rsid w:val="00C2378F"/>
    <w:rsid w:val="00C463AA"/>
    <w:rsid w:val="00C543B2"/>
    <w:rsid w:val="00C70634"/>
    <w:rsid w:val="00C93F37"/>
    <w:rsid w:val="00CE4FD1"/>
    <w:rsid w:val="00D06EC2"/>
    <w:rsid w:val="00D605B2"/>
    <w:rsid w:val="00D6451C"/>
    <w:rsid w:val="00D76C8E"/>
    <w:rsid w:val="00D837AD"/>
    <w:rsid w:val="00DB358E"/>
    <w:rsid w:val="00E25EDD"/>
    <w:rsid w:val="00E3080F"/>
    <w:rsid w:val="00E338EE"/>
    <w:rsid w:val="00E35CB1"/>
    <w:rsid w:val="00E853CB"/>
    <w:rsid w:val="00E93FD7"/>
    <w:rsid w:val="00E950E1"/>
    <w:rsid w:val="00EA24DF"/>
    <w:rsid w:val="00F128F5"/>
    <w:rsid w:val="00F74524"/>
    <w:rsid w:val="00FA6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6CFAA"/>
  <w15:chartTrackingRefBased/>
  <w15:docId w15:val="{ECEDDBBD-8D4F-440D-B31A-541AF80E5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C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06EC2"/>
    <w:rPr>
      <w:color w:val="0563C1"/>
      <w:u w:val="single"/>
    </w:rPr>
  </w:style>
  <w:style w:type="paragraph" w:styleId="BalloonText">
    <w:name w:val="Balloon Text"/>
    <w:basedOn w:val="Normal"/>
    <w:link w:val="BalloonTextChar"/>
    <w:uiPriority w:val="99"/>
    <w:semiHidden/>
    <w:unhideWhenUsed/>
    <w:rsid w:val="007204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4AB"/>
    <w:rPr>
      <w:rFonts w:ascii="Segoe UI" w:hAnsi="Segoe UI" w:cs="Segoe UI"/>
      <w:sz w:val="18"/>
      <w:szCs w:val="18"/>
    </w:rPr>
  </w:style>
  <w:style w:type="paragraph" w:styleId="Revision">
    <w:name w:val="Revision"/>
    <w:hidden/>
    <w:uiPriority w:val="99"/>
    <w:semiHidden/>
    <w:rsid w:val="00A330D0"/>
    <w:pPr>
      <w:spacing w:after="0" w:line="240" w:lineRule="auto"/>
    </w:pPr>
  </w:style>
  <w:style w:type="paragraph" w:styleId="Bibliography">
    <w:name w:val="Bibliography"/>
    <w:basedOn w:val="Normal"/>
    <w:next w:val="Normal"/>
    <w:uiPriority w:val="37"/>
    <w:unhideWhenUsed/>
    <w:rsid w:val="00D76C8E"/>
    <w:pPr>
      <w:tabs>
        <w:tab w:val="left" w:pos="504"/>
      </w:tabs>
      <w:spacing w:after="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706000">
      <w:bodyDiv w:val="1"/>
      <w:marLeft w:val="0"/>
      <w:marRight w:val="0"/>
      <w:marTop w:val="0"/>
      <w:marBottom w:val="0"/>
      <w:divBdr>
        <w:top w:val="none" w:sz="0" w:space="0" w:color="auto"/>
        <w:left w:val="none" w:sz="0" w:space="0" w:color="auto"/>
        <w:bottom w:val="none" w:sz="0" w:space="0" w:color="auto"/>
        <w:right w:val="none" w:sz="0" w:space="0" w:color="auto"/>
      </w:divBdr>
    </w:div>
    <w:div w:id="644968219">
      <w:bodyDiv w:val="1"/>
      <w:marLeft w:val="0"/>
      <w:marRight w:val="0"/>
      <w:marTop w:val="0"/>
      <w:marBottom w:val="0"/>
      <w:divBdr>
        <w:top w:val="none" w:sz="0" w:space="0" w:color="auto"/>
        <w:left w:val="none" w:sz="0" w:space="0" w:color="auto"/>
        <w:bottom w:val="none" w:sz="0" w:space="0" w:color="auto"/>
        <w:right w:val="none" w:sz="0" w:space="0" w:color="auto"/>
      </w:divBdr>
    </w:div>
    <w:div w:id="830415212">
      <w:bodyDiv w:val="1"/>
      <w:marLeft w:val="0"/>
      <w:marRight w:val="0"/>
      <w:marTop w:val="0"/>
      <w:marBottom w:val="0"/>
      <w:divBdr>
        <w:top w:val="none" w:sz="0" w:space="0" w:color="auto"/>
        <w:left w:val="none" w:sz="0" w:space="0" w:color="auto"/>
        <w:bottom w:val="none" w:sz="0" w:space="0" w:color="auto"/>
        <w:right w:val="none" w:sz="0" w:space="0" w:color="auto"/>
      </w:divBdr>
    </w:div>
    <w:div w:id="1107120657">
      <w:bodyDiv w:val="1"/>
      <w:marLeft w:val="0"/>
      <w:marRight w:val="0"/>
      <w:marTop w:val="0"/>
      <w:marBottom w:val="0"/>
      <w:divBdr>
        <w:top w:val="none" w:sz="0" w:space="0" w:color="auto"/>
        <w:left w:val="none" w:sz="0" w:space="0" w:color="auto"/>
        <w:bottom w:val="none" w:sz="0" w:space="0" w:color="auto"/>
        <w:right w:val="none" w:sz="0" w:space="0" w:color="auto"/>
      </w:divBdr>
    </w:div>
    <w:div w:id="1119255153">
      <w:bodyDiv w:val="1"/>
      <w:marLeft w:val="0"/>
      <w:marRight w:val="0"/>
      <w:marTop w:val="0"/>
      <w:marBottom w:val="0"/>
      <w:divBdr>
        <w:top w:val="none" w:sz="0" w:space="0" w:color="auto"/>
        <w:left w:val="none" w:sz="0" w:space="0" w:color="auto"/>
        <w:bottom w:val="none" w:sz="0" w:space="0" w:color="auto"/>
        <w:right w:val="none" w:sz="0" w:space="0" w:color="auto"/>
      </w:divBdr>
    </w:div>
    <w:div w:id="1409037265">
      <w:bodyDiv w:val="1"/>
      <w:marLeft w:val="0"/>
      <w:marRight w:val="0"/>
      <w:marTop w:val="0"/>
      <w:marBottom w:val="0"/>
      <w:divBdr>
        <w:top w:val="none" w:sz="0" w:space="0" w:color="auto"/>
        <w:left w:val="none" w:sz="0" w:space="0" w:color="auto"/>
        <w:bottom w:val="none" w:sz="0" w:space="0" w:color="auto"/>
        <w:right w:val="none" w:sz="0" w:space="0" w:color="auto"/>
      </w:divBdr>
    </w:div>
    <w:div w:id="1850830945">
      <w:bodyDiv w:val="1"/>
      <w:marLeft w:val="0"/>
      <w:marRight w:val="0"/>
      <w:marTop w:val="0"/>
      <w:marBottom w:val="0"/>
      <w:divBdr>
        <w:top w:val="none" w:sz="0" w:space="0" w:color="auto"/>
        <w:left w:val="none" w:sz="0" w:space="0" w:color="auto"/>
        <w:bottom w:val="none" w:sz="0" w:space="0" w:color="auto"/>
        <w:right w:val="none" w:sz="0" w:space="0" w:color="auto"/>
      </w:divBdr>
    </w:div>
    <w:div w:id="1907833280">
      <w:bodyDiv w:val="1"/>
      <w:marLeft w:val="0"/>
      <w:marRight w:val="0"/>
      <w:marTop w:val="0"/>
      <w:marBottom w:val="0"/>
      <w:divBdr>
        <w:top w:val="none" w:sz="0" w:space="0" w:color="auto"/>
        <w:left w:val="none" w:sz="0" w:space="0" w:color="auto"/>
        <w:bottom w:val="none" w:sz="0" w:space="0" w:color="auto"/>
        <w:right w:val="none" w:sz="0" w:space="0" w:color="auto"/>
      </w:divBdr>
    </w:div>
    <w:div w:id="1965883546">
      <w:bodyDiv w:val="1"/>
      <w:marLeft w:val="0"/>
      <w:marRight w:val="0"/>
      <w:marTop w:val="0"/>
      <w:marBottom w:val="0"/>
      <w:divBdr>
        <w:top w:val="none" w:sz="0" w:space="0" w:color="auto"/>
        <w:left w:val="none" w:sz="0" w:space="0" w:color="auto"/>
        <w:bottom w:val="none" w:sz="0" w:space="0" w:color="auto"/>
        <w:right w:val="none" w:sz="0" w:space="0" w:color="auto"/>
      </w:divBdr>
    </w:div>
    <w:div w:id="199532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5</Pages>
  <Words>39858</Words>
  <Characters>227192</Characters>
  <Application>Microsoft Office Word</Application>
  <DocSecurity>0</DocSecurity>
  <Lines>1893</Lines>
  <Paragraphs>533</Paragraphs>
  <ScaleCrop>false</ScaleCrop>
  <HeadingPairs>
    <vt:vector size="2" baseType="variant">
      <vt:variant>
        <vt:lpstr>Title</vt:lpstr>
      </vt:variant>
      <vt:variant>
        <vt:i4>1</vt:i4>
      </vt:variant>
    </vt:vector>
  </HeadingPairs>
  <TitlesOfParts>
    <vt:vector size="1" baseType="lpstr">
      <vt:lpstr/>
    </vt:vector>
  </TitlesOfParts>
  <Company>UT Health</Company>
  <LinksUpToDate>false</LinksUpToDate>
  <CharactersWithSpaces>266517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Xiangning</dc:creator>
  <cp:keywords/>
  <dc:description/>
  <cp:lastModifiedBy>Chen, Xiangning</cp:lastModifiedBy>
  <cp:revision>26</cp:revision>
  <dcterms:created xsi:type="dcterms:W3CDTF">2023-09-19T21:41:00Z</dcterms:created>
  <dcterms:modified xsi:type="dcterms:W3CDTF">2024-02-07T15:45:00Z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id="KhQXKpfv"/&gt;&lt;style id="http://www.zotero.org/styles/molecular-psychiatry"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