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39BA9" w14:textId="35062966" w:rsidR="000F601F" w:rsidRPr="007544F6" w:rsidRDefault="00E47D45">
      <w:pPr>
        <w:rPr>
          <w:rFonts w:ascii="Times" w:hAnsi="Times" w:cstheme="minorHAnsi"/>
          <w:b/>
          <w:bCs/>
        </w:rPr>
      </w:pPr>
      <w:r w:rsidRPr="007544F6">
        <w:rPr>
          <w:rFonts w:ascii="Times" w:hAnsi="Times" w:cstheme="minorHAnsi"/>
          <w:b/>
          <w:bCs/>
        </w:rPr>
        <w:t>Supplementa</w:t>
      </w:r>
      <w:r w:rsidR="00805B2C" w:rsidRPr="007544F6">
        <w:rPr>
          <w:rFonts w:ascii="Times" w:hAnsi="Times" w:cstheme="minorHAnsi"/>
          <w:b/>
          <w:bCs/>
        </w:rPr>
        <w:t xml:space="preserve">ry </w:t>
      </w:r>
      <w:r w:rsidR="00BC6EE1">
        <w:rPr>
          <w:rFonts w:ascii="Times" w:hAnsi="Times" w:cstheme="minorHAnsi"/>
          <w:b/>
          <w:bCs/>
        </w:rPr>
        <w:t xml:space="preserve">Tables and Figures </w:t>
      </w:r>
    </w:p>
    <w:p w14:paraId="45E0D058" w14:textId="48352ADF" w:rsidR="00F662F5" w:rsidRPr="007544F6" w:rsidRDefault="00593693">
      <w:pPr>
        <w:rPr>
          <w:rFonts w:ascii="Times" w:hAnsi="Times" w:cstheme="minorHAnsi"/>
        </w:rPr>
      </w:pPr>
      <w:r w:rsidRPr="00593693">
        <w:rPr>
          <w:rFonts w:ascii="Times" w:hAnsi="Times" w:cstheme="minorHAnsi"/>
          <w:noProof/>
        </w:rPr>
        <w:drawing>
          <wp:inline distT="0" distB="0" distL="0" distR="0" wp14:anchorId="3ABA82CE" wp14:editId="7130AEBF">
            <wp:extent cx="5943600" cy="5785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EB816" w14:textId="68DB33BD" w:rsidR="00D2316D" w:rsidRPr="007544F6" w:rsidRDefault="00D2316D">
      <w:pPr>
        <w:rPr>
          <w:rFonts w:ascii="Times" w:hAnsi="Times" w:cstheme="minorHAnsi"/>
        </w:rPr>
      </w:pPr>
    </w:p>
    <w:p w14:paraId="30E2CD87" w14:textId="4746CAA2" w:rsidR="00E47D45" w:rsidRDefault="00593693">
      <w:pPr>
        <w:rPr>
          <w:rFonts w:ascii="Times" w:hAnsi="Times" w:cstheme="minorHAnsi"/>
        </w:rPr>
      </w:pPr>
      <w:r>
        <w:rPr>
          <w:rFonts w:ascii="Times" w:hAnsi="Times" w:cstheme="minorHAnsi"/>
          <w:b/>
          <w:bCs/>
        </w:rPr>
        <w:t xml:space="preserve">Supplementary </w:t>
      </w:r>
      <w:r w:rsidR="00E47D45" w:rsidRPr="007544F6">
        <w:rPr>
          <w:rFonts w:ascii="Times" w:hAnsi="Times" w:cstheme="minorHAnsi"/>
          <w:b/>
          <w:bCs/>
        </w:rPr>
        <w:t>Figure S1</w:t>
      </w:r>
      <w:r>
        <w:rPr>
          <w:rFonts w:ascii="Times" w:hAnsi="Times" w:cstheme="minorHAnsi"/>
          <w:b/>
          <w:bCs/>
        </w:rPr>
        <w:t>.</w:t>
      </w:r>
      <w:r w:rsidR="00E47D45" w:rsidRPr="007544F6">
        <w:rPr>
          <w:rFonts w:ascii="Times" w:hAnsi="Times" w:cstheme="minorHAnsi"/>
          <w:b/>
          <w:bCs/>
        </w:rPr>
        <w:t xml:space="preserve"> The estimated hazard ratios (HR) per standard deviation (SD) of polygenic risk score (PRS) by cancer type. </w:t>
      </w:r>
      <w:r w:rsidR="00570E13" w:rsidRPr="007544F6">
        <w:rPr>
          <w:rFonts w:ascii="Times" w:hAnsi="Times" w:cstheme="minorHAnsi"/>
        </w:rPr>
        <w:t xml:space="preserve">For each cancer type, </w:t>
      </w:r>
      <w:r w:rsidR="00E47D45" w:rsidRPr="007544F6">
        <w:rPr>
          <w:rFonts w:ascii="Times" w:hAnsi="Times" w:cstheme="minorHAnsi"/>
        </w:rPr>
        <w:t xml:space="preserve">Cox proportional hazard (Cox) model was fit to the </w:t>
      </w:r>
      <w:r w:rsidR="00C93A53">
        <w:rPr>
          <w:rFonts w:ascii="Times" w:hAnsi="Times" w:cstheme="minorHAnsi"/>
        </w:rPr>
        <w:t>female</w:t>
      </w:r>
      <w:r w:rsidR="00E47D45" w:rsidRPr="007544F6">
        <w:rPr>
          <w:rFonts w:ascii="Times" w:hAnsi="Times" w:cstheme="minorHAnsi"/>
        </w:rPr>
        <w:t xml:space="preserve"> UK Biobank (UKBB) cohort </w:t>
      </w:r>
      <w:r w:rsidR="00570E13" w:rsidRPr="007544F6">
        <w:rPr>
          <w:rFonts w:ascii="Times" w:hAnsi="Times" w:cstheme="minorHAnsi"/>
        </w:rPr>
        <w:t>(160,</w:t>
      </w:r>
      <w:r w:rsidR="00576ABA">
        <w:rPr>
          <w:rFonts w:ascii="Times" w:hAnsi="Times" w:cstheme="minorHAnsi"/>
        </w:rPr>
        <w:t>586</w:t>
      </w:r>
      <w:r w:rsidR="00570E13" w:rsidRPr="007544F6">
        <w:rPr>
          <w:rFonts w:ascii="Times" w:hAnsi="Times" w:cstheme="minorHAnsi"/>
        </w:rPr>
        <w:t xml:space="preserve"> </w:t>
      </w:r>
      <w:r w:rsidR="00C93A53">
        <w:rPr>
          <w:rFonts w:ascii="Times" w:hAnsi="Times" w:cstheme="minorHAnsi"/>
        </w:rPr>
        <w:t>individuals</w:t>
      </w:r>
      <w:r w:rsidR="00570E13" w:rsidRPr="007544F6">
        <w:rPr>
          <w:rFonts w:ascii="Times" w:hAnsi="Times" w:cstheme="minorHAnsi"/>
        </w:rPr>
        <w:t xml:space="preserve">) </w:t>
      </w:r>
      <w:r w:rsidR="00E47D45" w:rsidRPr="007544F6">
        <w:rPr>
          <w:rFonts w:ascii="Times" w:hAnsi="Times" w:cstheme="minorHAnsi"/>
        </w:rPr>
        <w:t xml:space="preserve">to </w:t>
      </w:r>
      <w:r w:rsidR="00570E13" w:rsidRPr="007544F6">
        <w:rPr>
          <w:rFonts w:ascii="Times" w:hAnsi="Times" w:cstheme="minorHAnsi"/>
        </w:rPr>
        <w:t>evaluate</w:t>
      </w:r>
      <w:r w:rsidR="00E47D45" w:rsidRPr="007544F6">
        <w:rPr>
          <w:rFonts w:ascii="Times" w:hAnsi="Times" w:cstheme="minorHAnsi"/>
        </w:rPr>
        <w:t xml:space="preserve"> the association between time to</w:t>
      </w:r>
      <w:r w:rsidR="00F662F5" w:rsidRPr="007544F6">
        <w:rPr>
          <w:rFonts w:ascii="Times" w:hAnsi="Times" w:cstheme="minorHAnsi"/>
        </w:rPr>
        <w:t xml:space="preserve"> each</w:t>
      </w:r>
      <w:r w:rsidR="00E47D45" w:rsidRPr="007544F6">
        <w:rPr>
          <w:rFonts w:ascii="Times" w:hAnsi="Times" w:cstheme="minorHAnsi"/>
        </w:rPr>
        <w:t xml:space="preserve"> cancer incidence and cancer specific PRS</w:t>
      </w:r>
      <w:r w:rsidR="00F662F5" w:rsidRPr="007544F6">
        <w:rPr>
          <w:rFonts w:ascii="Times" w:hAnsi="Times" w:cstheme="minorHAnsi"/>
        </w:rPr>
        <w:t>, adjusting for ten genetic principal components.</w:t>
      </w:r>
      <w:r w:rsidR="00E47D45" w:rsidRPr="007544F6">
        <w:rPr>
          <w:rFonts w:ascii="Times" w:hAnsi="Times" w:cstheme="minorHAnsi"/>
        </w:rPr>
        <w:t xml:space="preserve"> </w:t>
      </w:r>
      <w:r w:rsidR="00F662F5" w:rsidRPr="007544F6">
        <w:rPr>
          <w:rFonts w:ascii="Times" w:hAnsi="Times" w:cstheme="minorHAnsi"/>
        </w:rPr>
        <w:t xml:space="preserve">Each model uses age as timescale. </w:t>
      </w:r>
      <w:r w:rsidR="00E47D45" w:rsidRPr="007544F6">
        <w:rPr>
          <w:rFonts w:ascii="Times" w:hAnsi="Times" w:cstheme="minorHAnsi"/>
        </w:rPr>
        <w:t>Individuals who were lost to follow-up, with genetic sex and self-reported sex mismatch, or those with prevalent cancers were excluded for the analysis. Each PRS is Z-score normalized to mean (μ) of 0 and standard deviation (σ) of 1</w:t>
      </w:r>
      <w:r w:rsidR="00570E13" w:rsidRPr="007544F6">
        <w:rPr>
          <w:rFonts w:ascii="Times" w:hAnsi="Times" w:cstheme="minorHAnsi"/>
        </w:rPr>
        <w:t xml:space="preserve">. CI: Confidence Interval; HR: Hazard Ratio; SD: Standard Deviation; P: P-value; PRS: Polygenic Risk Score. </w:t>
      </w:r>
    </w:p>
    <w:p w14:paraId="6B7FCAF6" w14:textId="720569DA" w:rsidR="007544F6" w:rsidRDefault="00593693">
      <w:pPr>
        <w:rPr>
          <w:rFonts w:ascii="Times" w:hAnsi="Times" w:cstheme="minorHAnsi"/>
        </w:rPr>
      </w:pPr>
      <w:r w:rsidRPr="00593693">
        <w:rPr>
          <w:rFonts w:ascii="Times" w:hAnsi="Times" w:cstheme="minorHAnsi"/>
          <w:noProof/>
        </w:rPr>
        <w:lastRenderedPageBreak/>
        <w:drawing>
          <wp:inline distT="0" distB="0" distL="0" distR="0" wp14:anchorId="54BAB7AC" wp14:editId="3E682C68">
            <wp:extent cx="5943600" cy="5785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A33E2" w14:textId="4664129B" w:rsidR="007544F6" w:rsidRDefault="007544F6" w:rsidP="007544F6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b/>
          <w:bCs/>
        </w:rPr>
        <w:t>Supplementary Figure S</w:t>
      </w:r>
      <w:r w:rsidR="00593693">
        <w:rPr>
          <w:rFonts w:ascii="Times" w:hAnsi="Times" w:cstheme="minorHAnsi"/>
          <w:b/>
          <w:bCs/>
        </w:rPr>
        <w:t>2</w:t>
      </w:r>
      <w:r>
        <w:rPr>
          <w:rFonts w:ascii="Times" w:hAnsi="Times" w:cstheme="minorHAnsi"/>
          <w:b/>
          <w:bCs/>
        </w:rPr>
        <w:t xml:space="preserve">. </w:t>
      </w:r>
      <w:r w:rsidRPr="007544F6">
        <w:rPr>
          <w:rFonts w:ascii="Times" w:hAnsi="Times" w:cstheme="minorHAnsi"/>
          <w:b/>
          <w:bCs/>
        </w:rPr>
        <w:t>The estimated hazard ratios (HR) per standard deviation (SD) for each predictor included in the female multicancer Cox model, fitted to the training data.</w:t>
      </w:r>
      <w:r w:rsidRPr="007544F6">
        <w:rPr>
          <w:rFonts w:ascii="Times" w:hAnsi="Times" w:cstheme="minorHAnsi"/>
        </w:rPr>
        <w:t xml:space="preserve"> </w:t>
      </w:r>
    </w:p>
    <w:p w14:paraId="7FB0FFE7" w14:textId="58B5E005" w:rsidR="007544F6" w:rsidRDefault="007544F6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noProof/>
        </w:rPr>
        <w:lastRenderedPageBreak/>
        <w:drawing>
          <wp:inline distT="0" distB="0" distL="0" distR="0" wp14:anchorId="28D7A1D4" wp14:editId="7FCAC217">
            <wp:extent cx="5806440" cy="58064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6E6EC" w14:textId="77777777" w:rsidR="00C93A53" w:rsidRDefault="007544F6" w:rsidP="007544F6">
      <w:pPr>
        <w:rPr>
          <w:noProof/>
        </w:rPr>
      </w:pPr>
      <w:r w:rsidRPr="007544F6">
        <w:rPr>
          <w:rFonts w:ascii="Times" w:hAnsi="Times" w:cstheme="minorHAnsi"/>
          <w:b/>
          <w:bCs/>
        </w:rPr>
        <w:t>Supplementary Figure S</w:t>
      </w:r>
      <w:r w:rsidR="00593693">
        <w:rPr>
          <w:rFonts w:ascii="Times" w:hAnsi="Times" w:cstheme="minorHAnsi"/>
          <w:b/>
          <w:bCs/>
        </w:rPr>
        <w:t>3</w:t>
      </w:r>
      <w:r w:rsidRPr="007544F6">
        <w:rPr>
          <w:rFonts w:ascii="Times" w:hAnsi="Times" w:cstheme="minorHAnsi"/>
          <w:b/>
          <w:bCs/>
        </w:rPr>
        <w:t>.</w:t>
      </w:r>
      <w:r>
        <w:rPr>
          <w:rFonts w:ascii="Times" w:hAnsi="Times" w:cstheme="minorHAnsi"/>
        </w:rPr>
        <w:t xml:space="preserve"> </w:t>
      </w:r>
      <w:r w:rsidRPr="007544F6">
        <w:rPr>
          <w:rFonts w:ascii="Times" w:hAnsi="Times" w:cstheme="minorHAnsi"/>
          <w:b/>
          <w:bCs/>
        </w:rPr>
        <w:t>The estimated hazard ratios (HR) per standard deviation (SD) for each predictor included in the postmenopausal breast cancer Cox model, fitted to the training data.</w:t>
      </w:r>
      <w:r>
        <w:rPr>
          <w:rFonts w:ascii="Times" w:hAnsi="Times" w:cstheme="minorHAnsi"/>
        </w:rPr>
        <w:t xml:space="preserve"> PRS: Polygenic risk score; OCP: oral contraceptive use; HRT: Hormone replacement therapy; BMI: Body mass index</w:t>
      </w:r>
      <w:r w:rsidRPr="007544F6">
        <w:rPr>
          <w:noProof/>
        </w:rPr>
        <w:t xml:space="preserve"> </w:t>
      </w:r>
    </w:p>
    <w:p w14:paraId="330866EA" w14:textId="77777777" w:rsidR="00C93A53" w:rsidRDefault="00C93A53" w:rsidP="007544F6">
      <w:pPr>
        <w:rPr>
          <w:noProof/>
        </w:rPr>
      </w:pPr>
    </w:p>
    <w:p w14:paraId="76E41240" w14:textId="77777777" w:rsidR="00C93A53" w:rsidRDefault="00C93A53" w:rsidP="007544F6">
      <w:pPr>
        <w:rPr>
          <w:noProof/>
        </w:rPr>
      </w:pPr>
    </w:p>
    <w:p w14:paraId="75B189F5" w14:textId="77777777" w:rsidR="00C93A53" w:rsidRDefault="00C93A53" w:rsidP="007544F6">
      <w:pPr>
        <w:rPr>
          <w:noProof/>
        </w:rPr>
      </w:pPr>
    </w:p>
    <w:p w14:paraId="0ACA1DC4" w14:textId="77777777" w:rsidR="00C93A53" w:rsidRDefault="00C93A53" w:rsidP="007544F6">
      <w:pPr>
        <w:rPr>
          <w:noProof/>
        </w:rPr>
      </w:pPr>
    </w:p>
    <w:p w14:paraId="2F900A41" w14:textId="37066128" w:rsidR="007544F6" w:rsidRDefault="007544F6" w:rsidP="007544F6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noProof/>
        </w:rPr>
        <w:lastRenderedPageBreak/>
        <w:drawing>
          <wp:inline distT="0" distB="0" distL="0" distR="0" wp14:anchorId="54F543AC" wp14:editId="64BBA304">
            <wp:extent cx="5943600" cy="17830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BB336" w14:textId="03D714A2" w:rsidR="007544F6" w:rsidRDefault="007544F6" w:rsidP="007544F6">
      <w:pPr>
        <w:rPr>
          <w:rFonts w:ascii="Times" w:hAnsi="Times" w:cstheme="minorHAnsi"/>
        </w:rPr>
      </w:pPr>
    </w:p>
    <w:p w14:paraId="2EC288A1" w14:textId="4EFBF764" w:rsidR="007544F6" w:rsidRDefault="007544F6" w:rsidP="007544F6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b/>
          <w:bCs/>
        </w:rPr>
        <w:t>Supplementary Figure S</w:t>
      </w:r>
      <w:r w:rsidR="00593693">
        <w:rPr>
          <w:rFonts w:ascii="Times" w:hAnsi="Times" w:cstheme="minorHAnsi"/>
          <w:b/>
          <w:bCs/>
        </w:rPr>
        <w:t>4</w:t>
      </w:r>
      <w:r w:rsidRPr="007544F6">
        <w:rPr>
          <w:rFonts w:ascii="Times" w:hAnsi="Times" w:cstheme="minorHAnsi"/>
          <w:b/>
          <w:bCs/>
        </w:rPr>
        <w:t>.</w:t>
      </w:r>
      <w:r>
        <w:rPr>
          <w:rFonts w:ascii="Times" w:hAnsi="Times" w:cstheme="minorHAnsi"/>
        </w:rPr>
        <w:t xml:space="preserve"> </w:t>
      </w:r>
      <w:r w:rsidRPr="007544F6">
        <w:rPr>
          <w:rFonts w:ascii="Times" w:hAnsi="Times" w:cstheme="minorHAnsi"/>
          <w:b/>
          <w:bCs/>
        </w:rPr>
        <w:t>The estimated hazard ratios (HR) per standard deviation (SD) for each predictor included in the</w:t>
      </w:r>
      <w:r>
        <w:rPr>
          <w:rFonts w:ascii="Times" w:hAnsi="Times" w:cstheme="minorHAnsi"/>
          <w:b/>
          <w:bCs/>
        </w:rPr>
        <w:t xml:space="preserve"> female</w:t>
      </w:r>
      <w:r w:rsidRPr="007544F6">
        <w:rPr>
          <w:rFonts w:ascii="Times" w:hAnsi="Times" w:cstheme="minorHAnsi"/>
          <w:b/>
          <w:bCs/>
        </w:rPr>
        <w:t xml:space="preserve"> </w:t>
      </w:r>
      <w:r>
        <w:rPr>
          <w:rFonts w:ascii="Times" w:hAnsi="Times" w:cstheme="minorHAnsi"/>
          <w:b/>
          <w:bCs/>
        </w:rPr>
        <w:t>colorectal</w:t>
      </w:r>
      <w:r w:rsidRPr="007544F6">
        <w:rPr>
          <w:rFonts w:ascii="Times" w:hAnsi="Times" w:cstheme="minorHAnsi"/>
          <w:b/>
          <w:bCs/>
        </w:rPr>
        <w:t xml:space="preserve"> cancer Cox model, fitted to the training data.</w:t>
      </w:r>
      <w:r>
        <w:rPr>
          <w:rFonts w:ascii="Times" w:hAnsi="Times" w:cstheme="minorHAnsi"/>
        </w:rPr>
        <w:t xml:space="preserve"> In females, colorectal cancer risk factors did not show significant association with colorectal cancer incidence. Therefore, only the colorectal cancer PRS is included in the model. PRS: Polygenic risk score.</w:t>
      </w:r>
    </w:p>
    <w:p w14:paraId="00B5AB32" w14:textId="1DE85E70" w:rsidR="007544F6" w:rsidRDefault="007544F6" w:rsidP="007544F6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noProof/>
        </w:rPr>
        <w:lastRenderedPageBreak/>
        <w:drawing>
          <wp:inline distT="0" distB="0" distL="0" distR="0" wp14:anchorId="767BB86A" wp14:editId="02A2DF79">
            <wp:extent cx="5943600" cy="5943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88428" w14:textId="6B6E2A66" w:rsidR="007544F6" w:rsidRDefault="007544F6" w:rsidP="007544F6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b/>
          <w:bCs/>
        </w:rPr>
        <w:t>Supplementary Figure S</w:t>
      </w:r>
      <w:r w:rsidR="00593693">
        <w:rPr>
          <w:rFonts w:ascii="Times" w:hAnsi="Times" w:cstheme="minorHAnsi"/>
          <w:b/>
          <w:bCs/>
        </w:rPr>
        <w:t>5</w:t>
      </w:r>
      <w:r w:rsidRPr="007544F6">
        <w:rPr>
          <w:rFonts w:ascii="Times" w:hAnsi="Times" w:cstheme="minorHAnsi"/>
          <w:b/>
          <w:bCs/>
        </w:rPr>
        <w:t>.</w:t>
      </w:r>
      <w:r>
        <w:rPr>
          <w:rFonts w:ascii="Times" w:hAnsi="Times" w:cstheme="minorHAnsi"/>
        </w:rPr>
        <w:t xml:space="preserve"> </w:t>
      </w:r>
      <w:r w:rsidRPr="007544F6">
        <w:rPr>
          <w:rFonts w:ascii="Times" w:hAnsi="Times" w:cstheme="minorHAnsi"/>
          <w:b/>
          <w:bCs/>
        </w:rPr>
        <w:t xml:space="preserve">The estimated hazard ratios (HR) per standard deviation (SD) for each predictor included in the </w:t>
      </w:r>
      <w:r>
        <w:rPr>
          <w:rFonts w:ascii="Times" w:hAnsi="Times" w:cstheme="minorHAnsi"/>
          <w:b/>
          <w:bCs/>
        </w:rPr>
        <w:t>female lung</w:t>
      </w:r>
      <w:r w:rsidRPr="007544F6">
        <w:rPr>
          <w:rFonts w:ascii="Times" w:hAnsi="Times" w:cstheme="minorHAnsi"/>
          <w:b/>
          <w:bCs/>
        </w:rPr>
        <w:t xml:space="preserve"> cancer Cox model, fitted to the training data.</w:t>
      </w:r>
      <w:r>
        <w:rPr>
          <w:rFonts w:ascii="Times" w:hAnsi="Times" w:cstheme="minorHAnsi"/>
        </w:rPr>
        <w:t xml:space="preserve"> PRS: Polygenic risk score</w:t>
      </w:r>
    </w:p>
    <w:p w14:paraId="60FAC8D4" w14:textId="77777777" w:rsidR="00BC6EE1" w:rsidRDefault="00BC6EE1" w:rsidP="00BC6EE1">
      <w:pPr>
        <w:rPr>
          <w:rFonts w:ascii="Times" w:hAnsi="Times" w:cstheme="minorHAnsi"/>
        </w:rPr>
      </w:pPr>
    </w:p>
    <w:p w14:paraId="0FF7450F" w14:textId="1311E10A" w:rsidR="00BC6EE1" w:rsidRDefault="00BC6EE1" w:rsidP="00BC6EE1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b/>
          <w:bCs/>
        </w:rPr>
        <w:t>Supplementary Figure S</w:t>
      </w:r>
      <w:r w:rsidR="00593693">
        <w:rPr>
          <w:rFonts w:ascii="Times" w:hAnsi="Times" w:cstheme="minorHAnsi"/>
          <w:b/>
          <w:bCs/>
        </w:rPr>
        <w:t>2</w:t>
      </w:r>
      <w:r w:rsidRPr="007544F6">
        <w:rPr>
          <w:rFonts w:ascii="Times" w:hAnsi="Times" w:cstheme="minorHAnsi"/>
          <w:b/>
          <w:bCs/>
        </w:rPr>
        <w:t>-S</w:t>
      </w:r>
      <w:r w:rsidR="00593693">
        <w:rPr>
          <w:rFonts w:ascii="Times" w:hAnsi="Times" w:cstheme="minorHAnsi"/>
          <w:b/>
          <w:bCs/>
        </w:rPr>
        <w:t>5</w:t>
      </w:r>
      <w:r>
        <w:rPr>
          <w:rFonts w:ascii="Times" w:hAnsi="Times" w:cstheme="minorHAnsi"/>
          <w:b/>
          <w:bCs/>
        </w:rPr>
        <w:t>.</w:t>
      </w:r>
      <w:r>
        <w:rPr>
          <w:rFonts w:ascii="Times" w:hAnsi="Times" w:cstheme="minorHAnsi"/>
        </w:rPr>
        <w:t xml:space="preserve"> </w:t>
      </w:r>
      <w:r w:rsidRPr="007544F6">
        <w:rPr>
          <w:rFonts w:ascii="Times" w:hAnsi="Times" w:cstheme="minorHAnsi"/>
          <w:b/>
          <w:bCs/>
        </w:rPr>
        <w:t xml:space="preserve">The estimated hazard ratios (HR) per standard deviation (SD) for </w:t>
      </w:r>
      <w:r>
        <w:rPr>
          <w:rFonts w:ascii="Times" w:hAnsi="Times" w:cstheme="minorHAnsi"/>
          <w:b/>
          <w:bCs/>
        </w:rPr>
        <w:t xml:space="preserve">predictors </w:t>
      </w:r>
      <w:r w:rsidRPr="007544F6">
        <w:rPr>
          <w:rFonts w:ascii="Times" w:hAnsi="Times" w:cstheme="minorHAnsi"/>
          <w:b/>
          <w:bCs/>
        </w:rPr>
        <w:t>included in</w:t>
      </w:r>
      <w:r>
        <w:rPr>
          <w:rFonts w:ascii="Times" w:hAnsi="Times" w:cstheme="minorHAnsi"/>
          <w:b/>
          <w:bCs/>
        </w:rPr>
        <w:t xml:space="preserve"> each model.</w:t>
      </w:r>
      <w:r w:rsidRPr="007544F6">
        <w:rPr>
          <w:rFonts w:ascii="Times" w:hAnsi="Times" w:cstheme="minorHAnsi"/>
        </w:rPr>
        <w:t xml:space="preserve"> Cox proportional hazard (Cox) model was fit to the</w:t>
      </w:r>
      <w:r>
        <w:rPr>
          <w:rFonts w:ascii="Times" w:hAnsi="Times" w:cstheme="minorHAnsi"/>
        </w:rPr>
        <w:t xml:space="preserve"> UK Biobank (UKBB) training data. Each </w:t>
      </w:r>
      <w:r w:rsidRPr="007544F6">
        <w:rPr>
          <w:rFonts w:ascii="Times" w:hAnsi="Times" w:cstheme="minorHAnsi"/>
        </w:rPr>
        <w:t xml:space="preserve">model uses age as timescale with </w:t>
      </w:r>
      <w:r>
        <w:rPr>
          <w:rFonts w:ascii="Times" w:hAnsi="Times" w:cstheme="minorHAnsi"/>
        </w:rPr>
        <w:t>individuals</w:t>
      </w:r>
      <w:r w:rsidRPr="007544F6">
        <w:rPr>
          <w:rFonts w:ascii="Times" w:hAnsi="Times" w:cstheme="minorHAnsi"/>
        </w:rPr>
        <w:t xml:space="preserve"> entering the model at age of recruitment and exiting at cancer incidence</w:t>
      </w:r>
      <w:r>
        <w:rPr>
          <w:rFonts w:ascii="Times" w:hAnsi="Times" w:cstheme="minorHAnsi"/>
        </w:rPr>
        <w:t>, death,</w:t>
      </w:r>
      <w:r w:rsidRPr="007544F6">
        <w:rPr>
          <w:rFonts w:ascii="Times" w:hAnsi="Times" w:cstheme="minorHAnsi"/>
        </w:rPr>
        <w:t xml:space="preserve"> or censoring age. The model is adjusted for </w:t>
      </w:r>
      <w:r w:rsidR="00DD16C0">
        <w:rPr>
          <w:rFonts w:ascii="Times" w:hAnsi="Times" w:cstheme="minorHAnsi"/>
        </w:rPr>
        <w:t xml:space="preserve">first </w:t>
      </w:r>
      <w:r w:rsidRPr="007544F6">
        <w:rPr>
          <w:rFonts w:ascii="Times" w:hAnsi="Times" w:cstheme="minorHAnsi"/>
        </w:rPr>
        <w:t xml:space="preserve">10 genetic principal components. Each PRS is Z-score normalized to have a mean (μ) of 0 and standard deviation (σ) of 1. </w:t>
      </w:r>
      <w:r w:rsidRPr="007544F6">
        <w:rPr>
          <w:rFonts w:ascii="Times" w:hAnsi="Times" w:cs="Calibri"/>
          <w:color w:val="000000"/>
        </w:rPr>
        <w:t xml:space="preserve">Self-reported family history of cancer breast, colorectal, lung, or prostate </w:t>
      </w:r>
      <w:r>
        <w:rPr>
          <w:rFonts w:ascii="Times" w:hAnsi="Times" w:cs="Calibri"/>
          <w:color w:val="000000"/>
        </w:rPr>
        <w:t>cancer</w:t>
      </w:r>
      <w:r w:rsidRPr="007544F6">
        <w:rPr>
          <w:rFonts w:ascii="Times" w:hAnsi="Times" w:cs="Calibri"/>
          <w:color w:val="000000"/>
        </w:rPr>
        <w:t xml:space="preserve"> in </w:t>
      </w:r>
      <w:r w:rsidR="005E4E66">
        <w:rPr>
          <w:rFonts w:ascii="Times" w:hAnsi="Times" w:cs="Calibri"/>
          <w:color w:val="000000"/>
        </w:rPr>
        <w:t>first-</w:t>
      </w:r>
      <w:r w:rsidRPr="007544F6">
        <w:rPr>
          <w:rFonts w:ascii="Times" w:hAnsi="Times" w:cs="Calibri"/>
          <w:color w:val="000000"/>
        </w:rPr>
        <w:t>degree relative</w:t>
      </w:r>
      <w:r w:rsidR="00DD16C0">
        <w:rPr>
          <w:rFonts w:ascii="Times" w:hAnsi="Times" w:cs="Calibri"/>
          <w:color w:val="000000"/>
        </w:rPr>
        <w:t>s</w:t>
      </w:r>
      <w:r w:rsidRPr="007544F6">
        <w:rPr>
          <w:rFonts w:ascii="Times" w:hAnsi="Times" w:cs="Calibri"/>
          <w:color w:val="000000"/>
        </w:rPr>
        <w:t xml:space="preserve"> (</w:t>
      </w:r>
      <w:r w:rsidR="005E4E66">
        <w:rPr>
          <w:rFonts w:ascii="Times" w:hAnsi="Times" w:cs="Calibri"/>
          <w:color w:val="000000"/>
        </w:rPr>
        <w:t xml:space="preserve">nonadopted </w:t>
      </w:r>
      <w:r w:rsidRPr="007544F6">
        <w:rPr>
          <w:rFonts w:ascii="Times" w:hAnsi="Times" w:cs="Calibri"/>
          <w:color w:val="000000"/>
        </w:rPr>
        <w:t xml:space="preserve">father, mother, </w:t>
      </w:r>
      <w:r w:rsidR="005E4E66">
        <w:rPr>
          <w:rFonts w:ascii="Times" w:hAnsi="Times" w:cs="Calibri"/>
          <w:color w:val="000000"/>
        </w:rPr>
        <w:t xml:space="preserve">and </w:t>
      </w:r>
      <w:r w:rsidRPr="007544F6">
        <w:rPr>
          <w:rFonts w:ascii="Times" w:hAnsi="Times" w:cs="Calibri"/>
          <w:color w:val="000000"/>
        </w:rPr>
        <w:t>siblings) is included in the model</w:t>
      </w:r>
      <w:r w:rsidR="00DD16C0">
        <w:rPr>
          <w:rFonts w:ascii="Times" w:hAnsi="Times" w:cs="Calibri"/>
          <w:color w:val="000000"/>
        </w:rPr>
        <w:t xml:space="preserve"> for S2</w:t>
      </w:r>
      <w:r w:rsidRPr="007544F6">
        <w:rPr>
          <w:rFonts w:ascii="Times" w:hAnsi="Times" w:cs="Calibri"/>
          <w:color w:val="000000"/>
        </w:rPr>
        <w:t>.</w:t>
      </w:r>
      <w:r w:rsidR="00DD16C0">
        <w:rPr>
          <w:rFonts w:ascii="Times" w:hAnsi="Times" w:cs="Calibri"/>
          <w:color w:val="000000"/>
        </w:rPr>
        <w:t xml:space="preserve"> For S3-S5, self-reported family history of cancer of </w:t>
      </w:r>
      <w:r w:rsidR="00DD16C0">
        <w:rPr>
          <w:rFonts w:ascii="Times" w:hAnsi="Times" w:cs="Calibri"/>
          <w:color w:val="000000"/>
        </w:rPr>
        <w:lastRenderedPageBreak/>
        <w:t xml:space="preserve">the corresponding cancer site in </w:t>
      </w:r>
      <w:r w:rsidR="005E4E66">
        <w:rPr>
          <w:rFonts w:ascii="Times" w:hAnsi="Times" w:cs="Calibri"/>
          <w:color w:val="000000"/>
        </w:rPr>
        <w:t>first-</w:t>
      </w:r>
      <w:r w:rsidR="00DD16C0">
        <w:rPr>
          <w:rFonts w:ascii="Times" w:hAnsi="Times" w:cs="Calibri"/>
          <w:color w:val="000000"/>
        </w:rPr>
        <w:t>degree relatives is included in the model.</w:t>
      </w:r>
      <w:r w:rsidRPr="007544F6">
        <w:rPr>
          <w:rFonts w:ascii="Times" w:hAnsi="Times" w:cs="Calibri"/>
          <w:color w:val="000000"/>
        </w:rPr>
        <w:t xml:space="preserve"> </w:t>
      </w:r>
      <w:r w:rsidRPr="007544F6">
        <w:rPr>
          <w:rFonts w:ascii="Times" w:hAnsi="Times" w:cstheme="minorHAnsi"/>
        </w:rPr>
        <w:t xml:space="preserve">BMI: Body mass Index; PRS: Polygenic Risk Score. </w:t>
      </w:r>
    </w:p>
    <w:p w14:paraId="572E3233" w14:textId="19890913" w:rsidR="00BC6EE1" w:rsidRDefault="007D7CCD" w:rsidP="00BC6EE1">
      <w:pPr>
        <w:rPr>
          <w:rFonts w:ascii="Times" w:hAnsi="Times" w:cstheme="minorHAnsi"/>
          <w:b/>
          <w:bCs/>
        </w:rPr>
      </w:pPr>
      <w:r w:rsidRPr="007D7CCD">
        <w:rPr>
          <w:rFonts w:ascii="Times" w:hAnsi="Times" w:cstheme="minorHAnsi"/>
          <w:b/>
          <w:bCs/>
          <w:noProof/>
        </w:rPr>
        <w:lastRenderedPageBreak/>
        <w:drawing>
          <wp:inline distT="0" distB="0" distL="0" distR="0" wp14:anchorId="392DE3A9" wp14:editId="3083A85B">
            <wp:extent cx="5822315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C5781" w14:textId="22F77021" w:rsidR="00BC6EE1" w:rsidRDefault="00BC6EE1" w:rsidP="00BC6EE1">
      <w:pPr>
        <w:rPr>
          <w:rFonts w:ascii="Times" w:hAnsi="Times" w:cstheme="minorHAnsi"/>
          <w:b/>
          <w:bCs/>
        </w:rPr>
      </w:pPr>
      <w:r>
        <w:rPr>
          <w:rFonts w:ascii="Times" w:hAnsi="Times" w:cstheme="minorHAnsi"/>
          <w:b/>
          <w:bCs/>
        </w:rPr>
        <w:lastRenderedPageBreak/>
        <w:t>Supplementary Figure S</w:t>
      </w:r>
      <w:r w:rsidR="00593693">
        <w:rPr>
          <w:rFonts w:ascii="Times" w:hAnsi="Times" w:cstheme="minorHAnsi"/>
          <w:b/>
          <w:bCs/>
        </w:rPr>
        <w:t>6</w:t>
      </w:r>
      <w:r>
        <w:rPr>
          <w:rFonts w:ascii="Times" w:hAnsi="Times" w:cstheme="minorHAnsi"/>
          <w:b/>
          <w:bCs/>
        </w:rPr>
        <w:t xml:space="preserve">. </w:t>
      </w:r>
      <w:r w:rsidR="00F82EE5">
        <w:rPr>
          <w:rFonts w:ascii="Times" w:hAnsi="Times" w:cstheme="minorHAnsi"/>
          <w:b/>
          <w:bCs/>
        </w:rPr>
        <w:t>The p</w:t>
      </w:r>
      <w:r w:rsidR="00F82EE5" w:rsidRPr="00F82EE5">
        <w:rPr>
          <w:rFonts w:ascii="Times" w:hAnsi="Times" w:cstheme="minorHAnsi"/>
          <w:b/>
          <w:bCs/>
        </w:rPr>
        <w:t>rojected NPV of the liquid biopsy test with 23.5% sensitivity at 98.9% specificity by age and cancer-specific risk score percentile.</w:t>
      </w:r>
    </w:p>
    <w:p w14:paraId="7D4F8D2B" w14:textId="77777777" w:rsidR="00593693" w:rsidRDefault="00593693">
      <w:pPr>
        <w:rPr>
          <w:rFonts w:ascii="Times" w:hAnsi="Times" w:cstheme="minorHAnsi"/>
          <w:b/>
          <w:bCs/>
        </w:rPr>
      </w:pPr>
    </w:p>
    <w:p w14:paraId="4B77A3FD" w14:textId="64AA88D0" w:rsidR="00B83A81" w:rsidRPr="006F4029" w:rsidRDefault="009F3B65">
      <w:pPr>
        <w:rPr>
          <w:rFonts w:ascii="Times" w:hAnsi="Times" w:cstheme="minorHAnsi"/>
          <w:b/>
          <w:bCs/>
        </w:rPr>
      </w:pPr>
      <w:r w:rsidRPr="007544F6">
        <w:rPr>
          <w:rFonts w:ascii="Times" w:hAnsi="Times" w:cstheme="minorHAnsi"/>
          <w:b/>
          <w:bCs/>
        </w:rPr>
        <w:t>Supplementary Table S1</w:t>
      </w:r>
      <w:r w:rsidR="00B83A81" w:rsidRPr="007544F6">
        <w:rPr>
          <w:rFonts w:ascii="Times" w:hAnsi="Times" w:cstheme="minorHAnsi"/>
          <w:b/>
          <w:bCs/>
        </w:rPr>
        <w:t>.</w:t>
      </w:r>
      <w:r w:rsidR="00B83A81" w:rsidRPr="007544F6">
        <w:rPr>
          <w:rFonts w:ascii="Times" w:hAnsi="Times" w:cstheme="minorHAnsi"/>
        </w:rPr>
        <w:t xml:space="preserve"> </w:t>
      </w:r>
      <w:r w:rsidR="001D7F4D" w:rsidRPr="006F4029">
        <w:rPr>
          <w:rFonts w:ascii="Times" w:hAnsi="Times" w:cstheme="minorHAnsi"/>
          <w:b/>
          <w:bCs/>
        </w:rPr>
        <w:t xml:space="preserve">Descriptive Statistics of the UK Biobank Study Population. </w:t>
      </w:r>
    </w:p>
    <w:p w14:paraId="3341178B" w14:textId="77777777" w:rsidR="00D2316D" w:rsidRPr="007544F6" w:rsidRDefault="00D2316D">
      <w:pPr>
        <w:rPr>
          <w:rFonts w:ascii="Times" w:hAnsi="Times" w:cstheme="minorHAnsi"/>
        </w:rPr>
      </w:pPr>
    </w:p>
    <w:p w14:paraId="67652925" w14:textId="067C873F" w:rsidR="001D7F4D" w:rsidRPr="007544F6" w:rsidRDefault="00B83A81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b/>
          <w:bCs/>
        </w:rPr>
        <w:t>Supplementary Table S2.</w:t>
      </w:r>
      <w:r w:rsidRPr="007544F6">
        <w:rPr>
          <w:rFonts w:ascii="Times" w:hAnsi="Times" w:cstheme="minorHAnsi"/>
        </w:rPr>
        <w:t xml:space="preserve"> </w:t>
      </w:r>
      <w:r w:rsidR="001D7F4D" w:rsidRPr="006F4029">
        <w:rPr>
          <w:rFonts w:ascii="Times" w:hAnsi="Times" w:cstheme="minorHAnsi"/>
          <w:b/>
          <w:bCs/>
        </w:rPr>
        <w:t xml:space="preserve">Source literature and summary statistics for the SNPs </w:t>
      </w:r>
      <w:r w:rsidR="00BC6EE1" w:rsidRPr="006F4029">
        <w:rPr>
          <w:rFonts w:ascii="Times" w:hAnsi="Times" w:cstheme="minorHAnsi"/>
          <w:b/>
          <w:bCs/>
        </w:rPr>
        <w:t>included in each cancer PRS.</w:t>
      </w:r>
      <w:r w:rsidR="00BC6EE1">
        <w:rPr>
          <w:rFonts w:ascii="Times" w:hAnsi="Times" w:cstheme="minorHAnsi"/>
        </w:rPr>
        <w:t xml:space="preserve"> </w:t>
      </w:r>
    </w:p>
    <w:p w14:paraId="21793231" w14:textId="77777777" w:rsidR="001D7F4D" w:rsidRPr="007544F6" w:rsidRDefault="001D7F4D">
      <w:pPr>
        <w:rPr>
          <w:rFonts w:ascii="Times" w:hAnsi="Times" w:cstheme="minorHAnsi"/>
        </w:rPr>
      </w:pPr>
    </w:p>
    <w:p w14:paraId="19D91F51" w14:textId="1BD8056E" w:rsidR="001D7F4D" w:rsidRPr="006F4029" w:rsidRDefault="001D7F4D" w:rsidP="001D7F4D">
      <w:pPr>
        <w:rPr>
          <w:rFonts w:ascii="Times" w:hAnsi="Times" w:cstheme="minorHAnsi"/>
          <w:b/>
          <w:bCs/>
        </w:rPr>
      </w:pPr>
      <w:r w:rsidRPr="007544F6">
        <w:rPr>
          <w:rFonts w:ascii="Times" w:hAnsi="Times" w:cstheme="minorHAnsi"/>
          <w:b/>
          <w:bCs/>
        </w:rPr>
        <w:t>Supplementary Table S3.</w:t>
      </w:r>
      <w:r w:rsidRPr="007544F6">
        <w:rPr>
          <w:rFonts w:ascii="Times" w:hAnsi="Times" w:cstheme="minorHAnsi"/>
        </w:rPr>
        <w:t xml:space="preserve"> </w:t>
      </w:r>
      <w:r w:rsidRPr="006F4029">
        <w:rPr>
          <w:rFonts w:ascii="Times" w:hAnsi="Times" w:cstheme="minorHAnsi"/>
          <w:b/>
          <w:bCs/>
        </w:rPr>
        <w:t>Cancer types with the corresponding ICD-</w:t>
      </w:r>
      <w:r w:rsidR="00593693" w:rsidRPr="006F4029">
        <w:rPr>
          <w:rFonts w:ascii="Times" w:hAnsi="Times" w:cstheme="minorHAnsi"/>
          <w:b/>
          <w:bCs/>
        </w:rPr>
        <w:t xml:space="preserve">9 and ICD-10 </w:t>
      </w:r>
      <w:r w:rsidRPr="006F4029">
        <w:rPr>
          <w:rFonts w:ascii="Times" w:hAnsi="Times" w:cstheme="minorHAnsi"/>
          <w:b/>
          <w:bCs/>
        </w:rPr>
        <w:t xml:space="preserve">codes, incident cancer cases, and the number of SNPs </w:t>
      </w:r>
      <w:r w:rsidR="00D2316D" w:rsidRPr="006F4029">
        <w:rPr>
          <w:rFonts w:ascii="Times" w:hAnsi="Times" w:cstheme="minorHAnsi"/>
          <w:b/>
          <w:bCs/>
        </w:rPr>
        <w:t xml:space="preserve">included in each cancer </w:t>
      </w:r>
      <w:r w:rsidRPr="006F4029">
        <w:rPr>
          <w:rFonts w:ascii="Times" w:hAnsi="Times" w:cstheme="minorHAnsi"/>
          <w:b/>
          <w:bCs/>
        </w:rPr>
        <w:t xml:space="preserve">PRS. </w:t>
      </w:r>
    </w:p>
    <w:p w14:paraId="7267B146" w14:textId="0F08C577" w:rsidR="001D7F4D" w:rsidRPr="006F4029" w:rsidRDefault="001D7F4D">
      <w:pPr>
        <w:rPr>
          <w:rFonts w:ascii="Times" w:hAnsi="Times" w:cstheme="minorHAnsi"/>
          <w:b/>
          <w:bCs/>
        </w:rPr>
      </w:pPr>
    </w:p>
    <w:p w14:paraId="0BBA12E1" w14:textId="569F900A" w:rsidR="009F3B65" w:rsidRPr="007544F6" w:rsidRDefault="001D7F4D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b/>
          <w:bCs/>
        </w:rPr>
        <w:t>Supplementary Table S4.</w:t>
      </w:r>
      <w:r w:rsidRPr="007544F6">
        <w:rPr>
          <w:rFonts w:ascii="Times" w:hAnsi="Times" w:cstheme="minorHAnsi"/>
        </w:rPr>
        <w:t xml:space="preserve"> </w:t>
      </w:r>
      <w:r w:rsidRPr="007544F6">
        <w:rPr>
          <w:rFonts w:ascii="Times" w:hAnsi="Times" w:cstheme="minorHAnsi"/>
          <w:b/>
          <w:bCs/>
        </w:rPr>
        <w:t xml:space="preserve">Model performance of </w:t>
      </w:r>
      <w:r w:rsidR="00D80F9C" w:rsidRPr="007544F6">
        <w:rPr>
          <w:rFonts w:ascii="Times" w:hAnsi="Times" w:cstheme="minorHAnsi"/>
          <w:b/>
          <w:bCs/>
        </w:rPr>
        <w:t xml:space="preserve">the </w:t>
      </w:r>
      <w:r w:rsidR="00593693">
        <w:rPr>
          <w:rFonts w:ascii="Times" w:hAnsi="Times" w:cstheme="minorHAnsi"/>
          <w:b/>
          <w:bCs/>
        </w:rPr>
        <w:t>pan-cancer</w:t>
      </w:r>
      <w:r w:rsidRPr="007544F6">
        <w:rPr>
          <w:rFonts w:ascii="Times" w:hAnsi="Times" w:cstheme="minorHAnsi"/>
          <w:b/>
          <w:bCs/>
        </w:rPr>
        <w:t xml:space="preserve"> risk score (</w:t>
      </w:r>
      <w:r w:rsidR="00593693">
        <w:rPr>
          <w:rFonts w:ascii="Times" w:hAnsi="Times" w:cstheme="minorHAnsi"/>
          <w:b/>
          <w:bCs/>
        </w:rPr>
        <w:t>PCRS</w:t>
      </w:r>
      <w:r w:rsidRPr="007544F6">
        <w:rPr>
          <w:rFonts w:ascii="Times" w:hAnsi="Times" w:cstheme="minorHAnsi"/>
          <w:b/>
          <w:bCs/>
        </w:rPr>
        <w:t>)</w:t>
      </w:r>
      <w:r w:rsidR="00593693">
        <w:rPr>
          <w:rFonts w:ascii="Times" w:hAnsi="Times" w:cstheme="minorHAnsi"/>
          <w:b/>
          <w:bCs/>
        </w:rPr>
        <w:t xml:space="preserve"> </w:t>
      </w:r>
      <w:r w:rsidR="00227963">
        <w:rPr>
          <w:rFonts w:ascii="Times" w:hAnsi="Times" w:cstheme="minorHAnsi"/>
          <w:b/>
          <w:bCs/>
        </w:rPr>
        <w:t>or</w:t>
      </w:r>
      <w:r w:rsidR="00593693">
        <w:rPr>
          <w:rFonts w:ascii="Times" w:hAnsi="Times" w:cstheme="minorHAnsi"/>
          <w:b/>
          <w:bCs/>
        </w:rPr>
        <w:t xml:space="preserve"> cancer-specific risk scores</w:t>
      </w:r>
      <w:r w:rsidRPr="007544F6">
        <w:rPr>
          <w:rFonts w:ascii="Times" w:hAnsi="Times" w:cstheme="minorHAnsi"/>
          <w:b/>
          <w:bCs/>
        </w:rPr>
        <w:t xml:space="preserve"> in the test set.</w:t>
      </w:r>
      <w:r w:rsidRPr="007544F6">
        <w:rPr>
          <w:rFonts w:ascii="Times" w:hAnsi="Times" w:cstheme="minorHAnsi"/>
        </w:rPr>
        <w:t xml:space="preserve"> </w:t>
      </w:r>
      <w:r w:rsidR="00593693">
        <w:rPr>
          <w:rFonts w:ascii="Times" w:hAnsi="Times" w:cstheme="minorHAnsi"/>
        </w:rPr>
        <w:t>PCRS/cancer-specific risk score</w:t>
      </w:r>
      <w:r w:rsidR="00D80F9C" w:rsidRPr="007544F6">
        <w:rPr>
          <w:rFonts w:ascii="Times" w:hAnsi="Times" w:cstheme="minorHAnsi"/>
        </w:rPr>
        <w:t xml:space="preserve"> is estimated as the weighted sum of the predictors included in each model</w:t>
      </w:r>
      <w:r w:rsidR="00593693">
        <w:rPr>
          <w:rFonts w:ascii="Times" w:hAnsi="Times" w:cstheme="minorHAnsi"/>
        </w:rPr>
        <w:t xml:space="preserve">. </w:t>
      </w:r>
      <w:r w:rsidR="00D80F9C" w:rsidRPr="007544F6">
        <w:rPr>
          <w:rFonts w:ascii="Times" w:hAnsi="Times" w:cstheme="minorHAnsi"/>
        </w:rPr>
        <w:t xml:space="preserve">The weights are hazard ratios computed from fitting the Cox model to the training data. The performance of </w:t>
      </w:r>
      <w:r w:rsidR="00663236">
        <w:rPr>
          <w:rFonts w:ascii="Times" w:hAnsi="Times" w:cstheme="minorHAnsi"/>
        </w:rPr>
        <w:t>PCRS</w:t>
      </w:r>
      <w:r w:rsidR="00D80F9C" w:rsidRPr="007544F6">
        <w:rPr>
          <w:rFonts w:ascii="Times" w:hAnsi="Times" w:cstheme="minorHAnsi"/>
        </w:rPr>
        <w:t xml:space="preserve"> was evaluated in the test set. Hazard ratios (HR) per SD, the corresponding p-value, Harrell’s C-index, and area under the curve (AUC) is reported. Predictors included in each model is shown in Supplementary Figure S</w:t>
      </w:r>
      <w:r w:rsidR="00593693">
        <w:rPr>
          <w:rFonts w:ascii="Times" w:hAnsi="Times" w:cstheme="minorHAnsi"/>
        </w:rPr>
        <w:t>2</w:t>
      </w:r>
      <w:r w:rsidR="00D80F9C" w:rsidRPr="007544F6">
        <w:rPr>
          <w:rFonts w:ascii="Times" w:hAnsi="Times" w:cstheme="minorHAnsi"/>
        </w:rPr>
        <w:t>-S</w:t>
      </w:r>
      <w:r w:rsidR="00593693">
        <w:rPr>
          <w:rFonts w:ascii="Times" w:hAnsi="Times" w:cstheme="minorHAnsi"/>
        </w:rPr>
        <w:t>5</w:t>
      </w:r>
      <w:r w:rsidR="00D80F9C" w:rsidRPr="007544F6">
        <w:rPr>
          <w:rFonts w:ascii="Times" w:hAnsi="Times" w:cstheme="minorHAnsi"/>
        </w:rPr>
        <w:t xml:space="preserve">. AUC: area under the curve; CI: Confidence Interval; C-statistic: Harrell’s C-index; </w:t>
      </w:r>
      <w:r w:rsidRPr="007544F6">
        <w:rPr>
          <w:rFonts w:ascii="Times" w:hAnsi="Times" w:cstheme="minorHAnsi"/>
        </w:rPr>
        <w:t xml:space="preserve">HR: Hazard Ratio; SD: Standard Deviation; </w:t>
      </w:r>
      <w:r w:rsidR="00D80F9C" w:rsidRPr="007544F6">
        <w:rPr>
          <w:rFonts w:ascii="Times" w:hAnsi="Times" w:cstheme="minorHAnsi"/>
        </w:rPr>
        <w:t xml:space="preserve">P: p-value. </w:t>
      </w:r>
    </w:p>
    <w:p w14:paraId="7988E6E4" w14:textId="77777777" w:rsidR="00D80F9C" w:rsidRPr="007544F6" w:rsidRDefault="00D80F9C">
      <w:pPr>
        <w:rPr>
          <w:rFonts w:ascii="Times" w:hAnsi="Time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070"/>
        <w:gridCol w:w="4434"/>
      </w:tblGrid>
      <w:tr w:rsidR="00A864C5" w:rsidRPr="007544F6" w14:paraId="21D0B914" w14:textId="77777777" w:rsidTr="00EF1236">
        <w:trPr>
          <w:trHeight w:val="285"/>
        </w:trPr>
        <w:tc>
          <w:tcPr>
            <w:tcW w:w="2785" w:type="dxa"/>
          </w:tcPr>
          <w:p w14:paraId="67F19048" w14:textId="59149E5A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Type of Alcohol</w:t>
            </w:r>
          </w:p>
        </w:tc>
        <w:tc>
          <w:tcPr>
            <w:tcW w:w="2070" w:type="dxa"/>
          </w:tcPr>
          <w:p w14:paraId="39391903" w14:textId="059CCBC3" w:rsidR="00A864C5" w:rsidRPr="007544F6" w:rsidRDefault="00EF1236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 xml:space="preserve">Alcohol by volume (ABV) </w:t>
            </w:r>
            <w:r w:rsidR="00A864C5" w:rsidRPr="007544F6">
              <w:rPr>
                <w:rFonts w:ascii="Times" w:hAnsi="Times" w:cstheme="minorHAnsi"/>
              </w:rPr>
              <w:t xml:space="preserve"> </w:t>
            </w:r>
          </w:p>
        </w:tc>
        <w:tc>
          <w:tcPr>
            <w:tcW w:w="4434" w:type="dxa"/>
          </w:tcPr>
          <w:p w14:paraId="5E814F6C" w14:textId="2F37A5CA" w:rsidR="00A864C5" w:rsidRPr="007544F6" w:rsidRDefault="00EF1236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 xml:space="preserve">Volume (mL) </w:t>
            </w:r>
          </w:p>
        </w:tc>
      </w:tr>
      <w:tr w:rsidR="00A864C5" w:rsidRPr="007544F6" w14:paraId="0227D874" w14:textId="77777777" w:rsidTr="00EF1236">
        <w:trPr>
          <w:trHeight w:val="303"/>
        </w:trPr>
        <w:tc>
          <w:tcPr>
            <w:tcW w:w="2785" w:type="dxa"/>
          </w:tcPr>
          <w:p w14:paraId="5F58FBBF" w14:textId="726FFAEE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Beer/cider</w:t>
            </w:r>
          </w:p>
        </w:tc>
        <w:tc>
          <w:tcPr>
            <w:tcW w:w="2070" w:type="dxa"/>
          </w:tcPr>
          <w:p w14:paraId="73BEB32A" w14:textId="257FE027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5%</w:t>
            </w:r>
          </w:p>
        </w:tc>
        <w:tc>
          <w:tcPr>
            <w:tcW w:w="4434" w:type="dxa"/>
          </w:tcPr>
          <w:p w14:paraId="75EC37DC" w14:textId="693B3676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1 pint = 568 mL</w:t>
            </w:r>
          </w:p>
        </w:tc>
      </w:tr>
      <w:tr w:rsidR="00A864C5" w:rsidRPr="007544F6" w14:paraId="38D6F4F6" w14:textId="77777777" w:rsidTr="00EF1236">
        <w:trPr>
          <w:trHeight w:val="285"/>
        </w:trPr>
        <w:tc>
          <w:tcPr>
            <w:tcW w:w="2785" w:type="dxa"/>
          </w:tcPr>
          <w:p w14:paraId="4DA79269" w14:textId="6F739027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Red Wine</w:t>
            </w:r>
          </w:p>
        </w:tc>
        <w:tc>
          <w:tcPr>
            <w:tcW w:w="2070" w:type="dxa"/>
          </w:tcPr>
          <w:p w14:paraId="30A8AFCC" w14:textId="75A8F656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13%</w:t>
            </w:r>
          </w:p>
        </w:tc>
        <w:tc>
          <w:tcPr>
            <w:tcW w:w="4434" w:type="dxa"/>
          </w:tcPr>
          <w:p w14:paraId="526CF3EF" w14:textId="504A8A79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1 glass = 125 mL</w:t>
            </w:r>
          </w:p>
        </w:tc>
      </w:tr>
      <w:tr w:rsidR="00A864C5" w:rsidRPr="007544F6" w14:paraId="20F004BA" w14:textId="77777777" w:rsidTr="00EF1236">
        <w:trPr>
          <w:trHeight w:val="303"/>
        </w:trPr>
        <w:tc>
          <w:tcPr>
            <w:tcW w:w="2785" w:type="dxa"/>
          </w:tcPr>
          <w:p w14:paraId="298052BE" w14:textId="58D3E721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Champagne/White wine</w:t>
            </w:r>
          </w:p>
        </w:tc>
        <w:tc>
          <w:tcPr>
            <w:tcW w:w="2070" w:type="dxa"/>
          </w:tcPr>
          <w:p w14:paraId="3AF3008A" w14:textId="2C22F76A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12%</w:t>
            </w:r>
          </w:p>
        </w:tc>
        <w:tc>
          <w:tcPr>
            <w:tcW w:w="4434" w:type="dxa"/>
          </w:tcPr>
          <w:p w14:paraId="17688CD8" w14:textId="1D7578A0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1 glass = 125 mL</w:t>
            </w:r>
          </w:p>
        </w:tc>
      </w:tr>
      <w:tr w:rsidR="00A864C5" w:rsidRPr="007544F6" w14:paraId="5331AF71" w14:textId="77777777" w:rsidTr="00EF1236">
        <w:trPr>
          <w:trHeight w:val="285"/>
        </w:trPr>
        <w:tc>
          <w:tcPr>
            <w:tcW w:w="2785" w:type="dxa"/>
          </w:tcPr>
          <w:p w14:paraId="32F20746" w14:textId="0A674CDB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Spirits</w:t>
            </w:r>
          </w:p>
        </w:tc>
        <w:tc>
          <w:tcPr>
            <w:tcW w:w="2070" w:type="dxa"/>
          </w:tcPr>
          <w:p w14:paraId="0A0DC8A6" w14:textId="66DC36D1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40%</w:t>
            </w:r>
          </w:p>
        </w:tc>
        <w:tc>
          <w:tcPr>
            <w:tcW w:w="4434" w:type="dxa"/>
          </w:tcPr>
          <w:p w14:paraId="4DD72EF8" w14:textId="4DC2813E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1 spirit = 25 mL</w:t>
            </w:r>
          </w:p>
        </w:tc>
      </w:tr>
      <w:tr w:rsidR="00A864C5" w:rsidRPr="007544F6" w14:paraId="63E6FDD5" w14:textId="77777777" w:rsidTr="00EF1236">
        <w:trPr>
          <w:trHeight w:val="285"/>
        </w:trPr>
        <w:tc>
          <w:tcPr>
            <w:tcW w:w="2785" w:type="dxa"/>
          </w:tcPr>
          <w:p w14:paraId="33B09229" w14:textId="6A712A44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Fortified Wine</w:t>
            </w:r>
          </w:p>
        </w:tc>
        <w:tc>
          <w:tcPr>
            <w:tcW w:w="2070" w:type="dxa"/>
          </w:tcPr>
          <w:p w14:paraId="17E3FB79" w14:textId="34B347B1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 xml:space="preserve">17.5% </w:t>
            </w:r>
          </w:p>
        </w:tc>
        <w:tc>
          <w:tcPr>
            <w:tcW w:w="4434" w:type="dxa"/>
          </w:tcPr>
          <w:p w14:paraId="20331CDD" w14:textId="2AC87DC4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1 glass = 62.5 mL</w:t>
            </w:r>
          </w:p>
        </w:tc>
      </w:tr>
      <w:tr w:rsidR="00A864C5" w:rsidRPr="007544F6" w14:paraId="4646806E" w14:textId="77777777" w:rsidTr="00EF1236">
        <w:trPr>
          <w:trHeight w:val="285"/>
        </w:trPr>
        <w:tc>
          <w:tcPr>
            <w:tcW w:w="2785" w:type="dxa"/>
          </w:tcPr>
          <w:p w14:paraId="3070BF6B" w14:textId="72F4919F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Other alcoholic drinks (alcopops)</w:t>
            </w:r>
          </w:p>
        </w:tc>
        <w:tc>
          <w:tcPr>
            <w:tcW w:w="2070" w:type="dxa"/>
          </w:tcPr>
          <w:p w14:paraId="706C4B7A" w14:textId="6A73C977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>5%</w:t>
            </w:r>
          </w:p>
        </w:tc>
        <w:tc>
          <w:tcPr>
            <w:tcW w:w="4434" w:type="dxa"/>
          </w:tcPr>
          <w:p w14:paraId="05987ED6" w14:textId="78D1B2D1" w:rsidR="00A864C5" w:rsidRPr="007544F6" w:rsidRDefault="00A864C5">
            <w:pPr>
              <w:rPr>
                <w:rFonts w:ascii="Times" w:hAnsi="Times" w:cstheme="minorHAnsi"/>
              </w:rPr>
            </w:pPr>
            <w:r w:rsidRPr="007544F6">
              <w:rPr>
                <w:rFonts w:ascii="Times" w:hAnsi="Times" w:cstheme="minorHAnsi"/>
              </w:rPr>
              <w:t xml:space="preserve">1 glass = 125 mL </w:t>
            </w:r>
          </w:p>
        </w:tc>
      </w:tr>
    </w:tbl>
    <w:p w14:paraId="57DA698A" w14:textId="77777777" w:rsidR="00EF1236" w:rsidRPr="007544F6" w:rsidRDefault="00EF1236">
      <w:pPr>
        <w:rPr>
          <w:rFonts w:ascii="Times" w:hAnsi="Times" w:cstheme="minorHAnsi"/>
        </w:rPr>
      </w:pPr>
    </w:p>
    <w:p w14:paraId="3367A75F" w14:textId="634E61BB" w:rsidR="00A864C5" w:rsidRPr="007544F6" w:rsidRDefault="00A864C5">
      <w:pPr>
        <w:rPr>
          <w:rFonts w:ascii="Times" w:hAnsi="Times" w:cstheme="minorHAnsi"/>
        </w:rPr>
      </w:pPr>
      <w:r w:rsidRPr="007544F6">
        <w:rPr>
          <w:rFonts w:ascii="Times" w:hAnsi="Times" w:cstheme="minorHAnsi"/>
          <w:b/>
          <w:bCs/>
        </w:rPr>
        <w:t>Supplementary Table S5. Categorization of self-reported alcohol intake.</w:t>
      </w:r>
      <w:r w:rsidRPr="007544F6">
        <w:rPr>
          <w:rFonts w:ascii="Times" w:hAnsi="Times" w:cstheme="minorHAnsi"/>
        </w:rPr>
        <w:t xml:space="preserve"> </w:t>
      </w:r>
      <w:r w:rsidR="00EF1236" w:rsidRPr="007544F6">
        <w:rPr>
          <w:rFonts w:ascii="Times" w:hAnsi="Times" w:cstheme="minorHAnsi"/>
        </w:rPr>
        <w:t xml:space="preserve">UK Biobank provides average weekly alcohol intake by type of beverage. Based on this information, number of alcohol units are computed by multiplying </w:t>
      </w:r>
      <w:r w:rsidR="00593693">
        <w:rPr>
          <w:rFonts w:ascii="Times" w:hAnsi="Times" w:cstheme="minorHAnsi"/>
        </w:rPr>
        <w:t>Alcohol by Volume (ABV)</w:t>
      </w:r>
      <w:r w:rsidR="00EF1236" w:rsidRPr="007544F6">
        <w:rPr>
          <w:rFonts w:ascii="Times" w:hAnsi="Times" w:cstheme="minorHAnsi"/>
        </w:rPr>
        <w:t xml:space="preserve"> by volume of the beverage and dividing it by 1000. Using this conversion and the alcohol frequency information, alcohol intake is grouped into four categories: never (0 units of alcohol per week), light (&lt; 14 units of alcohol per week), moderate (Between 14 to 35 units of alcohol per week), and heavy (≥</w:t>
      </w:r>
      <w:r w:rsidR="00DD16C0">
        <w:rPr>
          <w:rFonts w:ascii="Times" w:hAnsi="Times" w:cstheme="minorHAnsi"/>
        </w:rPr>
        <w:t xml:space="preserve"> </w:t>
      </w:r>
      <w:r w:rsidR="00EF1236" w:rsidRPr="007544F6">
        <w:rPr>
          <w:rFonts w:ascii="Times" w:hAnsi="Times" w:cstheme="minorHAnsi"/>
        </w:rPr>
        <w:t xml:space="preserve">35 units of alcohol per week). </w:t>
      </w:r>
    </w:p>
    <w:p w14:paraId="50BBEE50" w14:textId="77777777" w:rsidR="00A864C5" w:rsidRPr="007544F6" w:rsidRDefault="00A864C5">
      <w:pPr>
        <w:rPr>
          <w:rFonts w:ascii="Times" w:hAnsi="Times" w:cstheme="minorHAnsi"/>
        </w:rPr>
      </w:pPr>
    </w:p>
    <w:tbl>
      <w:tblPr>
        <w:tblW w:w="9001" w:type="dxa"/>
        <w:tblLook w:val="04A0" w:firstRow="1" w:lastRow="0" w:firstColumn="1" w:lastColumn="0" w:noHBand="0" w:noVBand="1"/>
      </w:tblPr>
      <w:tblGrid>
        <w:gridCol w:w="4585"/>
        <w:gridCol w:w="1530"/>
        <w:gridCol w:w="2886"/>
      </w:tblGrid>
      <w:tr w:rsidR="009F3B65" w:rsidRPr="007544F6" w14:paraId="546A52E2" w14:textId="77777777" w:rsidTr="00593693">
        <w:trPr>
          <w:trHeight w:val="33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A545" w14:textId="77777777" w:rsidR="009F3B65" w:rsidRPr="007544F6" w:rsidRDefault="009F3B65" w:rsidP="00A864C5">
            <w:pPr>
              <w:jc w:val="center"/>
              <w:rPr>
                <w:rFonts w:ascii="Times" w:hAnsi="Times" w:cstheme="minorHAnsi"/>
                <w:color w:val="000000"/>
              </w:rPr>
            </w:pPr>
            <w:r w:rsidRPr="007544F6">
              <w:rPr>
                <w:rFonts w:ascii="Times" w:hAnsi="Times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F76D" w14:textId="77777777" w:rsidR="009F3B65" w:rsidRPr="007544F6" w:rsidRDefault="009F3B65" w:rsidP="00A864C5">
            <w:pPr>
              <w:jc w:val="center"/>
              <w:rPr>
                <w:rFonts w:ascii="Times" w:hAnsi="Times" w:cstheme="minorHAnsi"/>
                <w:color w:val="000000"/>
              </w:rPr>
            </w:pPr>
            <w:r w:rsidRPr="007544F6">
              <w:rPr>
                <w:rFonts w:ascii="Times" w:hAnsi="Times" w:cstheme="minorHAnsi"/>
                <w:color w:val="000000"/>
              </w:rPr>
              <w:t>All Cancers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BC47" w14:textId="46D4901C" w:rsidR="009F3B65" w:rsidRPr="007544F6" w:rsidRDefault="009F3B65" w:rsidP="00A864C5">
            <w:pPr>
              <w:jc w:val="center"/>
              <w:rPr>
                <w:rFonts w:ascii="Times" w:hAnsi="Times" w:cstheme="minorHAnsi"/>
                <w:color w:val="000000"/>
              </w:rPr>
            </w:pPr>
            <w:r w:rsidRPr="007544F6">
              <w:rPr>
                <w:rFonts w:ascii="Times" w:hAnsi="Times" w:cstheme="minorHAnsi"/>
                <w:color w:val="000000"/>
              </w:rPr>
              <w:t>Breast, Colorectum, Lung</w:t>
            </w:r>
          </w:p>
        </w:tc>
      </w:tr>
      <w:tr w:rsidR="009F3B65" w:rsidRPr="007544F6" w14:paraId="4D414883" w14:textId="77777777" w:rsidTr="00593693">
        <w:trPr>
          <w:trHeight w:val="33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88D6" w14:textId="77777777" w:rsidR="009F3B65" w:rsidRPr="007544F6" w:rsidRDefault="009F3B65" w:rsidP="00A864C5">
            <w:pPr>
              <w:jc w:val="center"/>
              <w:rPr>
                <w:rFonts w:ascii="Times" w:hAnsi="Times" w:cstheme="minorHAnsi"/>
                <w:color w:val="000000"/>
              </w:rPr>
            </w:pPr>
            <w:r w:rsidRPr="007544F6">
              <w:rPr>
                <w:rFonts w:ascii="Times" w:hAnsi="Times" w:cstheme="minorHAnsi"/>
                <w:color w:val="000000"/>
              </w:rPr>
              <w:t>Stage I-IV Sensitivity at 98.9% Specificity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4053" w14:textId="77777777" w:rsidR="009F3B65" w:rsidRPr="007544F6" w:rsidRDefault="009F3B65" w:rsidP="00A864C5">
            <w:pPr>
              <w:jc w:val="center"/>
              <w:rPr>
                <w:rFonts w:ascii="Times" w:hAnsi="Times" w:cstheme="minorHAnsi"/>
                <w:color w:val="000000"/>
              </w:rPr>
            </w:pPr>
            <w:r w:rsidRPr="007544F6">
              <w:rPr>
                <w:rFonts w:ascii="Times" w:hAnsi="Times" w:cstheme="minorHAnsi"/>
                <w:color w:val="000000"/>
              </w:rPr>
              <w:t>27.1%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E0B" w14:textId="77777777" w:rsidR="009F3B65" w:rsidRPr="007544F6" w:rsidRDefault="009F3B65" w:rsidP="00A864C5">
            <w:pPr>
              <w:jc w:val="center"/>
              <w:rPr>
                <w:rFonts w:ascii="Times" w:hAnsi="Times" w:cstheme="minorHAnsi"/>
                <w:color w:val="000000"/>
              </w:rPr>
            </w:pPr>
            <w:r w:rsidRPr="007544F6">
              <w:rPr>
                <w:rFonts w:ascii="Times" w:hAnsi="Times" w:cstheme="minorHAnsi"/>
                <w:color w:val="000000"/>
              </w:rPr>
              <w:t>23.5%</w:t>
            </w:r>
          </w:p>
        </w:tc>
      </w:tr>
    </w:tbl>
    <w:p w14:paraId="33B14DD2" w14:textId="4265A68D" w:rsidR="009F3B65" w:rsidRDefault="00A864C5" w:rsidP="009F3B65">
      <w:pPr>
        <w:pStyle w:val="NormalWeb"/>
        <w:rPr>
          <w:rFonts w:ascii="Times" w:hAnsi="Times" w:cstheme="minorHAnsi"/>
        </w:rPr>
      </w:pPr>
      <w:r w:rsidRPr="007544F6">
        <w:rPr>
          <w:rFonts w:ascii="Times" w:hAnsi="Times" w:cstheme="minorHAnsi"/>
          <w:b/>
          <w:bCs/>
        </w:rPr>
        <w:t>Supplementary Table S6.</w:t>
      </w:r>
      <w:r w:rsidR="00EF1236" w:rsidRPr="007544F6">
        <w:rPr>
          <w:rFonts w:ascii="Times" w:hAnsi="Times" w:cstheme="minorHAnsi"/>
          <w:b/>
          <w:bCs/>
        </w:rPr>
        <w:t xml:space="preserve"> Reported </w:t>
      </w:r>
      <w:r w:rsidR="009F3B65" w:rsidRPr="007544F6">
        <w:rPr>
          <w:rFonts w:ascii="Times" w:hAnsi="Times" w:cstheme="minorHAnsi"/>
          <w:b/>
          <w:bCs/>
        </w:rPr>
        <w:t>performance of the</w:t>
      </w:r>
      <w:r w:rsidR="00EF1236" w:rsidRPr="007544F6">
        <w:rPr>
          <w:rFonts w:ascii="Times" w:hAnsi="Times" w:cstheme="minorHAnsi"/>
          <w:b/>
          <w:bCs/>
        </w:rPr>
        <w:t xml:space="preserve"> DETECT-A blood tes</w:t>
      </w:r>
      <w:r w:rsidR="00EE3CE9">
        <w:rPr>
          <w:rFonts w:ascii="Times" w:hAnsi="Times" w:cstheme="minorHAnsi"/>
          <w:b/>
          <w:bCs/>
        </w:rPr>
        <w:t>t</w:t>
      </w:r>
      <w:r w:rsidR="00EE3CE9" w:rsidRPr="00EE3CE9">
        <w:rPr>
          <w:rFonts w:ascii="Times" w:hAnsi="Times" w:cstheme="minorHAnsi"/>
          <w:b/>
          <w:bCs/>
          <w:vertAlign w:val="superscript"/>
        </w:rPr>
        <w:t>20</w:t>
      </w:r>
      <w:r w:rsidR="009F3B65" w:rsidRPr="007544F6">
        <w:rPr>
          <w:rFonts w:ascii="Times" w:hAnsi="Times" w:cstheme="minorHAnsi"/>
          <w:b/>
          <w:bCs/>
        </w:rPr>
        <w:t xml:space="preserve">. </w:t>
      </w:r>
      <w:r w:rsidR="009F3B65" w:rsidRPr="007544F6">
        <w:rPr>
          <w:rFonts w:ascii="Times" w:hAnsi="Times" w:cstheme="minorHAnsi"/>
        </w:rPr>
        <w:t>For the multicancer model, the overall sensitivity (27.1%) of the DETECT-A blood test is used to compute positive predictive value (PPV) and negative predictive value (NPV). For cancers with standard of care screening (</w:t>
      </w:r>
      <w:proofErr w:type="gramStart"/>
      <w:r w:rsidR="009F3B65" w:rsidRPr="007544F6">
        <w:rPr>
          <w:rFonts w:ascii="Times" w:hAnsi="Times" w:cstheme="minorHAnsi"/>
        </w:rPr>
        <w:t>i.e.</w:t>
      </w:r>
      <w:proofErr w:type="gramEnd"/>
      <w:r w:rsidR="009F3B65" w:rsidRPr="007544F6">
        <w:rPr>
          <w:rFonts w:ascii="Times" w:hAnsi="Times" w:cstheme="minorHAnsi"/>
        </w:rPr>
        <w:t xml:space="preserve"> breast, colorect</w:t>
      </w:r>
      <w:r w:rsidR="00B83A81" w:rsidRPr="007544F6">
        <w:rPr>
          <w:rFonts w:ascii="Times" w:hAnsi="Times" w:cstheme="minorHAnsi"/>
        </w:rPr>
        <w:t>um</w:t>
      </w:r>
      <w:r w:rsidR="009F3B65" w:rsidRPr="007544F6">
        <w:rPr>
          <w:rFonts w:ascii="Times" w:hAnsi="Times" w:cstheme="minorHAnsi"/>
        </w:rPr>
        <w:t>,</w:t>
      </w:r>
      <w:r w:rsidR="00DD16C0">
        <w:rPr>
          <w:rFonts w:ascii="Times" w:hAnsi="Times" w:cstheme="minorHAnsi"/>
        </w:rPr>
        <w:t xml:space="preserve"> and</w:t>
      </w:r>
      <w:r w:rsidR="009F3B65" w:rsidRPr="007544F6">
        <w:rPr>
          <w:rFonts w:ascii="Times" w:hAnsi="Times" w:cstheme="minorHAnsi"/>
        </w:rPr>
        <w:t xml:space="preserve"> lung), DETCT-A had a 3.6% lower </w:t>
      </w:r>
      <w:r w:rsidR="009F3B65" w:rsidRPr="007544F6">
        <w:rPr>
          <w:rFonts w:ascii="Times" w:hAnsi="Times" w:cstheme="minorHAnsi"/>
        </w:rPr>
        <w:lastRenderedPageBreak/>
        <w:t xml:space="preserve">sensitivity of 23.5% at 98.9% specificity. DETECT-A: Detecting cancers Earlier Through Elective mutation-based blood Collection and Testing. </w:t>
      </w:r>
    </w:p>
    <w:p w14:paraId="50B33DAC" w14:textId="7E887CC6" w:rsidR="00663236" w:rsidRPr="00663236" w:rsidRDefault="00663236" w:rsidP="009F3B65">
      <w:pPr>
        <w:pStyle w:val="NormalWeb"/>
        <w:rPr>
          <w:rFonts w:ascii="Times" w:hAnsi="Times" w:cstheme="minorHAnsi"/>
          <w:b/>
          <w:bCs/>
        </w:rPr>
      </w:pPr>
      <w:r w:rsidRPr="00663236">
        <w:rPr>
          <w:rFonts w:ascii="Times" w:hAnsi="Times" w:cstheme="minorHAnsi"/>
          <w:b/>
          <w:bCs/>
        </w:rPr>
        <w:t>REFERENCES</w:t>
      </w:r>
    </w:p>
    <w:p w14:paraId="460BEE36" w14:textId="75A41A62" w:rsidR="00227963" w:rsidRPr="00227963" w:rsidRDefault="00227963" w:rsidP="00DD16C0">
      <w:pPr>
        <w:pStyle w:val="Bibliography"/>
        <w:spacing w:line="240" w:lineRule="auto"/>
        <w:rPr>
          <w:rFonts w:ascii="Times" w:hAnsi="Times"/>
        </w:rPr>
      </w:pPr>
      <w:r>
        <w:rPr>
          <w:rFonts w:ascii="Times" w:hAnsi="Times" w:cstheme="minorHAnsi"/>
        </w:rPr>
        <w:fldChar w:fldCharType="begin"/>
      </w:r>
      <w:r>
        <w:rPr>
          <w:rFonts w:ascii="Times" w:hAnsi="Times" w:cstheme="minorHAnsi"/>
        </w:rPr>
        <w:instrText xml:space="preserve"> ADDIN ZOTERO_BIBL {"uncited":[],"omitted":[],"custom":[]} CSL_BIBLIOGRAPHY </w:instrText>
      </w:r>
      <w:r>
        <w:rPr>
          <w:rFonts w:ascii="Times" w:hAnsi="Times" w:cstheme="minorHAnsi"/>
        </w:rPr>
        <w:fldChar w:fldCharType="separate"/>
      </w:r>
      <w:r w:rsidR="00EE3CE9">
        <w:rPr>
          <w:rFonts w:ascii="Times" w:hAnsi="Times"/>
        </w:rPr>
        <w:t>20</w:t>
      </w:r>
      <w:r w:rsidRPr="00227963">
        <w:rPr>
          <w:rFonts w:ascii="Times" w:hAnsi="Times"/>
        </w:rPr>
        <w:t>.</w:t>
      </w:r>
      <w:r w:rsidRPr="00227963">
        <w:rPr>
          <w:rFonts w:ascii="Times" w:hAnsi="Times"/>
        </w:rPr>
        <w:tab/>
        <w:t xml:space="preserve">Jiang, T., Ren, S. &amp; Zhou, C. Multi-cancer blood testing combined with PET-CT: road for hope to screen for cancer and guide intervention. </w:t>
      </w:r>
      <w:r w:rsidRPr="00227963">
        <w:rPr>
          <w:rFonts w:ascii="Times" w:hAnsi="Times"/>
          <w:i/>
          <w:iCs/>
        </w:rPr>
        <w:t>Signal Transduct. Target. Ther.</w:t>
      </w:r>
      <w:r w:rsidRPr="00227963">
        <w:rPr>
          <w:rFonts w:ascii="Times" w:hAnsi="Times"/>
        </w:rPr>
        <w:t xml:space="preserve"> </w:t>
      </w:r>
      <w:r w:rsidRPr="00227963">
        <w:rPr>
          <w:rFonts w:ascii="Times" w:hAnsi="Times"/>
          <w:b/>
          <w:bCs/>
        </w:rPr>
        <w:t>5</w:t>
      </w:r>
      <w:r w:rsidRPr="00227963">
        <w:rPr>
          <w:rFonts w:ascii="Times" w:hAnsi="Times"/>
        </w:rPr>
        <w:t>, 95 (2020).</w:t>
      </w:r>
    </w:p>
    <w:p w14:paraId="08330FE6" w14:textId="06731F33" w:rsidR="00A864C5" w:rsidRPr="007544F6" w:rsidRDefault="00227963" w:rsidP="00DD16C0">
      <w:pPr>
        <w:rPr>
          <w:rFonts w:ascii="Times" w:hAnsi="Times" w:cstheme="minorHAnsi"/>
        </w:rPr>
      </w:pPr>
      <w:r>
        <w:rPr>
          <w:rFonts w:ascii="Times" w:hAnsi="Times" w:cstheme="minorHAnsi"/>
        </w:rPr>
        <w:fldChar w:fldCharType="end"/>
      </w:r>
    </w:p>
    <w:sectPr w:rsidR="00A864C5" w:rsidRPr="007544F6" w:rsidSect="00D2316D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퐑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45"/>
    <w:rsid w:val="00070BAC"/>
    <w:rsid w:val="00085CD1"/>
    <w:rsid w:val="000910B0"/>
    <w:rsid w:val="00096ACF"/>
    <w:rsid w:val="000F601F"/>
    <w:rsid w:val="001345A4"/>
    <w:rsid w:val="001D7F4D"/>
    <w:rsid w:val="001F0EF3"/>
    <w:rsid w:val="00227963"/>
    <w:rsid w:val="00231895"/>
    <w:rsid w:val="00241382"/>
    <w:rsid w:val="002953F9"/>
    <w:rsid w:val="002F26C4"/>
    <w:rsid w:val="00324627"/>
    <w:rsid w:val="00362FBF"/>
    <w:rsid w:val="003E078C"/>
    <w:rsid w:val="004259D4"/>
    <w:rsid w:val="00485219"/>
    <w:rsid w:val="004C55EE"/>
    <w:rsid w:val="005168AC"/>
    <w:rsid w:val="005629B9"/>
    <w:rsid w:val="00570E13"/>
    <w:rsid w:val="00576ABA"/>
    <w:rsid w:val="00593693"/>
    <w:rsid w:val="005A69DA"/>
    <w:rsid w:val="005D1EC2"/>
    <w:rsid w:val="005E4E66"/>
    <w:rsid w:val="00600C55"/>
    <w:rsid w:val="006064EA"/>
    <w:rsid w:val="006164E6"/>
    <w:rsid w:val="00663236"/>
    <w:rsid w:val="006B0338"/>
    <w:rsid w:val="006E3C02"/>
    <w:rsid w:val="006F4029"/>
    <w:rsid w:val="007544F6"/>
    <w:rsid w:val="00772924"/>
    <w:rsid w:val="007B19BD"/>
    <w:rsid w:val="007D7CCD"/>
    <w:rsid w:val="00805B2C"/>
    <w:rsid w:val="008B4317"/>
    <w:rsid w:val="008F0E0F"/>
    <w:rsid w:val="008F46AE"/>
    <w:rsid w:val="009752A7"/>
    <w:rsid w:val="00993E22"/>
    <w:rsid w:val="009945C0"/>
    <w:rsid w:val="009B4DDF"/>
    <w:rsid w:val="009F3B65"/>
    <w:rsid w:val="00A54FD4"/>
    <w:rsid w:val="00A864C5"/>
    <w:rsid w:val="00AE72AF"/>
    <w:rsid w:val="00AF109A"/>
    <w:rsid w:val="00AF61CE"/>
    <w:rsid w:val="00B600BC"/>
    <w:rsid w:val="00B83A81"/>
    <w:rsid w:val="00BB7082"/>
    <w:rsid w:val="00BC6EE1"/>
    <w:rsid w:val="00C93A53"/>
    <w:rsid w:val="00CC5B92"/>
    <w:rsid w:val="00CE5AFB"/>
    <w:rsid w:val="00D2316D"/>
    <w:rsid w:val="00D80F9C"/>
    <w:rsid w:val="00D97972"/>
    <w:rsid w:val="00DA26D9"/>
    <w:rsid w:val="00DD16C0"/>
    <w:rsid w:val="00DF340A"/>
    <w:rsid w:val="00E134C2"/>
    <w:rsid w:val="00E323DE"/>
    <w:rsid w:val="00E47D45"/>
    <w:rsid w:val="00EC5BAB"/>
    <w:rsid w:val="00EE3CE9"/>
    <w:rsid w:val="00EF1236"/>
    <w:rsid w:val="00F11FE5"/>
    <w:rsid w:val="00F273F3"/>
    <w:rsid w:val="00F662F5"/>
    <w:rsid w:val="00F81B6C"/>
    <w:rsid w:val="00F82EE5"/>
    <w:rsid w:val="00FC3BE2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0C9C5"/>
  <w15:chartTrackingRefBased/>
  <w15:docId w15:val="{CD5D3574-4A8B-A34C-8906-E1A351EF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26D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3B6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96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96ACF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96ACF"/>
    <w:pPr>
      <w:spacing w:before="360" w:after="360"/>
    </w:pPr>
    <w:rPr>
      <w:rFonts w:asciiTheme="minorHAnsi" w:eastAsiaTheme="minorEastAsia" w:hAnsiTheme="minorHAnsi"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96ACF"/>
    <w:rPr>
      <w:rFonts w:asciiTheme="minorHAnsi" w:eastAsiaTheme="minorEastAsia" w:hAnsiTheme="minorHAnsi"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96ACF"/>
    <w:rPr>
      <w:rFonts w:asciiTheme="minorHAnsi" w:eastAsiaTheme="minorEastAsia" w:hAnsiTheme="minorHAnsi"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96ACF"/>
    <w:rPr>
      <w:rFonts w:asciiTheme="minorHAnsi" w:eastAsiaTheme="minorEastAsia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96ACF"/>
    <w:rPr>
      <w:rFonts w:asciiTheme="minorHAnsi" w:eastAsiaTheme="minorEastAsia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96ACF"/>
    <w:rPr>
      <w:rFonts w:asciiTheme="minorHAnsi" w:eastAsiaTheme="minorEastAsia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96ACF"/>
    <w:rPr>
      <w:rFonts w:asciiTheme="minorHAnsi" w:eastAsiaTheme="minorEastAsia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96ACF"/>
    <w:rPr>
      <w:rFonts w:asciiTheme="minorHAnsi" w:eastAsiaTheme="minorEastAsia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96ACF"/>
    <w:rPr>
      <w:rFonts w:asciiTheme="minorHAnsi" w:eastAsiaTheme="minorEastAsia" w:hAnsiTheme="minorHAnsi" w:cstheme="minorHAnsi"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227963"/>
    <w:pPr>
      <w:tabs>
        <w:tab w:val="left" w:pos="260"/>
      </w:tabs>
      <w:spacing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07BAAE-C6DD-914E-83B0-19A62845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</dc:creator>
  <cp:keywords/>
  <dc:description/>
  <cp:lastModifiedBy>Elle</cp:lastModifiedBy>
  <cp:revision>11</cp:revision>
  <dcterms:created xsi:type="dcterms:W3CDTF">2021-01-28T08:43:00Z</dcterms:created>
  <dcterms:modified xsi:type="dcterms:W3CDTF">2021-04-03T21:44:00Z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zotero-version="5.0.95.3"&gt;&lt;session id="zsF0Bxlj"/&gt;&lt;style id="http://www.zotero.org/styles/nature" hasBibliography="1" bibliographyStyleHasBeenSet="1"/&gt;&lt;prefs&gt;&lt;pref name="fieldType" value="Field"/&gt;&lt;pref name="automaticJournalAbbrevia</vt:lpwstr>
  </property>
  <property fmtid="{D5CDD505-2E9C-101B-9397-08002B2CF9AE}" pid="3" name="ZOTERO_PREF_2">
    <vt:lpwstr>tions" value="true"/&gt;&lt;/prefs&gt;&lt;/data&gt;</vt:lpwstr>
  </property>
</Properties>
</file>