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FC95C8" w14:textId="77777777" w:rsidR="0067643F" w:rsidRDefault="0067643F" w:rsidP="0067643F"/>
    <w:p w14:paraId="7929C68F" w14:textId="77777777" w:rsidR="0067643F" w:rsidRDefault="0067643F" w:rsidP="0067643F">
      <w:pPr>
        <w:spacing w:line="360" w:lineRule="auto"/>
        <w:jc w:val="center"/>
        <w:rPr>
          <w:rFonts w:ascii="Times New Roman" w:hAnsi="Times New Roman" w:cs="Times New Roman"/>
          <w:b/>
          <w:bCs/>
          <w:sz w:val="28"/>
          <w:szCs w:val="28"/>
        </w:rPr>
      </w:pPr>
    </w:p>
    <w:p w14:paraId="46E8AA39" w14:textId="77777777" w:rsidR="0067643F" w:rsidRDefault="0067643F" w:rsidP="0067643F">
      <w:pPr>
        <w:spacing w:line="360" w:lineRule="auto"/>
        <w:jc w:val="center"/>
        <w:rPr>
          <w:rFonts w:ascii="Times New Roman" w:hAnsi="Times New Roman" w:cs="Times New Roman"/>
          <w:b/>
          <w:bCs/>
          <w:sz w:val="28"/>
          <w:szCs w:val="28"/>
        </w:rPr>
      </w:pPr>
    </w:p>
    <w:p w14:paraId="647ED698" w14:textId="77777777" w:rsidR="0067643F" w:rsidRDefault="0067643F" w:rsidP="0067643F">
      <w:pPr>
        <w:spacing w:line="360" w:lineRule="auto"/>
        <w:jc w:val="center"/>
        <w:rPr>
          <w:rFonts w:ascii="Times New Roman" w:hAnsi="Times New Roman" w:cs="Times New Roman"/>
          <w:b/>
          <w:bCs/>
          <w:sz w:val="28"/>
          <w:szCs w:val="28"/>
        </w:rPr>
      </w:pPr>
    </w:p>
    <w:p w14:paraId="78326055" w14:textId="77777777" w:rsidR="0067643F" w:rsidRDefault="0067643F" w:rsidP="0067643F">
      <w:pPr>
        <w:spacing w:line="360" w:lineRule="auto"/>
        <w:jc w:val="center"/>
        <w:rPr>
          <w:rFonts w:ascii="Times New Roman" w:hAnsi="Times New Roman" w:cs="Times New Roman"/>
          <w:b/>
          <w:bCs/>
          <w:sz w:val="28"/>
          <w:szCs w:val="28"/>
        </w:rPr>
      </w:pPr>
    </w:p>
    <w:p w14:paraId="73559DDC" w14:textId="77777777" w:rsidR="0067643F" w:rsidRDefault="0067643F" w:rsidP="0067643F">
      <w:pPr>
        <w:spacing w:line="360" w:lineRule="auto"/>
        <w:jc w:val="center"/>
        <w:rPr>
          <w:rFonts w:ascii="Times New Roman" w:hAnsi="Times New Roman" w:cs="Times New Roman"/>
          <w:b/>
          <w:bCs/>
          <w:sz w:val="28"/>
          <w:szCs w:val="28"/>
        </w:rPr>
      </w:pPr>
    </w:p>
    <w:p w14:paraId="31C4B0D2" w14:textId="77777777" w:rsidR="0067643F" w:rsidRDefault="0067643F" w:rsidP="0067643F">
      <w:pPr>
        <w:spacing w:line="360" w:lineRule="auto"/>
        <w:jc w:val="center"/>
        <w:rPr>
          <w:rFonts w:ascii="Times New Roman" w:hAnsi="Times New Roman" w:cs="Times New Roman"/>
          <w:b/>
          <w:bCs/>
          <w:sz w:val="28"/>
          <w:szCs w:val="28"/>
        </w:rPr>
      </w:pPr>
    </w:p>
    <w:p w14:paraId="2756E1EE" w14:textId="77777777" w:rsidR="0067643F" w:rsidRDefault="0067643F" w:rsidP="0067643F">
      <w:pPr>
        <w:spacing w:line="360" w:lineRule="auto"/>
        <w:jc w:val="center"/>
        <w:rPr>
          <w:rFonts w:ascii="Times New Roman" w:hAnsi="Times New Roman" w:cs="Times New Roman"/>
          <w:b/>
          <w:bCs/>
          <w:sz w:val="28"/>
          <w:szCs w:val="28"/>
        </w:rPr>
      </w:pPr>
    </w:p>
    <w:p w14:paraId="5F987EA6" w14:textId="77777777" w:rsidR="0067643F" w:rsidRDefault="0067643F" w:rsidP="0067643F">
      <w:pPr>
        <w:spacing w:line="360" w:lineRule="auto"/>
        <w:jc w:val="center"/>
        <w:rPr>
          <w:rFonts w:ascii="Times New Roman" w:hAnsi="Times New Roman" w:cs="Times New Roman"/>
          <w:b/>
          <w:bCs/>
          <w:sz w:val="28"/>
          <w:szCs w:val="28"/>
        </w:rPr>
      </w:pPr>
    </w:p>
    <w:p w14:paraId="3A17DB1A" w14:textId="77777777" w:rsidR="0067643F" w:rsidRDefault="0067643F" w:rsidP="0067643F">
      <w:pPr>
        <w:spacing w:line="360" w:lineRule="auto"/>
        <w:jc w:val="center"/>
        <w:rPr>
          <w:rFonts w:ascii="Times New Roman" w:hAnsi="Times New Roman" w:cs="Times New Roman"/>
          <w:b/>
          <w:bCs/>
          <w:sz w:val="28"/>
          <w:szCs w:val="28"/>
        </w:rPr>
      </w:pPr>
    </w:p>
    <w:p w14:paraId="230ACB30" w14:textId="403D443F" w:rsidR="0067643F" w:rsidRPr="0071294B" w:rsidRDefault="0067643F" w:rsidP="0067643F">
      <w:pPr>
        <w:spacing w:line="360" w:lineRule="auto"/>
        <w:jc w:val="center"/>
        <w:rPr>
          <w:rFonts w:ascii="Times New Roman" w:hAnsi="Times New Roman" w:cs="Times New Roman"/>
          <w:b/>
          <w:bCs/>
        </w:rPr>
      </w:pPr>
      <w:r w:rsidRPr="0071294B">
        <w:rPr>
          <w:rFonts w:ascii="Times New Roman" w:hAnsi="Times New Roman" w:cs="Times New Roman"/>
          <w:b/>
          <w:bCs/>
        </w:rPr>
        <w:t xml:space="preserve">Integrative Analysis of </w:t>
      </w:r>
      <w:proofErr w:type="spellStart"/>
      <w:r w:rsidRPr="0071294B">
        <w:rPr>
          <w:rFonts w:ascii="Times New Roman" w:hAnsi="Times New Roman" w:cs="Times New Roman"/>
          <w:b/>
          <w:bCs/>
        </w:rPr>
        <w:t>Toxicometabolomics</w:t>
      </w:r>
      <w:proofErr w:type="spellEnd"/>
      <w:r w:rsidRPr="0071294B">
        <w:rPr>
          <w:rFonts w:ascii="Times New Roman" w:hAnsi="Times New Roman" w:cs="Times New Roman"/>
          <w:b/>
          <w:bCs/>
        </w:rPr>
        <w:t xml:space="preserve"> and </w:t>
      </w:r>
      <w:proofErr w:type="spellStart"/>
      <w:r w:rsidRPr="0071294B">
        <w:rPr>
          <w:rFonts w:ascii="Times New Roman" w:hAnsi="Times New Roman" w:cs="Times New Roman"/>
          <w:b/>
          <w:bCs/>
        </w:rPr>
        <w:t>Toxicoproteomics</w:t>
      </w:r>
      <w:proofErr w:type="spellEnd"/>
      <w:r w:rsidRPr="0071294B">
        <w:rPr>
          <w:rFonts w:ascii="Times New Roman" w:hAnsi="Times New Roman" w:cs="Times New Roman"/>
          <w:b/>
          <w:bCs/>
        </w:rPr>
        <w:t xml:space="preserve"> Data: New Molecular Insights into Thiazolidinedione-Induced Cardiotoxicity</w:t>
      </w:r>
    </w:p>
    <w:p w14:paraId="7021A662" w14:textId="77777777" w:rsidR="0067643F" w:rsidRDefault="0067643F" w:rsidP="0067643F">
      <w:pPr>
        <w:spacing w:line="360" w:lineRule="auto"/>
        <w:jc w:val="center"/>
        <w:rPr>
          <w:rFonts w:ascii="Times New Roman" w:hAnsi="Times New Roman" w:cs="Times New Roman"/>
          <w:b/>
          <w:bCs/>
          <w:sz w:val="28"/>
          <w:szCs w:val="28"/>
        </w:rPr>
      </w:pPr>
    </w:p>
    <w:p w14:paraId="55F8F569" w14:textId="77777777" w:rsidR="0067643F" w:rsidRPr="0071294B" w:rsidRDefault="0067643F" w:rsidP="0067643F">
      <w:pPr>
        <w:pStyle w:val="MDPI13authornames"/>
        <w:spacing w:after="0" w:line="480" w:lineRule="auto"/>
        <w:rPr>
          <w:rFonts w:ascii="Times New Roman" w:hAnsi="Times New Roman"/>
          <w:color w:val="000000" w:themeColor="text1"/>
          <w:szCs w:val="20"/>
          <w:lang w:val="en-GB"/>
        </w:rPr>
      </w:pPr>
      <w:r w:rsidRPr="0071294B">
        <w:rPr>
          <w:rFonts w:ascii="Times New Roman" w:hAnsi="Times New Roman"/>
          <w:color w:val="000000" w:themeColor="text1"/>
          <w:szCs w:val="20"/>
          <w:lang w:val="en-GB"/>
        </w:rPr>
        <w:t>Abdullah Al Sultan</w:t>
      </w:r>
      <w:r w:rsidRPr="0071294B">
        <w:rPr>
          <w:rFonts w:ascii="Times New Roman" w:hAnsi="Times New Roman"/>
          <w:color w:val="000000" w:themeColor="text1"/>
          <w:szCs w:val="20"/>
          <w:vertAlign w:val="superscript"/>
          <w:lang w:val="en-GB"/>
        </w:rPr>
        <w:t>1,2</w:t>
      </w:r>
      <w:r w:rsidRPr="0071294B">
        <w:rPr>
          <w:rFonts w:ascii="Times New Roman" w:hAnsi="Times New Roman"/>
          <w:color w:val="000000" w:themeColor="text1"/>
          <w:szCs w:val="20"/>
          <w:lang w:val="en-GB"/>
        </w:rPr>
        <w:t>, Zahra Rattray &amp; Nicholas J. W. Rattray</w:t>
      </w:r>
      <w:proofErr w:type="gramStart"/>
      <w:r w:rsidRPr="0071294B">
        <w:rPr>
          <w:rFonts w:ascii="Times New Roman" w:hAnsi="Times New Roman"/>
          <w:color w:val="000000" w:themeColor="text1"/>
          <w:szCs w:val="20"/>
          <w:vertAlign w:val="superscript"/>
          <w:lang w:val="en-GB"/>
        </w:rPr>
        <w:t>1,</w:t>
      </w:r>
      <w:r w:rsidRPr="0071294B">
        <w:rPr>
          <w:rFonts w:ascii="Times New Roman" w:hAnsi="Times New Roman"/>
          <w:color w:val="000000" w:themeColor="text1"/>
          <w:szCs w:val="20"/>
          <w:lang w:val="en-GB"/>
        </w:rPr>
        <w:t>*</w:t>
      </w:r>
      <w:proofErr w:type="gramEnd"/>
    </w:p>
    <w:p w14:paraId="4AEBA811" w14:textId="77777777" w:rsidR="0067643F" w:rsidRPr="0071294B" w:rsidRDefault="0067643F" w:rsidP="0067643F">
      <w:pPr>
        <w:spacing w:line="480" w:lineRule="auto"/>
        <w:rPr>
          <w:rFonts w:ascii="Times New Roman" w:hAnsi="Times New Roman"/>
          <w:color w:val="000000" w:themeColor="text1"/>
          <w:sz w:val="20"/>
          <w:szCs w:val="20"/>
          <w:lang w:val="en-GB"/>
        </w:rPr>
      </w:pPr>
      <w:r w:rsidRPr="0071294B">
        <w:rPr>
          <w:rFonts w:ascii="Times New Roman" w:hAnsi="Times New Roman"/>
          <w:color w:val="000000" w:themeColor="text1"/>
          <w:sz w:val="20"/>
          <w:szCs w:val="20"/>
          <w:vertAlign w:val="superscript"/>
          <w:lang w:val="en-GB"/>
        </w:rPr>
        <w:t>1</w:t>
      </w:r>
      <w:r w:rsidRPr="0071294B">
        <w:rPr>
          <w:rFonts w:ascii="Times New Roman" w:hAnsi="Times New Roman"/>
          <w:color w:val="000000" w:themeColor="text1"/>
          <w:sz w:val="20"/>
          <w:szCs w:val="20"/>
          <w:lang w:val="en-GB"/>
        </w:rPr>
        <w:t>Strathclyde Institute of Pharmacy and Biomedical Sciences, University of Strathclyde, 161 Cathedral Street, Glasgow, UK, G4 0RE</w:t>
      </w:r>
    </w:p>
    <w:p w14:paraId="4D9B75BB" w14:textId="77777777" w:rsidR="0067643F" w:rsidRPr="0071294B" w:rsidRDefault="0067643F" w:rsidP="0067643F">
      <w:pPr>
        <w:pStyle w:val="MDPI16affiliation"/>
        <w:spacing w:line="480" w:lineRule="auto"/>
        <w:ind w:left="0" w:firstLine="0"/>
        <w:rPr>
          <w:rFonts w:ascii="Times New Roman" w:hAnsi="Times New Roman"/>
          <w:iCs/>
          <w:sz w:val="20"/>
          <w:szCs w:val="20"/>
          <w:lang w:val="en-GB"/>
        </w:rPr>
      </w:pPr>
      <w:r w:rsidRPr="0071294B">
        <w:rPr>
          <w:rFonts w:ascii="Times New Roman" w:hAnsi="Times New Roman"/>
          <w:color w:val="000000" w:themeColor="text1"/>
          <w:sz w:val="20"/>
          <w:szCs w:val="20"/>
          <w:vertAlign w:val="superscript"/>
          <w:lang w:val="en-GB"/>
        </w:rPr>
        <w:t>2</w:t>
      </w:r>
      <w:r w:rsidRPr="0071294B">
        <w:rPr>
          <w:rFonts w:ascii="Times New Roman" w:hAnsi="Times New Roman"/>
          <w:iCs/>
          <w:sz w:val="20"/>
          <w:szCs w:val="20"/>
          <w:lang w:val="en-GB"/>
        </w:rPr>
        <w:t xml:space="preserve">Faculty of Pharmacy, Kuwait University, </w:t>
      </w:r>
      <w:proofErr w:type="spellStart"/>
      <w:r w:rsidRPr="0071294B">
        <w:rPr>
          <w:rFonts w:ascii="Times New Roman" w:hAnsi="Times New Roman"/>
          <w:iCs/>
          <w:sz w:val="20"/>
          <w:szCs w:val="20"/>
          <w:lang w:val="en-GB"/>
        </w:rPr>
        <w:t>Safat</w:t>
      </w:r>
      <w:proofErr w:type="spellEnd"/>
      <w:r w:rsidRPr="0071294B">
        <w:rPr>
          <w:rFonts w:ascii="Times New Roman" w:hAnsi="Times New Roman"/>
          <w:iCs/>
          <w:sz w:val="20"/>
          <w:szCs w:val="20"/>
          <w:lang w:val="en-GB"/>
        </w:rPr>
        <w:t>, 13110, Kuwait</w:t>
      </w:r>
    </w:p>
    <w:p w14:paraId="600073CE" w14:textId="77777777" w:rsidR="0067643F" w:rsidRPr="0071294B" w:rsidRDefault="0067643F" w:rsidP="0067643F">
      <w:pPr>
        <w:spacing w:line="480" w:lineRule="auto"/>
        <w:rPr>
          <w:rFonts w:ascii="Times New Roman" w:hAnsi="Times New Roman"/>
          <w:color w:val="000000" w:themeColor="text1"/>
          <w:sz w:val="20"/>
          <w:szCs w:val="20"/>
          <w:lang w:val="en-GB"/>
        </w:rPr>
      </w:pPr>
      <w:r w:rsidRPr="0071294B">
        <w:rPr>
          <w:rFonts w:ascii="Times New Roman" w:hAnsi="Times New Roman"/>
          <w:sz w:val="20"/>
          <w:szCs w:val="20"/>
        </w:rPr>
        <w:t xml:space="preserve">Corresponding Author </w:t>
      </w:r>
      <w:hyperlink r:id="rId7" w:history="1">
        <w:r w:rsidRPr="0071294B">
          <w:rPr>
            <w:rStyle w:val="Hyperlink"/>
            <w:rFonts w:ascii="Times New Roman" w:hAnsi="Times New Roman"/>
            <w:sz w:val="20"/>
            <w:szCs w:val="20"/>
          </w:rPr>
          <w:t>*nicholas.rattray@strath.ac.uk</w:t>
        </w:r>
      </w:hyperlink>
    </w:p>
    <w:p w14:paraId="67181BBB" w14:textId="77777777" w:rsidR="003C4871" w:rsidRDefault="003C4871"/>
    <w:p w14:paraId="34C1CFDB" w14:textId="77777777" w:rsidR="0067643F" w:rsidRDefault="0067643F"/>
    <w:p w14:paraId="34B20520" w14:textId="77777777" w:rsidR="0067643F" w:rsidRDefault="0067643F"/>
    <w:p w14:paraId="156B9CB4" w14:textId="77777777" w:rsidR="0067643F" w:rsidRDefault="0067643F"/>
    <w:p w14:paraId="025EDE9F" w14:textId="77777777" w:rsidR="0067643F" w:rsidRDefault="0067643F"/>
    <w:p w14:paraId="6909EE63" w14:textId="77777777" w:rsidR="0067643F" w:rsidRDefault="0067643F"/>
    <w:p w14:paraId="744D7099" w14:textId="77777777" w:rsidR="0067643F" w:rsidRDefault="0067643F"/>
    <w:p w14:paraId="58E019F8" w14:textId="77777777" w:rsidR="0067643F" w:rsidRDefault="0067643F"/>
    <w:p w14:paraId="4CD9DC1B" w14:textId="77777777" w:rsidR="0067643F" w:rsidRDefault="0067643F"/>
    <w:p w14:paraId="43480FEB" w14:textId="77777777" w:rsidR="0067643F" w:rsidRDefault="0067643F"/>
    <w:p w14:paraId="5610F947" w14:textId="77777777" w:rsidR="0067643F" w:rsidRDefault="0067643F"/>
    <w:p w14:paraId="552CB6F1" w14:textId="77777777" w:rsidR="0067643F" w:rsidRDefault="0067643F"/>
    <w:p w14:paraId="6BCF1D18" w14:textId="77777777" w:rsidR="0067643F" w:rsidRDefault="0067643F"/>
    <w:p w14:paraId="1610A074" w14:textId="77777777" w:rsidR="0067643F" w:rsidRDefault="0067643F"/>
    <w:p w14:paraId="27A44945" w14:textId="77777777" w:rsidR="0071294B" w:rsidRDefault="0071294B"/>
    <w:p w14:paraId="3FDB8DCA" w14:textId="77777777" w:rsidR="0071294B" w:rsidRDefault="0071294B"/>
    <w:p w14:paraId="6909B5C7" w14:textId="77777777" w:rsidR="0067643F" w:rsidRDefault="0067643F"/>
    <w:p w14:paraId="024E29FF" w14:textId="77777777" w:rsidR="0067643F" w:rsidRDefault="0067643F"/>
    <w:p w14:paraId="4AED1673" w14:textId="77777777" w:rsidR="0067643F" w:rsidRDefault="0067643F"/>
    <w:p w14:paraId="23EF573B" w14:textId="77777777" w:rsidR="00046CCE" w:rsidRPr="0071294B" w:rsidRDefault="00046CCE" w:rsidP="00046CCE">
      <w:pPr>
        <w:pStyle w:val="paragraph"/>
        <w:spacing w:before="0" w:beforeAutospacing="0" w:after="120" w:afterAutospacing="0" w:line="360" w:lineRule="auto"/>
        <w:jc w:val="both"/>
        <w:textAlignment w:val="baseline"/>
        <w:rPr>
          <w:rFonts w:ascii="Segoe UI" w:hAnsi="Segoe UI" w:cs="Segoe UI"/>
          <w:sz w:val="20"/>
          <w:szCs w:val="20"/>
        </w:rPr>
      </w:pPr>
      <w:r w:rsidRPr="0071294B">
        <w:rPr>
          <w:rStyle w:val="normaltextrun"/>
          <w:rFonts w:eastAsiaTheme="majorEastAsia"/>
          <w:b/>
          <w:bCs/>
          <w:color w:val="000000"/>
          <w:sz w:val="20"/>
          <w:szCs w:val="20"/>
        </w:rPr>
        <w:lastRenderedPageBreak/>
        <w:t>Supplementary File</w:t>
      </w:r>
      <w:r w:rsidRPr="0071294B">
        <w:rPr>
          <w:rStyle w:val="eop"/>
          <w:rFonts w:eastAsiaTheme="majorEastAsia"/>
          <w:color w:val="000000"/>
          <w:sz w:val="20"/>
          <w:szCs w:val="20"/>
        </w:rPr>
        <w:t> </w:t>
      </w:r>
    </w:p>
    <w:p w14:paraId="2FF24322" w14:textId="6B21B1BF" w:rsidR="00046CCE" w:rsidRPr="0071294B" w:rsidRDefault="00046CCE" w:rsidP="00046CCE">
      <w:pPr>
        <w:pStyle w:val="paragraph"/>
        <w:spacing w:before="0" w:beforeAutospacing="0" w:line="360" w:lineRule="auto"/>
        <w:jc w:val="both"/>
        <w:textAlignment w:val="baseline"/>
        <w:rPr>
          <w:rFonts w:ascii="Segoe UI" w:hAnsi="Segoe UI" w:cs="Segoe UI"/>
          <w:sz w:val="20"/>
          <w:szCs w:val="20"/>
        </w:rPr>
      </w:pPr>
      <w:r w:rsidRPr="0071294B">
        <w:rPr>
          <w:rStyle w:val="normaltextrun"/>
          <w:rFonts w:eastAsiaTheme="majorEastAsia"/>
          <w:color w:val="000000"/>
          <w:sz w:val="20"/>
          <w:szCs w:val="20"/>
        </w:rPr>
        <w:t xml:space="preserve">This file is divided into three sections: supplementary data, supplementary </w:t>
      </w:r>
      <w:proofErr w:type="gramStart"/>
      <w:r w:rsidRPr="0071294B">
        <w:rPr>
          <w:rStyle w:val="normaltextrun"/>
          <w:rFonts w:eastAsiaTheme="majorEastAsia"/>
          <w:color w:val="000000"/>
          <w:sz w:val="20"/>
          <w:szCs w:val="20"/>
        </w:rPr>
        <w:t>figures</w:t>
      </w:r>
      <w:proofErr w:type="gramEnd"/>
      <w:r w:rsidRPr="0071294B">
        <w:rPr>
          <w:rStyle w:val="normaltextrun"/>
          <w:rFonts w:eastAsiaTheme="majorEastAsia"/>
          <w:color w:val="000000"/>
          <w:sz w:val="20"/>
          <w:szCs w:val="20"/>
        </w:rPr>
        <w:t xml:space="preserve"> and supplementary tables. </w:t>
      </w:r>
      <w:r w:rsidRPr="0071294B">
        <w:rPr>
          <w:rStyle w:val="eop"/>
          <w:rFonts w:eastAsiaTheme="majorEastAsia"/>
          <w:color w:val="000000"/>
          <w:sz w:val="20"/>
          <w:szCs w:val="20"/>
        </w:rPr>
        <w:t> </w:t>
      </w:r>
    </w:p>
    <w:p w14:paraId="1CD03D28" w14:textId="18A060DB" w:rsidR="00DB5379" w:rsidRPr="0071294B" w:rsidRDefault="00046CCE" w:rsidP="00E91DBD">
      <w:pPr>
        <w:pStyle w:val="Heading1"/>
        <w:numPr>
          <w:ilvl w:val="0"/>
          <w:numId w:val="1"/>
        </w:numPr>
        <w:rPr>
          <w:rFonts w:cs="Times New Roman"/>
          <w:sz w:val="20"/>
          <w:szCs w:val="20"/>
        </w:rPr>
      </w:pPr>
      <w:r w:rsidRPr="0071294B">
        <w:rPr>
          <w:rStyle w:val="normaltextrun"/>
          <w:rFonts w:cs="Times New Roman"/>
          <w:sz w:val="20"/>
          <w:szCs w:val="20"/>
        </w:rPr>
        <w:t>Supplementary Data </w:t>
      </w:r>
      <w:r w:rsidRPr="0071294B">
        <w:rPr>
          <w:rStyle w:val="eop"/>
          <w:rFonts w:cs="Times New Roman"/>
          <w:sz w:val="20"/>
          <w:szCs w:val="20"/>
        </w:rPr>
        <w:t> </w:t>
      </w:r>
    </w:p>
    <w:p w14:paraId="32B1263C" w14:textId="77777777" w:rsidR="00DB5379" w:rsidRPr="0071294B" w:rsidRDefault="00DB5379" w:rsidP="00DB5379">
      <w:pPr>
        <w:pStyle w:val="Heading2"/>
        <w:rPr>
          <w:rStyle w:val="normaltextrun"/>
          <w:rFonts w:cs="Times New Roman"/>
          <w:b/>
          <w:color w:val="000000"/>
          <w:sz w:val="20"/>
          <w:szCs w:val="20"/>
          <w:shd w:val="clear" w:color="auto" w:fill="FFFFFF"/>
        </w:rPr>
      </w:pPr>
      <w:proofErr w:type="spellStart"/>
      <w:r w:rsidRPr="0071294B">
        <w:rPr>
          <w:rStyle w:val="normaltextrun"/>
          <w:rFonts w:cs="Times New Roman"/>
          <w:b/>
          <w:color w:val="000000"/>
          <w:sz w:val="20"/>
          <w:szCs w:val="20"/>
          <w:shd w:val="clear" w:color="auto" w:fill="FFFFFF"/>
        </w:rPr>
        <w:t>Toxicometabolomics</w:t>
      </w:r>
      <w:proofErr w:type="spellEnd"/>
      <w:r w:rsidRPr="0071294B">
        <w:rPr>
          <w:rStyle w:val="normaltextrun"/>
          <w:rFonts w:cs="Times New Roman"/>
          <w:b/>
          <w:color w:val="000000"/>
          <w:sz w:val="20"/>
          <w:szCs w:val="20"/>
          <w:shd w:val="clear" w:color="auto" w:fill="FFFFFF"/>
        </w:rPr>
        <w:t xml:space="preserve"> Pipeline Methodology </w:t>
      </w:r>
    </w:p>
    <w:p w14:paraId="4ECA7EBB" w14:textId="77777777" w:rsidR="00DB5379" w:rsidRPr="0071294B" w:rsidRDefault="00DB5379" w:rsidP="00DB5379">
      <w:pPr>
        <w:pStyle w:val="Heading3"/>
        <w:rPr>
          <w:rFonts w:cs="Times New Roman"/>
          <w:sz w:val="20"/>
          <w:szCs w:val="20"/>
          <w:lang w:val="en-GB"/>
        </w:rPr>
      </w:pPr>
      <w:bookmarkStart w:id="0" w:name="_Toc145869197"/>
      <w:r w:rsidRPr="0071294B">
        <w:rPr>
          <w:rFonts w:cs="Times New Roman"/>
          <w:sz w:val="20"/>
          <w:szCs w:val="20"/>
          <w:lang w:val="en-GB"/>
        </w:rPr>
        <w:t>Sample Preparation and Metabolite Extraction</w:t>
      </w:r>
      <w:bookmarkEnd w:id="0"/>
    </w:p>
    <w:p w14:paraId="16051834" w14:textId="1F0C25A4" w:rsidR="00DB5379" w:rsidRPr="0071294B" w:rsidRDefault="00DB5379" w:rsidP="00E53438">
      <w:pPr>
        <w:spacing w:after="100" w:afterAutospacing="1" w:line="360" w:lineRule="auto"/>
        <w:jc w:val="both"/>
        <w:rPr>
          <w:rFonts w:ascii="Times New Roman" w:hAnsi="Times New Roman" w:cs="Times New Roman"/>
          <w:sz w:val="20"/>
          <w:szCs w:val="20"/>
          <w:lang w:val="en-GB"/>
        </w:rPr>
      </w:pPr>
      <w:r w:rsidRPr="0071294B">
        <w:rPr>
          <w:rFonts w:ascii="Times New Roman" w:hAnsi="Times New Roman" w:cs="Times New Roman"/>
          <w:sz w:val="20"/>
          <w:szCs w:val="20"/>
          <w:lang w:val="en-GB"/>
        </w:rPr>
        <w:t>To profile changes in the endogenous metabolites, AC16 cells were seeded at a density of 2×10</w:t>
      </w:r>
      <w:r w:rsidRPr="0071294B">
        <w:rPr>
          <w:rFonts w:ascii="Times New Roman" w:hAnsi="Times New Roman" w:cs="Times New Roman"/>
          <w:sz w:val="20"/>
          <w:szCs w:val="20"/>
          <w:vertAlign w:val="superscript"/>
          <w:lang w:val="en-GB"/>
        </w:rPr>
        <w:t>6</w:t>
      </w:r>
      <w:r w:rsidRPr="0071294B">
        <w:rPr>
          <w:rFonts w:ascii="Times New Roman" w:hAnsi="Times New Roman" w:cs="Times New Roman"/>
          <w:sz w:val="20"/>
          <w:szCs w:val="20"/>
          <w:lang w:val="en-GB"/>
        </w:rPr>
        <w:t xml:space="preserve"> cells/well in six-well plates containing 2 mL of medium per well and incubated for 24 h. Following a 24-h incubation period, the cells were washed once with phosphate-buffered saline (PBS) and supplemented with either a new phenol red-free medium alone or exposed to the </w:t>
      </w:r>
      <w:r w:rsidRPr="0071294B">
        <w:rPr>
          <w:rFonts w:ascii="Times New Roman" w:hAnsi="Times New Roman" w:cs="Times New Roman"/>
          <w:sz w:val="20"/>
          <w:szCs w:val="20"/>
        </w:rPr>
        <w:t>half-maximal inhibitory concentration</w:t>
      </w:r>
      <w:r w:rsidR="00E91DBD" w:rsidRPr="0071294B">
        <w:rPr>
          <w:rFonts w:ascii="Times New Roman" w:hAnsi="Times New Roman" w:cs="Times New Roman"/>
          <w:sz w:val="20"/>
          <w:szCs w:val="20"/>
        </w:rPr>
        <w:t xml:space="preserve"> (</w:t>
      </w:r>
      <w:r w:rsidR="00E91DBD" w:rsidRPr="0071294B">
        <w:rPr>
          <w:rFonts w:ascii="Times New Roman" w:hAnsi="Times New Roman" w:cs="Times New Roman"/>
          <w:color w:val="000000" w:themeColor="text1"/>
          <w:sz w:val="20"/>
          <w:szCs w:val="20"/>
          <w:bdr w:val="none" w:sz="0" w:space="0" w:color="auto" w:frame="1"/>
          <w:lang w:val="en-GB"/>
        </w:rPr>
        <w:t>IC</w:t>
      </w:r>
      <w:r w:rsidR="00E91DBD" w:rsidRPr="0071294B">
        <w:rPr>
          <w:rFonts w:ascii="Times New Roman" w:hAnsi="Times New Roman" w:cs="Times New Roman"/>
          <w:color w:val="000000" w:themeColor="text1"/>
          <w:sz w:val="20"/>
          <w:szCs w:val="20"/>
          <w:bdr w:val="none" w:sz="0" w:space="0" w:color="auto" w:frame="1"/>
          <w:vertAlign w:val="subscript"/>
          <w:lang w:val="en-GB"/>
        </w:rPr>
        <w:t>50</w:t>
      </w:r>
      <w:r w:rsidR="00E91DBD" w:rsidRPr="0071294B">
        <w:rPr>
          <w:rFonts w:ascii="Times New Roman" w:hAnsi="Times New Roman" w:cs="Times New Roman"/>
          <w:color w:val="000000" w:themeColor="text1"/>
          <w:sz w:val="20"/>
          <w:szCs w:val="20"/>
          <w:bdr w:val="none" w:sz="0" w:space="0" w:color="auto" w:frame="1"/>
          <w:lang w:val="en-GB"/>
        </w:rPr>
        <w:t>)</w:t>
      </w:r>
      <w:r w:rsidRPr="0071294B">
        <w:rPr>
          <w:rFonts w:ascii="Times New Roman" w:hAnsi="Times New Roman" w:cs="Times New Roman"/>
          <w:sz w:val="20"/>
          <w:szCs w:val="20"/>
        </w:rPr>
        <w:t xml:space="preserve"> </w:t>
      </w:r>
      <w:r w:rsidRPr="0071294B">
        <w:rPr>
          <w:rFonts w:ascii="Times New Roman" w:hAnsi="Times New Roman" w:cs="Times New Roman"/>
          <w:sz w:val="20"/>
          <w:szCs w:val="20"/>
          <w:lang w:val="en-GB"/>
        </w:rPr>
        <w:t xml:space="preserve">of either PGZ or ROSI. After the 24 h treatment period, the plates were placed on an ice-cold metal plate, and the AC16 cells were washed with 500 </w:t>
      </w:r>
      <w:proofErr w:type="spellStart"/>
      <w:r w:rsidRPr="0071294B">
        <w:rPr>
          <w:rFonts w:ascii="Times New Roman" w:hAnsi="Times New Roman" w:cs="Times New Roman"/>
          <w:sz w:val="20"/>
          <w:szCs w:val="20"/>
          <w:lang w:val="en-GB"/>
        </w:rPr>
        <w:t>μL</w:t>
      </w:r>
      <w:proofErr w:type="spellEnd"/>
      <w:r w:rsidRPr="0071294B">
        <w:rPr>
          <w:rFonts w:ascii="Times New Roman" w:hAnsi="Times New Roman" w:cs="Times New Roman"/>
          <w:sz w:val="20"/>
          <w:szCs w:val="20"/>
          <w:lang w:val="en-GB"/>
        </w:rPr>
        <w:t xml:space="preserve"> of ice-cold PBS. Using a pre-chilled plastic cell scraper, the cells were harvested three times with 500 </w:t>
      </w:r>
      <w:proofErr w:type="spellStart"/>
      <w:r w:rsidRPr="0071294B">
        <w:rPr>
          <w:rFonts w:ascii="Times New Roman" w:hAnsi="Times New Roman" w:cs="Times New Roman"/>
          <w:sz w:val="20"/>
          <w:szCs w:val="20"/>
          <w:lang w:val="en-GB"/>
        </w:rPr>
        <w:t>μL</w:t>
      </w:r>
      <w:proofErr w:type="spellEnd"/>
      <w:r w:rsidRPr="0071294B">
        <w:rPr>
          <w:rFonts w:ascii="Times New Roman" w:hAnsi="Times New Roman" w:cs="Times New Roman"/>
          <w:sz w:val="20"/>
          <w:szCs w:val="20"/>
          <w:lang w:val="en-GB"/>
        </w:rPr>
        <w:t xml:space="preserve"> of ice-cold methanol/water (50/50, v/v) and aliquoted in microcentrifuge tubes. Subsequently, the microcentrifuge tubes were placed in liquid nitrogen. The samples were then allowed to sit for a few seconds and vortexed for 2 min. The resultant extracts were centrifuged at 12,000 g for 15 min at 4°C. The supernatant was then collected into new microcentrifuge tubes and evaporated using a </w:t>
      </w:r>
      <w:proofErr w:type="spellStart"/>
      <w:r w:rsidRPr="0071294B">
        <w:rPr>
          <w:rFonts w:ascii="Times New Roman" w:hAnsi="Times New Roman" w:cs="Times New Roman"/>
          <w:sz w:val="20"/>
          <w:szCs w:val="20"/>
          <w:lang w:val="en-GB"/>
        </w:rPr>
        <w:t>Thermo</w:t>
      </w:r>
      <w:proofErr w:type="spellEnd"/>
      <w:r w:rsidRPr="0071294B">
        <w:rPr>
          <w:rFonts w:ascii="Times New Roman" w:hAnsi="Times New Roman" w:cs="Times New Roman"/>
          <w:sz w:val="20"/>
          <w:szCs w:val="20"/>
          <w:lang w:val="en-GB"/>
        </w:rPr>
        <w:t xml:space="preserve"> Scientific™ Savant™ </w:t>
      </w:r>
      <w:proofErr w:type="spellStart"/>
      <w:r w:rsidRPr="0071294B">
        <w:rPr>
          <w:rFonts w:ascii="Times New Roman" w:hAnsi="Times New Roman" w:cs="Times New Roman"/>
          <w:sz w:val="20"/>
          <w:szCs w:val="20"/>
          <w:lang w:val="en-GB"/>
        </w:rPr>
        <w:t>SpeedVac</w:t>
      </w:r>
      <w:proofErr w:type="spellEnd"/>
      <w:r w:rsidRPr="0071294B">
        <w:rPr>
          <w:rFonts w:ascii="Times New Roman" w:hAnsi="Times New Roman" w:cs="Times New Roman"/>
          <w:sz w:val="20"/>
          <w:szCs w:val="20"/>
          <w:lang w:val="en-GB"/>
        </w:rPr>
        <w:t>™ to form dried metabolite extract pellets</w:t>
      </w:r>
      <w:r w:rsidRPr="0071294B">
        <w:rPr>
          <w:rFonts w:ascii="Times New Roman" w:hAnsi="Times New Roman" w:cs="Times New Roman"/>
          <w:sz w:val="20"/>
          <w:szCs w:val="20"/>
          <w:bdr w:val="none" w:sz="0" w:space="0" w:color="auto" w:frame="1"/>
          <w:lang w:val="en-GB"/>
        </w:rPr>
        <w:t>,</w:t>
      </w:r>
      <w:r w:rsidRPr="0071294B">
        <w:rPr>
          <w:rStyle w:val="xs2"/>
          <w:rFonts w:ascii="Times New Roman" w:hAnsi="Times New Roman" w:cs="Times New Roman"/>
          <w:sz w:val="20"/>
          <w:szCs w:val="20"/>
          <w:bdr w:val="none" w:sz="0" w:space="0" w:color="auto" w:frame="1"/>
          <w:lang w:val="en-GB"/>
        </w:rPr>
        <w:t xml:space="preserve"> </w:t>
      </w:r>
      <w:r w:rsidRPr="0071294B">
        <w:rPr>
          <w:rFonts w:ascii="Times New Roman" w:hAnsi="Times New Roman" w:cs="Times New Roman"/>
          <w:sz w:val="20"/>
          <w:szCs w:val="20"/>
          <w:lang w:val="en-GB"/>
        </w:rPr>
        <w:t>while the recovered sediment pellets were retained for total protein quantification using the Bradford assay. The dried metabolite pellets were reconstituted in water/0.1% formic acid at volumes normalised to the relative protein content. Eventually, the reconstituted solutions were transferred to 300µL fixed insert glass vials for LC-MS analysis. Following sample preparation, quality control (QC) and blank samples were prepared. The QC samples were prepared by mixing equal volumes of all the prepared and tested samples. The blank sample, typically used to monitor background contamination or interference acquired through sample preparation, was prepared by pooling methanol/water (50/50, v/v)</w:t>
      </w:r>
      <w:r w:rsidR="00E53438" w:rsidRPr="0071294B">
        <w:rPr>
          <w:rFonts w:ascii="Times New Roman" w:hAnsi="Times New Roman" w:cs="Times New Roman"/>
          <w:sz w:val="20"/>
          <w:szCs w:val="20"/>
          <w:lang w:val="en-GB"/>
        </w:rPr>
        <w:t>.</w:t>
      </w:r>
    </w:p>
    <w:p w14:paraId="5114A603" w14:textId="77777777" w:rsidR="00DB5379" w:rsidRPr="0071294B" w:rsidRDefault="00DB5379" w:rsidP="00DB5379">
      <w:pPr>
        <w:pStyle w:val="Heading3"/>
        <w:rPr>
          <w:rStyle w:val="eop"/>
          <w:rFonts w:cs="Times New Roman"/>
          <w:bCs/>
          <w:color w:val="000000"/>
          <w:sz w:val="20"/>
          <w:szCs w:val="20"/>
          <w:shd w:val="clear" w:color="auto" w:fill="FFFFFF"/>
        </w:rPr>
      </w:pPr>
      <w:r w:rsidRPr="0071294B">
        <w:rPr>
          <w:rStyle w:val="normaltextrun"/>
          <w:rFonts w:cs="Times New Roman"/>
          <w:bCs/>
          <w:color w:val="000000"/>
          <w:sz w:val="20"/>
          <w:szCs w:val="20"/>
          <w:shd w:val="clear" w:color="auto" w:fill="FFFFFF"/>
        </w:rPr>
        <w:t>Micro-flow LC–MS-based Metabolomic Data Acquisition </w:t>
      </w:r>
      <w:r w:rsidRPr="0071294B">
        <w:rPr>
          <w:rStyle w:val="eop"/>
          <w:rFonts w:cs="Times New Roman"/>
          <w:bCs/>
          <w:color w:val="000000"/>
          <w:sz w:val="20"/>
          <w:szCs w:val="20"/>
          <w:shd w:val="clear" w:color="auto" w:fill="FFFFFF"/>
        </w:rPr>
        <w:t> </w:t>
      </w:r>
    </w:p>
    <w:p w14:paraId="2031A63F" w14:textId="77777777" w:rsidR="00DB5379" w:rsidRPr="0071294B" w:rsidRDefault="00DB5379" w:rsidP="00DB5379">
      <w:pPr>
        <w:spacing w:after="100" w:afterAutospacing="1" w:line="360" w:lineRule="auto"/>
        <w:jc w:val="both"/>
        <w:rPr>
          <w:rFonts w:ascii="Times New Roman" w:hAnsi="Times New Roman" w:cs="Times New Roman"/>
          <w:sz w:val="20"/>
          <w:szCs w:val="20"/>
          <w:lang w:val="en-GB"/>
        </w:rPr>
      </w:pPr>
      <w:r w:rsidRPr="0071294B">
        <w:rPr>
          <w:rFonts w:ascii="Times New Roman" w:hAnsi="Times New Roman" w:cs="Times New Roman"/>
          <w:sz w:val="20"/>
          <w:szCs w:val="20"/>
          <w:lang w:val="en-GB"/>
        </w:rPr>
        <w:t xml:space="preserve">Metabolite extracts of the AC16 cell biomass and corresponding culture media were randomised and subsequently analysed by high-performance liquid chromatography-electrospray ionisation quadrupole orbitrap mass spectrometry (HPLC-ESI-HRMS) using a </w:t>
      </w:r>
      <w:proofErr w:type="spellStart"/>
      <w:r w:rsidRPr="0071294B">
        <w:rPr>
          <w:rFonts w:ascii="Times New Roman" w:hAnsi="Times New Roman" w:cs="Times New Roman"/>
          <w:sz w:val="20"/>
          <w:szCs w:val="20"/>
          <w:lang w:val="en-GB"/>
        </w:rPr>
        <w:t>Thermo</w:t>
      </w:r>
      <w:proofErr w:type="spellEnd"/>
      <w:r w:rsidRPr="0071294B">
        <w:rPr>
          <w:rFonts w:ascii="Times New Roman" w:hAnsi="Times New Roman" w:cs="Times New Roman"/>
          <w:sz w:val="20"/>
          <w:szCs w:val="20"/>
          <w:lang w:val="en-GB"/>
        </w:rPr>
        <w:t xml:space="preserve"> Scientific™ Vanquish™ binary LC system coupled to a </w:t>
      </w:r>
      <w:proofErr w:type="spellStart"/>
      <w:r w:rsidRPr="0071294B">
        <w:rPr>
          <w:rFonts w:ascii="Times New Roman" w:hAnsi="Times New Roman" w:cs="Times New Roman"/>
          <w:sz w:val="20"/>
          <w:szCs w:val="20"/>
          <w:lang w:val="en-GB"/>
        </w:rPr>
        <w:t>Thermo</w:t>
      </w:r>
      <w:proofErr w:type="spellEnd"/>
      <w:r w:rsidRPr="0071294B">
        <w:rPr>
          <w:rFonts w:ascii="Times New Roman" w:hAnsi="Times New Roman" w:cs="Times New Roman"/>
          <w:sz w:val="20"/>
          <w:szCs w:val="20"/>
          <w:lang w:val="en-GB"/>
        </w:rPr>
        <w:t xml:space="preserve"> Scientific™ Orbitrap </w:t>
      </w:r>
      <w:proofErr w:type="spellStart"/>
      <w:r w:rsidRPr="0071294B">
        <w:rPr>
          <w:rFonts w:ascii="Times New Roman" w:hAnsi="Times New Roman" w:cs="Times New Roman"/>
          <w:sz w:val="20"/>
          <w:szCs w:val="20"/>
          <w:lang w:val="en-GB"/>
        </w:rPr>
        <w:t>Exploris</w:t>
      </w:r>
      <w:proofErr w:type="spellEnd"/>
      <w:r w:rsidRPr="0071294B">
        <w:rPr>
          <w:rFonts w:ascii="Times New Roman" w:hAnsi="Times New Roman" w:cs="Times New Roman"/>
          <w:sz w:val="20"/>
          <w:szCs w:val="20"/>
          <w:lang w:val="en-GB"/>
        </w:rPr>
        <w:t xml:space="preserve">™ 240 mass spectrometer. The LC separations were carried out on an </w:t>
      </w:r>
      <w:proofErr w:type="spellStart"/>
      <w:r w:rsidRPr="0071294B">
        <w:rPr>
          <w:rFonts w:ascii="Times New Roman" w:hAnsi="Times New Roman" w:cs="Times New Roman"/>
          <w:sz w:val="20"/>
          <w:szCs w:val="20"/>
          <w:lang w:val="en-GB"/>
        </w:rPr>
        <w:t>Accucore</w:t>
      </w:r>
      <w:proofErr w:type="spellEnd"/>
      <w:r w:rsidRPr="0071294B">
        <w:rPr>
          <w:rFonts w:ascii="Times New Roman" w:hAnsi="Times New Roman" w:cs="Times New Roman"/>
          <w:sz w:val="20"/>
          <w:szCs w:val="20"/>
          <w:lang w:val="en-GB"/>
        </w:rPr>
        <w:t xml:space="preserve"> C18 HPLC column (2.6 </w:t>
      </w:r>
      <w:proofErr w:type="spellStart"/>
      <w:r w:rsidRPr="0071294B">
        <w:rPr>
          <w:rFonts w:ascii="Times New Roman" w:hAnsi="Times New Roman" w:cs="Times New Roman"/>
          <w:sz w:val="20"/>
          <w:szCs w:val="20"/>
          <w:lang w:val="en-GB"/>
        </w:rPr>
        <w:t>μm</w:t>
      </w:r>
      <w:proofErr w:type="spellEnd"/>
      <w:r w:rsidRPr="0071294B">
        <w:rPr>
          <w:rFonts w:ascii="Times New Roman" w:hAnsi="Times New Roman" w:cs="Times New Roman"/>
          <w:sz w:val="20"/>
          <w:szCs w:val="20"/>
          <w:lang w:val="en-GB"/>
        </w:rPr>
        <w:t xml:space="preserve">, 100 mm × 2.1 mm I.D.; </w:t>
      </w:r>
      <w:proofErr w:type="spellStart"/>
      <w:r w:rsidRPr="0071294B">
        <w:rPr>
          <w:rFonts w:ascii="Times New Roman" w:hAnsi="Times New Roman" w:cs="Times New Roman"/>
          <w:sz w:val="20"/>
          <w:szCs w:val="20"/>
          <w:lang w:val="en-GB"/>
        </w:rPr>
        <w:t>Thermo</w:t>
      </w:r>
      <w:proofErr w:type="spellEnd"/>
      <w:r w:rsidRPr="0071294B">
        <w:rPr>
          <w:rFonts w:ascii="Times New Roman" w:hAnsi="Times New Roman" w:cs="Times New Roman"/>
          <w:sz w:val="20"/>
          <w:szCs w:val="20"/>
          <w:lang w:val="en-GB"/>
        </w:rPr>
        <w:t xml:space="preserve"> Fisher) </w:t>
      </w:r>
      <w:proofErr w:type="spellStart"/>
      <w:r w:rsidRPr="0071294B">
        <w:rPr>
          <w:rFonts w:ascii="Times New Roman" w:hAnsi="Times New Roman" w:cs="Times New Roman"/>
          <w:sz w:val="20"/>
          <w:szCs w:val="20"/>
          <w:lang w:val="en-GB"/>
        </w:rPr>
        <w:t>thermostatted</w:t>
      </w:r>
      <w:proofErr w:type="spellEnd"/>
      <w:r w:rsidRPr="0071294B">
        <w:rPr>
          <w:rFonts w:ascii="Times New Roman" w:hAnsi="Times New Roman" w:cs="Times New Roman"/>
          <w:sz w:val="20"/>
          <w:szCs w:val="20"/>
          <w:lang w:val="en-GB"/>
        </w:rPr>
        <w:t xml:space="preserve"> at 40°C and operated at a flow rate of 400 </w:t>
      </w:r>
      <w:proofErr w:type="spellStart"/>
      <w:r w:rsidRPr="0071294B">
        <w:rPr>
          <w:rFonts w:ascii="Times New Roman" w:hAnsi="Times New Roman" w:cs="Times New Roman"/>
          <w:sz w:val="20"/>
          <w:szCs w:val="20"/>
          <w:lang w:val="en-GB"/>
        </w:rPr>
        <w:t>μl</w:t>
      </w:r>
      <w:proofErr w:type="spellEnd"/>
      <w:r w:rsidRPr="0071294B">
        <w:rPr>
          <w:rFonts w:ascii="Times New Roman" w:hAnsi="Times New Roman" w:cs="Times New Roman"/>
          <w:sz w:val="20"/>
          <w:szCs w:val="20"/>
          <w:lang w:val="en-GB"/>
        </w:rPr>
        <w:t xml:space="preserve">/min. A 5 </w:t>
      </w:r>
      <w:proofErr w:type="spellStart"/>
      <w:r w:rsidRPr="0071294B">
        <w:rPr>
          <w:rFonts w:ascii="Times New Roman" w:hAnsi="Times New Roman" w:cs="Times New Roman"/>
          <w:sz w:val="20"/>
          <w:szCs w:val="20"/>
          <w:lang w:val="en-GB"/>
        </w:rPr>
        <w:t>μl</w:t>
      </w:r>
      <w:proofErr w:type="spellEnd"/>
      <w:r w:rsidRPr="0071294B">
        <w:rPr>
          <w:rFonts w:ascii="Times New Roman" w:hAnsi="Times New Roman" w:cs="Times New Roman"/>
          <w:sz w:val="20"/>
          <w:szCs w:val="20"/>
          <w:lang w:val="en-GB"/>
        </w:rPr>
        <w:t xml:space="preserve"> sample injection was used with an elution gradient consisting of water (eluent A) and acetonitrile (eluent B), each containing 0.1% formic acid.</w:t>
      </w:r>
    </w:p>
    <w:p w14:paraId="2BC37A9B" w14:textId="77777777" w:rsidR="00DB5379" w:rsidRPr="0071294B" w:rsidRDefault="00DB5379" w:rsidP="00DB5379">
      <w:pPr>
        <w:spacing w:after="100" w:afterAutospacing="1" w:line="360" w:lineRule="auto"/>
        <w:jc w:val="both"/>
        <w:rPr>
          <w:rFonts w:ascii="Times New Roman" w:hAnsi="Times New Roman" w:cs="Times New Roman"/>
          <w:sz w:val="20"/>
          <w:szCs w:val="20"/>
          <w:lang w:val="en-GB"/>
        </w:rPr>
      </w:pPr>
      <w:r w:rsidRPr="0071294B">
        <w:rPr>
          <w:rFonts w:ascii="Times New Roman" w:hAnsi="Times New Roman" w:cs="Times New Roman"/>
          <w:sz w:val="20"/>
          <w:szCs w:val="20"/>
          <w:lang w:val="en-GB"/>
        </w:rPr>
        <w:t xml:space="preserve">The mass spectrometer (Orbitrap </w:t>
      </w:r>
      <w:proofErr w:type="spellStart"/>
      <w:r w:rsidRPr="0071294B">
        <w:rPr>
          <w:rFonts w:ascii="Times New Roman" w:hAnsi="Times New Roman" w:cs="Times New Roman"/>
          <w:sz w:val="20"/>
          <w:szCs w:val="20"/>
          <w:lang w:val="en-GB"/>
        </w:rPr>
        <w:t>Exploris</w:t>
      </w:r>
      <w:proofErr w:type="spellEnd"/>
      <w:r w:rsidRPr="0071294B">
        <w:rPr>
          <w:rFonts w:ascii="Times New Roman" w:hAnsi="Times New Roman" w:cs="Times New Roman"/>
          <w:sz w:val="20"/>
          <w:szCs w:val="20"/>
          <w:lang w:val="en-GB"/>
        </w:rPr>
        <w:t xml:space="preserve">™ 240) was equipped with a heated electrospray ion source (HESI-II). The HESI-II was operated in positive (+ESI) mode and set as follows: spray voltage 3700 V; sheath gas flow rate: 40 (arbitrary units); auxiliary gas flow rate: 10 (arbitrary units); sweep gas flow rate: 1 (arbitrary units); ion transfer tube temperature: 300°C; and vaporiser temperature: 280°C. The duty cycle consisted of a full MS scan with an MS1 resolution of 60,000 and then 5 subsequent data dependent acquisition scans using 30,000 </w:t>
      </w:r>
      <w:proofErr w:type="spellStart"/>
      <w:r w:rsidRPr="0071294B">
        <w:rPr>
          <w:rFonts w:ascii="Times New Roman" w:hAnsi="Times New Roman" w:cs="Times New Roman"/>
          <w:sz w:val="20"/>
          <w:szCs w:val="20"/>
          <w:lang w:val="en-GB"/>
        </w:rPr>
        <w:t>resoluiton</w:t>
      </w:r>
      <w:proofErr w:type="spellEnd"/>
      <w:r w:rsidRPr="0071294B">
        <w:rPr>
          <w:rFonts w:ascii="Times New Roman" w:hAnsi="Times New Roman" w:cs="Times New Roman"/>
          <w:sz w:val="20"/>
          <w:szCs w:val="20"/>
          <w:lang w:val="en-GB"/>
        </w:rPr>
        <w:t xml:space="preserve"> </w:t>
      </w:r>
      <w:r w:rsidRPr="0071294B">
        <w:rPr>
          <w:rFonts w:ascii="Times New Roman" w:hAnsi="Times New Roman" w:cs="Times New Roman"/>
          <w:sz w:val="20"/>
          <w:szCs w:val="20"/>
          <w:lang w:val="en-GB"/>
        </w:rPr>
        <w:lastRenderedPageBreak/>
        <w:t>and an RF lens of 70% in an m/z scan range of 70–1050. </w:t>
      </w:r>
      <w:proofErr w:type="spellStart"/>
      <w:r w:rsidRPr="0071294B">
        <w:rPr>
          <w:rFonts w:ascii="Times New Roman" w:hAnsi="Times New Roman" w:cs="Times New Roman"/>
          <w:sz w:val="20"/>
          <w:szCs w:val="20"/>
          <w:lang w:val="en-GB"/>
        </w:rPr>
        <w:t>XCalibur</w:t>
      </w:r>
      <w:proofErr w:type="spellEnd"/>
      <w:r w:rsidRPr="0071294B">
        <w:rPr>
          <w:rFonts w:ascii="Times New Roman" w:hAnsi="Times New Roman" w:cs="Times New Roman"/>
          <w:sz w:val="20"/>
          <w:szCs w:val="20"/>
          <w:lang w:val="en-GB"/>
        </w:rPr>
        <w:t> ™ 4.2 software (</w:t>
      </w:r>
      <w:proofErr w:type="spellStart"/>
      <w:r w:rsidRPr="0071294B">
        <w:rPr>
          <w:rFonts w:ascii="Times New Roman" w:hAnsi="Times New Roman" w:cs="Times New Roman"/>
          <w:sz w:val="20"/>
          <w:szCs w:val="20"/>
          <w:lang w:val="en-GB"/>
        </w:rPr>
        <w:t>Thermo</w:t>
      </w:r>
      <w:proofErr w:type="spellEnd"/>
      <w:r w:rsidRPr="0071294B">
        <w:rPr>
          <w:rFonts w:ascii="Times New Roman" w:hAnsi="Times New Roman" w:cs="Times New Roman"/>
          <w:sz w:val="20"/>
          <w:szCs w:val="20"/>
          <w:lang w:val="en-GB"/>
        </w:rPr>
        <w:t xml:space="preserve"> Fisher Scientific) was used for data acquisition.</w:t>
      </w:r>
    </w:p>
    <w:p w14:paraId="05435D3C" w14:textId="77777777" w:rsidR="00DB5379" w:rsidRPr="0071294B" w:rsidRDefault="00DB5379" w:rsidP="00DB5379">
      <w:pPr>
        <w:pStyle w:val="Heading3"/>
        <w:rPr>
          <w:rFonts w:cs="Times New Roman"/>
          <w:sz w:val="20"/>
          <w:szCs w:val="20"/>
          <w:lang w:val="en-GB"/>
        </w:rPr>
      </w:pPr>
      <w:bookmarkStart w:id="1" w:name="_Toc145869199"/>
      <w:r w:rsidRPr="0071294B">
        <w:rPr>
          <w:rFonts w:cs="Times New Roman"/>
          <w:sz w:val="20"/>
          <w:szCs w:val="20"/>
          <w:lang w:val="en-GB"/>
        </w:rPr>
        <w:t>Data Processing Using Compound Discoverer 3.2</w:t>
      </w:r>
      <w:bookmarkEnd w:id="1"/>
    </w:p>
    <w:p w14:paraId="045C80DF" w14:textId="77777777" w:rsidR="00DB5379" w:rsidRPr="0071294B" w:rsidRDefault="00DB5379" w:rsidP="00DB5379">
      <w:pPr>
        <w:spacing w:after="100" w:afterAutospacing="1" w:line="360" w:lineRule="auto"/>
        <w:jc w:val="both"/>
        <w:rPr>
          <w:rFonts w:ascii="Times New Roman" w:hAnsi="Times New Roman" w:cs="Times New Roman"/>
          <w:sz w:val="20"/>
          <w:szCs w:val="20"/>
          <w:lang w:val="en-GB"/>
        </w:rPr>
      </w:pPr>
      <w:r w:rsidRPr="0071294B">
        <w:rPr>
          <w:rFonts w:ascii="Times New Roman" w:hAnsi="Times New Roman" w:cs="Times New Roman"/>
          <w:sz w:val="20"/>
          <w:szCs w:val="20"/>
          <w:lang w:val="en-GB"/>
        </w:rPr>
        <w:t xml:space="preserve">The acquired LC-MS data were processed using Compound Discoverer 3.2 software </w:t>
      </w:r>
      <w:r w:rsidRPr="0071294B">
        <w:rPr>
          <w:rFonts w:ascii="Times New Roman" w:hAnsi="Times New Roman" w:cs="Times New Roman"/>
          <w:sz w:val="20"/>
          <w:szCs w:val="20"/>
          <w:bdr w:val="none" w:sz="0" w:space="0" w:color="auto" w:frame="1"/>
          <w:lang w:val="en-GB"/>
        </w:rPr>
        <w:t>(</w:t>
      </w:r>
      <w:proofErr w:type="spellStart"/>
      <w:r w:rsidRPr="0071294B">
        <w:rPr>
          <w:rFonts w:ascii="Times New Roman" w:hAnsi="Times New Roman" w:cs="Times New Roman"/>
          <w:sz w:val="20"/>
          <w:szCs w:val="20"/>
          <w:bdr w:val="none" w:sz="0" w:space="0" w:color="auto" w:frame="1"/>
          <w:lang w:val="en-GB"/>
        </w:rPr>
        <w:t>Thermo</w:t>
      </w:r>
      <w:proofErr w:type="spellEnd"/>
      <w:r w:rsidRPr="0071294B">
        <w:rPr>
          <w:rFonts w:ascii="Times New Roman" w:hAnsi="Times New Roman" w:cs="Times New Roman"/>
          <w:sz w:val="20"/>
          <w:szCs w:val="20"/>
          <w:bdr w:val="none" w:sz="0" w:space="0" w:color="auto" w:frame="1"/>
          <w:lang w:val="en-GB"/>
        </w:rPr>
        <w:t xml:space="preserve"> Fisher, San Jose, CA, USA). </w:t>
      </w:r>
      <w:r w:rsidRPr="0071294B">
        <w:rPr>
          <w:rFonts w:ascii="Times New Roman" w:hAnsi="Times New Roman" w:cs="Times New Roman"/>
          <w:sz w:val="20"/>
          <w:szCs w:val="20"/>
          <w:lang w:val="en-GB"/>
        </w:rPr>
        <w:t xml:space="preserve">Briefly, raw data files were aligned with adaptive curve settings with 3 ppm mass tolerance and a 0.3 min retention time shift. Unknown compounds were detected with 3 ppm tolerance, 30% relative intensity tolerance and 20,000 minimum detectable peak intensity and subsequently grouped by mass tolerance and retention time tolerance by 3 ppm mass and 0.2 min, respectively. Subsequently, the normalisation procedure took place, at which peak areas across all the samples were normalised to the total area of the corresponding samples. Features identified in the processed raw data of mass spectral peaks within a 5-ppm mass error were searched against the </w:t>
      </w:r>
      <w:proofErr w:type="spellStart"/>
      <w:r w:rsidRPr="0071294B">
        <w:rPr>
          <w:rFonts w:ascii="Times New Roman" w:hAnsi="Times New Roman" w:cs="Times New Roman"/>
          <w:sz w:val="20"/>
          <w:szCs w:val="20"/>
          <w:lang w:val="en-GB"/>
        </w:rPr>
        <w:t>mzCloud</w:t>
      </w:r>
      <w:proofErr w:type="spellEnd"/>
      <w:r w:rsidRPr="0071294B">
        <w:rPr>
          <w:rFonts w:ascii="Times New Roman" w:hAnsi="Times New Roman" w:cs="Times New Roman"/>
          <w:sz w:val="20"/>
          <w:szCs w:val="20"/>
          <w:lang w:val="en-GB"/>
        </w:rPr>
        <w:t xml:space="preserve"> spectral library and </w:t>
      </w:r>
      <w:proofErr w:type="spellStart"/>
      <w:r w:rsidRPr="0071294B">
        <w:rPr>
          <w:rFonts w:ascii="Times New Roman" w:hAnsi="Times New Roman" w:cs="Times New Roman"/>
          <w:sz w:val="20"/>
          <w:szCs w:val="20"/>
          <w:lang w:val="en-GB"/>
        </w:rPr>
        <w:t>ChemSpider</w:t>
      </w:r>
      <w:proofErr w:type="spellEnd"/>
      <w:r w:rsidRPr="0071294B">
        <w:rPr>
          <w:rFonts w:ascii="Times New Roman" w:hAnsi="Times New Roman" w:cs="Times New Roman"/>
          <w:sz w:val="20"/>
          <w:szCs w:val="20"/>
          <w:lang w:val="en-GB"/>
        </w:rPr>
        <w:t xml:space="preserve">™ databases. Databases selected by </w:t>
      </w:r>
      <w:proofErr w:type="spellStart"/>
      <w:r w:rsidRPr="0071294B">
        <w:rPr>
          <w:rFonts w:ascii="Times New Roman" w:hAnsi="Times New Roman" w:cs="Times New Roman"/>
          <w:sz w:val="20"/>
          <w:szCs w:val="20"/>
          <w:lang w:val="en-GB"/>
        </w:rPr>
        <w:t>ChemSpider</w:t>
      </w:r>
      <w:proofErr w:type="spellEnd"/>
      <w:r w:rsidRPr="0071294B">
        <w:rPr>
          <w:rFonts w:ascii="Times New Roman" w:hAnsi="Times New Roman" w:cs="Times New Roman"/>
          <w:sz w:val="20"/>
          <w:szCs w:val="20"/>
          <w:lang w:val="en-GB"/>
        </w:rPr>
        <w:t xml:space="preserve"> were the Human Metabolome Database (HMDB), </w:t>
      </w:r>
      <w:proofErr w:type="spellStart"/>
      <w:r w:rsidRPr="0071294B">
        <w:rPr>
          <w:rFonts w:ascii="Times New Roman" w:hAnsi="Times New Roman" w:cs="Times New Roman"/>
          <w:sz w:val="20"/>
          <w:szCs w:val="20"/>
          <w:lang w:val="en-GB"/>
        </w:rPr>
        <w:t>BioCyc</w:t>
      </w:r>
      <w:proofErr w:type="spellEnd"/>
      <w:r w:rsidRPr="0071294B">
        <w:rPr>
          <w:rFonts w:ascii="Times New Roman" w:hAnsi="Times New Roman" w:cs="Times New Roman"/>
          <w:sz w:val="20"/>
          <w:szCs w:val="20"/>
          <w:lang w:val="en-GB"/>
        </w:rPr>
        <w:t>, Chemical Entities of Biological Interest (</w:t>
      </w:r>
      <w:proofErr w:type="spellStart"/>
      <w:r w:rsidRPr="0071294B">
        <w:rPr>
          <w:rFonts w:ascii="Times New Roman" w:hAnsi="Times New Roman" w:cs="Times New Roman"/>
          <w:sz w:val="20"/>
          <w:szCs w:val="20"/>
          <w:lang w:val="en-GB"/>
        </w:rPr>
        <w:t>ChEBI</w:t>
      </w:r>
      <w:proofErr w:type="spellEnd"/>
      <w:r w:rsidRPr="0071294B">
        <w:rPr>
          <w:rFonts w:ascii="Times New Roman" w:hAnsi="Times New Roman" w:cs="Times New Roman"/>
          <w:sz w:val="20"/>
          <w:szCs w:val="20"/>
          <w:lang w:val="en-GB"/>
        </w:rPr>
        <w:t xml:space="preserve">), Kyoto Encyclopaedia of Genes and Genomes (KEGG), </w:t>
      </w:r>
      <w:proofErr w:type="spellStart"/>
      <w:r w:rsidRPr="0071294B">
        <w:rPr>
          <w:rFonts w:ascii="Times New Roman" w:hAnsi="Times New Roman" w:cs="Times New Roman"/>
          <w:sz w:val="20"/>
          <w:szCs w:val="20"/>
          <w:lang w:val="en-GB"/>
        </w:rPr>
        <w:t>Taneisa</w:t>
      </w:r>
      <w:proofErr w:type="spellEnd"/>
      <w:r w:rsidRPr="0071294B">
        <w:rPr>
          <w:rFonts w:ascii="Times New Roman" w:hAnsi="Times New Roman" w:cs="Times New Roman"/>
          <w:sz w:val="20"/>
          <w:szCs w:val="20"/>
          <w:lang w:val="en-GB"/>
        </w:rPr>
        <w:t xml:space="preserve"> Grier, Toxin, Toxin-Target Database, </w:t>
      </w:r>
      <w:proofErr w:type="spellStart"/>
      <w:r w:rsidRPr="0071294B">
        <w:rPr>
          <w:rFonts w:ascii="Times New Roman" w:hAnsi="Times New Roman" w:cs="Times New Roman"/>
          <w:sz w:val="20"/>
          <w:szCs w:val="20"/>
          <w:lang w:val="en-GB"/>
        </w:rPr>
        <w:t>WikiPathways</w:t>
      </w:r>
      <w:proofErr w:type="spellEnd"/>
      <w:r w:rsidRPr="0071294B">
        <w:rPr>
          <w:rFonts w:ascii="Times New Roman" w:hAnsi="Times New Roman" w:cs="Times New Roman"/>
          <w:sz w:val="20"/>
          <w:szCs w:val="20"/>
          <w:lang w:val="en-GB"/>
        </w:rPr>
        <w:t xml:space="preserve"> and </w:t>
      </w:r>
      <w:proofErr w:type="spellStart"/>
      <w:r w:rsidRPr="0071294B">
        <w:rPr>
          <w:rFonts w:ascii="Times New Roman" w:hAnsi="Times New Roman" w:cs="Times New Roman"/>
          <w:sz w:val="20"/>
          <w:szCs w:val="20"/>
          <w:lang w:val="en-GB"/>
        </w:rPr>
        <w:t>xPharm</w:t>
      </w:r>
      <w:proofErr w:type="spellEnd"/>
      <w:r w:rsidRPr="0071294B">
        <w:rPr>
          <w:rFonts w:ascii="Times New Roman" w:hAnsi="Times New Roman" w:cs="Times New Roman"/>
          <w:sz w:val="20"/>
          <w:szCs w:val="20"/>
          <w:lang w:val="en-GB"/>
        </w:rPr>
        <w:t xml:space="preserve">. All data reported align to MSI Level 2 identification. </w:t>
      </w:r>
    </w:p>
    <w:p w14:paraId="37C104E2" w14:textId="2A2D1C2A" w:rsidR="00CF3E29" w:rsidRPr="0071294B" w:rsidRDefault="00CF3E29" w:rsidP="00CF3E29">
      <w:pPr>
        <w:pStyle w:val="Heading2"/>
        <w:rPr>
          <w:rFonts w:cs="Times New Roman"/>
          <w:b/>
          <w:color w:val="000000"/>
          <w:sz w:val="20"/>
          <w:szCs w:val="20"/>
          <w:shd w:val="clear" w:color="auto" w:fill="FFFFFF"/>
        </w:rPr>
      </w:pPr>
      <w:proofErr w:type="spellStart"/>
      <w:r w:rsidRPr="0071294B">
        <w:rPr>
          <w:rStyle w:val="normaltextrun"/>
          <w:rFonts w:cs="Times New Roman"/>
          <w:b/>
          <w:color w:val="000000"/>
          <w:sz w:val="20"/>
          <w:szCs w:val="20"/>
          <w:shd w:val="clear" w:color="auto" w:fill="FFFFFF"/>
        </w:rPr>
        <w:t>Toxicoproteomics</w:t>
      </w:r>
      <w:proofErr w:type="spellEnd"/>
      <w:r w:rsidRPr="0071294B">
        <w:rPr>
          <w:rStyle w:val="normaltextrun"/>
          <w:rFonts w:cs="Times New Roman"/>
          <w:b/>
          <w:color w:val="000000"/>
          <w:sz w:val="20"/>
          <w:szCs w:val="20"/>
          <w:shd w:val="clear" w:color="auto" w:fill="FFFFFF"/>
        </w:rPr>
        <w:t xml:space="preserve"> Pipeline Methodology </w:t>
      </w:r>
    </w:p>
    <w:p w14:paraId="03BA57C8" w14:textId="77777777" w:rsidR="00E53438" w:rsidRPr="0071294B" w:rsidRDefault="00E53438" w:rsidP="00CF3E29">
      <w:pPr>
        <w:pStyle w:val="Heading3"/>
        <w:rPr>
          <w:sz w:val="20"/>
          <w:szCs w:val="20"/>
          <w:lang w:val="en-GB"/>
        </w:rPr>
      </w:pPr>
      <w:r w:rsidRPr="0071294B">
        <w:rPr>
          <w:sz w:val="20"/>
          <w:szCs w:val="20"/>
          <w:bdr w:val="none" w:sz="0" w:space="0" w:color="auto" w:frame="1"/>
          <w:lang w:val="en-GB"/>
        </w:rPr>
        <w:t>Sample Preparation for Proteomic Profiling</w:t>
      </w:r>
    </w:p>
    <w:p w14:paraId="1EC650A6" w14:textId="11A9C7D0" w:rsidR="00E53438" w:rsidRPr="0071294B" w:rsidRDefault="00E53438" w:rsidP="00CF3E29">
      <w:pPr>
        <w:pStyle w:val="NormalWeb"/>
        <w:spacing w:before="0" w:beforeAutospacing="0" w:line="360" w:lineRule="auto"/>
        <w:jc w:val="both"/>
        <w:rPr>
          <w:color w:val="000000"/>
          <w:sz w:val="20"/>
          <w:szCs w:val="20"/>
        </w:rPr>
      </w:pPr>
      <w:r w:rsidRPr="0071294B">
        <w:rPr>
          <w:color w:val="000000" w:themeColor="text1"/>
          <w:sz w:val="20"/>
          <w:szCs w:val="20"/>
          <w:bdr w:val="none" w:sz="0" w:space="0" w:color="auto" w:frame="1"/>
          <w:lang w:val="en-GB"/>
        </w:rPr>
        <w:t>AC16 cells were cultured to 70–80% confluence and seeded at 2×10</w:t>
      </w:r>
      <w:r w:rsidRPr="0071294B">
        <w:rPr>
          <w:color w:val="000000" w:themeColor="text1"/>
          <w:sz w:val="20"/>
          <w:szCs w:val="20"/>
          <w:bdr w:val="none" w:sz="0" w:space="0" w:color="auto" w:frame="1"/>
          <w:vertAlign w:val="superscript"/>
          <w:lang w:val="en-GB"/>
        </w:rPr>
        <w:t>6</w:t>
      </w:r>
      <w:r w:rsidRPr="0071294B">
        <w:rPr>
          <w:color w:val="000000" w:themeColor="text1"/>
          <w:sz w:val="20"/>
          <w:szCs w:val="20"/>
          <w:bdr w:val="none" w:sz="0" w:space="0" w:color="auto" w:frame="1"/>
          <w:lang w:val="en-GB"/>
        </w:rPr>
        <w:t xml:space="preserve"> cells/well in six-well plates </w:t>
      </w:r>
      <w:r w:rsidRPr="0071294B">
        <w:rPr>
          <w:bCs/>
          <w:color w:val="000000" w:themeColor="text1"/>
          <w:sz w:val="20"/>
          <w:szCs w:val="20"/>
          <w:lang w:val="en-GB"/>
        </w:rPr>
        <w:t xml:space="preserve">(Cat. No. 140675; </w:t>
      </w:r>
      <w:proofErr w:type="spellStart"/>
      <w:r w:rsidRPr="0071294B">
        <w:rPr>
          <w:bCs/>
          <w:color w:val="000000" w:themeColor="text1"/>
          <w:sz w:val="20"/>
          <w:szCs w:val="20"/>
          <w:lang w:val="en-GB"/>
        </w:rPr>
        <w:t>Thermo</w:t>
      </w:r>
      <w:proofErr w:type="spellEnd"/>
      <w:r w:rsidRPr="0071294B">
        <w:rPr>
          <w:bCs/>
          <w:color w:val="000000" w:themeColor="text1"/>
          <w:sz w:val="20"/>
          <w:szCs w:val="20"/>
          <w:lang w:val="en-GB"/>
        </w:rPr>
        <w:t xml:space="preserve"> Fisher Scientific, Roskilde, Denmark)</w:t>
      </w:r>
      <w:r w:rsidRPr="0071294B">
        <w:rPr>
          <w:color w:val="000000" w:themeColor="text1"/>
          <w:sz w:val="20"/>
          <w:szCs w:val="20"/>
          <w:bdr w:val="none" w:sz="0" w:space="0" w:color="auto" w:frame="1"/>
          <w:lang w:val="en-GB"/>
        </w:rPr>
        <w:t>. Following attachment, the medium was replaced with either fresh medium (control) or medium containing TZD agent at the calculated IC</w:t>
      </w:r>
      <w:r w:rsidRPr="0071294B">
        <w:rPr>
          <w:color w:val="000000" w:themeColor="text1"/>
          <w:sz w:val="20"/>
          <w:szCs w:val="20"/>
          <w:bdr w:val="none" w:sz="0" w:space="0" w:color="auto" w:frame="1"/>
          <w:vertAlign w:val="subscript"/>
          <w:lang w:val="en-GB"/>
        </w:rPr>
        <w:t>50</w:t>
      </w:r>
      <w:r w:rsidRPr="0071294B">
        <w:rPr>
          <w:color w:val="000000" w:themeColor="text1"/>
          <w:sz w:val="20"/>
          <w:szCs w:val="20"/>
          <w:bdr w:val="none" w:sz="0" w:space="0" w:color="auto" w:frame="1"/>
          <w:lang w:val="en-GB"/>
        </w:rPr>
        <w:t xml:space="preserve"> </w:t>
      </w:r>
      <w:r w:rsidRPr="0071294B">
        <w:rPr>
          <w:color w:val="000000" w:themeColor="text1"/>
          <w:sz w:val="20"/>
          <w:szCs w:val="20"/>
          <w:lang w:val="en-GB"/>
        </w:rPr>
        <w:t>and incubated for 24 h</w:t>
      </w:r>
      <w:r w:rsidRPr="0071294B">
        <w:rPr>
          <w:color w:val="000000" w:themeColor="text1"/>
          <w:sz w:val="20"/>
          <w:szCs w:val="20"/>
          <w:bdr w:val="none" w:sz="0" w:space="0" w:color="auto" w:frame="1"/>
          <w:lang w:val="en-GB"/>
        </w:rPr>
        <w:t>. Cells were scraped from the six-well plates, aliquoted into 1.5 mL Eppendorf microtubes (Eppendorf, Hamburg, Germany) and centrifuged at 3,000 g for 10 min (4 °C).</w:t>
      </w:r>
      <w:r w:rsidRPr="0071294B">
        <w:rPr>
          <w:color w:val="000000" w:themeColor="text1"/>
          <w:sz w:val="20"/>
          <w:szCs w:val="20"/>
          <w:lang w:val="en-GB"/>
        </w:rPr>
        <w:t xml:space="preserve"> </w:t>
      </w:r>
      <w:r w:rsidRPr="0071294B">
        <w:rPr>
          <w:color w:val="000000" w:themeColor="text1"/>
          <w:sz w:val="20"/>
          <w:szCs w:val="20"/>
          <w:bdr w:val="none" w:sz="0" w:space="0" w:color="auto" w:frame="1"/>
          <w:lang w:val="en-GB"/>
        </w:rPr>
        <w:t xml:space="preserve">The supernatant was discarded, and cell pellets retained for proteomics profiling using </w:t>
      </w:r>
      <w:proofErr w:type="spellStart"/>
      <w:r w:rsidRPr="0071294B">
        <w:rPr>
          <w:color w:val="000000" w:themeColor="text1"/>
          <w:sz w:val="20"/>
          <w:szCs w:val="20"/>
          <w:bdr w:val="none" w:sz="0" w:space="0" w:color="auto" w:frame="1"/>
          <w:lang w:val="en-GB"/>
        </w:rPr>
        <w:t>EasyPep</w:t>
      </w:r>
      <w:proofErr w:type="spellEnd"/>
      <w:r w:rsidRPr="0071294B">
        <w:rPr>
          <w:color w:val="000000" w:themeColor="text1"/>
          <w:sz w:val="20"/>
          <w:szCs w:val="20"/>
          <w:bdr w:val="none" w:sz="0" w:space="0" w:color="auto" w:frame="1"/>
          <w:lang w:val="en-GB"/>
        </w:rPr>
        <w:t xml:space="preserve"> Mini MS Sample Prep Kits in accordance with manufacturer's instructions as described in </w:t>
      </w:r>
      <w:r w:rsidRPr="0071294B">
        <w:rPr>
          <w:color w:val="000000" w:themeColor="text1"/>
          <w:sz w:val="20"/>
          <w:szCs w:val="20"/>
          <w:bdr w:val="none" w:sz="0" w:space="0" w:color="auto" w:frame="1"/>
          <w:lang w:val="en-GB"/>
        </w:rPr>
        <w:fldChar w:fldCharType="begin"/>
      </w:r>
      <w:r w:rsidR="00E54AC9">
        <w:rPr>
          <w:color w:val="000000" w:themeColor="text1"/>
          <w:sz w:val="20"/>
          <w:szCs w:val="20"/>
          <w:bdr w:val="none" w:sz="0" w:space="0" w:color="auto" w:frame="1"/>
          <w:lang w:val="en-GB"/>
        </w:rPr>
        <w:instrText xml:space="preserve"> ADDIN EN.CITE &lt;EndNote&gt;&lt;Cite&gt;&lt;Author&gt;Varnavides&lt;/Author&gt;&lt;Year&gt;2022&lt;/Year&gt;&lt;IDText&gt;In search of a universal method: a comparative survey of bottom-up proteomics sample preparation methods&lt;/IDText&gt;&lt;DisplayText&gt;(Varnavides et al, 2022)&lt;/DisplayText&gt;&lt;record&gt;&lt;isbn&gt;1535-3893&lt;/isbn&gt;&lt;titles&gt;&lt;title&gt;In search of a universal method: a comparative survey of bottom-up proteomics sample preparation methods&lt;/title&gt;&lt;secondary-title&gt;Journal of Proteome Research&lt;/secondary-title&gt;&lt;/titles&gt;&lt;pages&gt;2397-2411&lt;/pages&gt;&lt;number&gt;10&lt;/number&gt;&lt;contributors&gt;&lt;authors&gt;&lt;author&gt;Varnavides, Gina&lt;/author&gt;&lt;author&gt;Madern, Moritz&lt;/author&gt;&lt;author&gt;Anrather, Dorothea&lt;/author&gt;&lt;author&gt;Hartl, Natascha&lt;/author&gt;&lt;author&gt;Reiter, Wolfgang&lt;/author&gt;&lt;author&gt;Hartl, Markus&lt;/author&gt;&lt;/authors&gt;&lt;/contributors&gt;&lt;added-date format="utc"&gt;1703816654&lt;/added-date&gt;&lt;ref-type name="Journal Article"&gt;17&lt;/ref-type&gt;&lt;dates&gt;&lt;year&gt;2022&lt;/year&gt;&lt;/dates&gt;&lt;rec-number&gt;424&lt;/rec-number&gt;&lt;last-updated-date format="utc"&gt;1703816654&lt;/last-updated-date&gt;&lt;volume&gt;21&lt;/volume&gt;&lt;/record&gt;&lt;/Cite&gt;&lt;/EndNote&gt;</w:instrText>
      </w:r>
      <w:r w:rsidRPr="0071294B">
        <w:rPr>
          <w:color w:val="000000" w:themeColor="text1"/>
          <w:sz w:val="20"/>
          <w:szCs w:val="20"/>
          <w:bdr w:val="none" w:sz="0" w:space="0" w:color="auto" w:frame="1"/>
          <w:lang w:val="en-GB"/>
        </w:rPr>
        <w:fldChar w:fldCharType="separate"/>
      </w:r>
      <w:r w:rsidR="00E54AC9">
        <w:rPr>
          <w:noProof/>
          <w:color w:val="000000" w:themeColor="text1"/>
          <w:sz w:val="20"/>
          <w:szCs w:val="20"/>
          <w:bdr w:val="none" w:sz="0" w:space="0" w:color="auto" w:frame="1"/>
          <w:lang w:val="en-GB"/>
        </w:rPr>
        <w:t>(Varnavides et al, 2022)</w:t>
      </w:r>
      <w:r w:rsidRPr="0071294B">
        <w:rPr>
          <w:color w:val="000000" w:themeColor="text1"/>
          <w:sz w:val="20"/>
          <w:szCs w:val="20"/>
          <w:bdr w:val="none" w:sz="0" w:space="0" w:color="auto" w:frame="1"/>
          <w:lang w:val="en-GB"/>
        </w:rPr>
        <w:fldChar w:fldCharType="end"/>
      </w:r>
      <w:r w:rsidRPr="0071294B">
        <w:rPr>
          <w:color w:val="000000" w:themeColor="text1"/>
          <w:sz w:val="20"/>
          <w:szCs w:val="20"/>
          <w:bdr w:val="none" w:sz="0" w:space="0" w:color="auto" w:frame="1"/>
          <w:lang w:val="en-GB"/>
        </w:rPr>
        <w:t xml:space="preserve">. </w:t>
      </w:r>
      <w:r w:rsidRPr="0071294B">
        <w:rPr>
          <w:color w:val="000000"/>
          <w:sz w:val="20"/>
          <w:szCs w:val="20"/>
        </w:rPr>
        <w:t xml:space="preserve">In addition to the experimental samples, quality control (QC) and blank samples were prepared. The QC sample was prepared by pooling equal volumes of all the experimental samples, while the blank sample consisted of 50 </w:t>
      </w:r>
      <w:proofErr w:type="spellStart"/>
      <w:r w:rsidRPr="0071294B">
        <w:rPr>
          <w:color w:val="000000"/>
          <w:sz w:val="20"/>
          <w:szCs w:val="20"/>
        </w:rPr>
        <w:t>μL</w:t>
      </w:r>
      <w:proofErr w:type="spellEnd"/>
      <w:r w:rsidRPr="0071294B">
        <w:rPr>
          <w:color w:val="000000"/>
          <w:sz w:val="20"/>
          <w:szCs w:val="20"/>
        </w:rPr>
        <w:t xml:space="preserve"> of acetonitrile: water (50:50).</w:t>
      </w:r>
    </w:p>
    <w:p w14:paraId="3910C49A" w14:textId="77777777" w:rsidR="00E53438" w:rsidRPr="0071294B" w:rsidRDefault="00E53438" w:rsidP="00CF3E29">
      <w:pPr>
        <w:pStyle w:val="Heading3"/>
        <w:rPr>
          <w:sz w:val="20"/>
          <w:szCs w:val="20"/>
          <w:bdr w:val="none" w:sz="0" w:space="0" w:color="auto" w:frame="1"/>
          <w:lang w:val="en-GB"/>
        </w:rPr>
      </w:pPr>
      <w:r w:rsidRPr="0071294B">
        <w:rPr>
          <w:sz w:val="20"/>
          <w:szCs w:val="20"/>
          <w:bdr w:val="none" w:sz="0" w:space="0" w:color="auto" w:frame="1"/>
          <w:lang w:val="en-GB"/>
        </w:rPr>
        <w:t xml:space="preserve">Micro-flow LC–MS-based Proteomics </w:t>
      </w:r>
    </w:p>
    <w:p w14:paraId="535308AF" w14:textId="77777777" w:rsidR="00E53438" w:rsidRPr="0071294B" w:rsidRDefault="00E53438" w:rsidP="00CF3E29">
      <w:pPr>
        <w:pStyle w:val="Heading2"/>
        <w:numPr>
          <w:ilvl w:val="1"/>
          <w:numId w:val="0"/>
        </w:numPr>
        <w:rPr>
          <w:rFonts w:cs="Times New Roman"/>
          <w:b/>
          <w:bCs/>
          <w:sz w:val="20"/>
          <w:szCs w:val="20"/>
          <w:bdr w:val="none" w:sz="0" w:space="0" w:color="auto" w:frame="1"/>
          <w:lang w:val="en-GB"/>
        </w:rPr>
      </w:pPr>
      <w:r w:rsidRPr="0071294B">
        <w:rPr>
          <w:rFonts w:cs="Times New Roman"/>
          <w:b/>
          <w:bCs/>
          <w:sz w:val="20"/>
          <w:szCs w:val="20"/>
          <w:bdr w:val="none" w:sz="0" w:space="0" w:color="auto" w:frame="1"/>
          <w:lang w:val="en-GB"/>
        </w:rPr>
        <w:t xml:space="preserve">Data Acquisition </w:t>
      </w:r>
    </w:p>
    <w:p w14:paraId="3380F904" w14:textId="77777777" w:rsidR="00E53438" w:rsidRPr="0071294B" w:rsidRDefault="00E53438" w:rsidP="00CF3E29">
      <w:pPr>
        <w:shd w:val="clear" w:color="auto" w:fill="FFFFFF"/>
        <w:spacing w:after="100" w:afterAutospacing="1" w:line="360" w:lineRule="auto"/>
        <w:jc w:val="both"/>
        <w:rPr>
          <w:rFonts w:ascii="Times New Roman" w:hAnsi="Times New Roman"/>
          <w:color w:val="000000" w:themeColor="text1"/>
          <w:sz w:val="20"/>
          <w:szCs w:val="20"/>
          <w:lang w:val="en-GB"/>
        </w:rPr>
      </w:pPr>
      <w:r w:rsidRPr="0071294B">
        <w:rPr>
          <w:rFonts w:ascii="Times New Roman" w:hAnsi="Times New Roman"/>
          <w:color w:val="000000" w:themeColor="text1"/>
          <w:sz w:val="20"/>
          <w:szCs w:val="20"/>
          <w:lang w:val="en-GB"/>
        </w:rPr>
        <w:t xml:space="preserve">Peptide separation was performed on a binary </w:t>
      </w:r>
      <w:proofErr w:type="spellStart"/>
      <w:r w:rsidRPr="0071294B">
        <w:rPr>
          <w:rFonts w:ascii="Times New Roman" w:hAnsi="Times New Roman"/>
          <w:color w:val="000000" w:themeColor="text1"/>
          <w:sz w:val="20"/>
          <w:szCs w:val="20"/>
          <w:lang w:val="en-GB"/>
        </w:rPr>
        <w:t>Thermo</w:t>
      </w:r>
      <w:proofErr w:type="spellEnd"/>
      <w:r w:rsidRPr="0071294B">
        <w:rPr>
          <w:rFonts w:ascii="Times New Roman" w:hAnsi="Times New Roman"/>
          <w:color w:val="000000" w:themeColor="text1"/>
          <w:sz w:val="20"/>
          <w:szCs w:val="20"/>
          <w:lang w:val="en-GB"/>
        </w:rPr>
        <w:t xml:space="preserve"> Vanquish ultra-high-performance liquid chromatography system where 20 </w:t>
      </w:r>
      <w:proofErr w:type="spellStart"/>
      <w:r w:rsidRPr="0071294B">
        <w:rPr>
          <w:rFonts w:ascii="Times New Roman" w:hAnsi="Times New Roman"/>
          <w:color w:val="000000" w:themeColor="text1"/>
          <w:sz w:val="20"/>
          <w:szCs w:val="20"/>
          <w:bdr w:val="none" w:sz="0" w:space="0" w:color="auto" w:frame="1"/>
          <w:lang w:val="en-GB"/>
        </w:rPr>
        <w:t>μL</w:t>
      </w:r>
      <w:proofErr w:type="spellEnd"/>
      <w:r w:rsidRPr="0071294B">
        <w:rPr>
          <w:rFonts w:ascii="Times New Roman" w:hAnsi="Times New Roman"/>
          <w:color w:val="000000" w:themeColor="text1"/>
          <w:sz w:val="20"/>
          <w:szCs w:val="20"/>
          <w:lang w:val="en-GB"/>
        </w:rPr>
        <w:t xml:space="preserve"> of the reconstituted peptide mixture extract was injected onto a </w:t>
      </w:r>
      <w:proofErr w:type="spellStart"/>
      <w:r w:rsidRPr="0071294B">
        <w:rPr>
          <w:rFonts w:ascii="Times New Roman" w:hAnsi="Times New Roman"/>
          <w:color w:val="000000" w:themeColor="text1"/>
          <w:sz w:val="20"/>
          <w:szCs w:val="20"/>
          <w:lang w:val="en-GB"/>
        </w:rPr>
        <w:t>Thermo</w:t>
      </w:r>
      <w:proofErr w:type="spellEnd"/>
      <w:r w:rsidRPr="0071294B">
        <w:rPr>
          <w:rFonts w:ascii="Times New Roman" w:hAnsi="Times New Roman"/>
          <w:color w:val="000000" w:themeColor="text1"/>
          <w:sz w:val="20"/>
          <w:szCs w:val="20"/>
          <w:lang w:val="en-GB"/>
        </w:rPr>
        <w:t xml:space="preserve"> Acclaim C</w:t>
      </w:r>
      <w:r w:rsidRPr="0071294B">
        <w:rPr>
          <w:rFonts w:ascii="Times New Roman" w:hAnsi="Times New Roman"/>
          <w:color w:val="000000" w:themeColor="text1"/>
          <w:sz w:val="20"/>
          <w:szCs w:val="20"/>
          <w:vertAlign w:val="subscript"/>
          <w:lang w:val="en-GB"/>
        </w:rPr>
        <w:t>18</w:t>
      </w:r>
      <w:r w:rsidRPr="0071294B">
        <w:rPr>
          <w:rFonts w:ascii="Times New Roman" w:hAnsi="Times New Roman"/>
          <w:color w:val="000000" w:themeColor="text1"/>
          <w:sz w:val="20"/>
          <w:szCs w:val="20"/>
          <w:lang w:val="en-GB"/>
        </w:rPr>
        <w:t xml:space="preserve"> </w:t>
      </w:r>
      <w:proofErr w:type="spellStart"/>
      <w:r w:rsidRPr="0071294B">
        <w:rPr>
          <w:rFonts w:ascii="Times New Roman" w:hAnsi="Times New Roman"/>
          <w:color w:val="000000" w:themeColor="text1"/>
          <w:sz w:val="20"/>
          <w:szCs w:val="20"/>
          <w:lang w:val="en-GB"/>
        </w:rPr>
        <w:t>PepMap</w:t>
      </w:r>
      <w:proofErr w:type="spellEnd"/>
      <w:r w:rsidRPr="0071294B">
        <w:rPr>
          <w:rFonts w:ascii="Times New Roman" w:hAnsi="Times New Roman"/>
          <w:color w:val="000000" w:themeColor="text1"/>
          <w:sz w:val="20"/>
          <w:szCs w:val="20"/>
          <w:lang w:val="en-GB"/>
        </w:rPr>
        <w:t xml:space="preserve"> 100 column (150mm x 1mm, particle size 3µm) and separated over a 100min method. The column was maintained at 40 °C, while the autosampler temperature was set at 5 °C. For chromatographic separation, a consistent flow rate of 50 µl/min was used where the mobile phase in positive and negative heated electrospray ionisation mode (HESI+/-) was composed of Solvent A (99.9% water with 0.1% formic acid) and solvent B (99.9% acetonitrile with 0.1% formic acid). All post columns viper fittings had a 75 </w:t>
      </w:r>
      <w:proofErr w:type="spellStart"/>
      <w:r w:rsidRPr="0071294B">
        <w:rPr>
          <w:rFonts w:ascii="Times New Roman" w:hAnsi="Times New Roman"/>
          <w:color w:val="000000" w:themeColor="text1"/>
          <w:sz w:val="20"/>
          <w:szCs w:val="20"/>
          <w:bdr w:val="none" w:sz="0" w:space="0" w:color="auto" w:frame="1"/>
          <w:lang w:val="en-GB"/>
        </w:rPr>
        <w:t>μ</w:t>
      </w:r>
      <w:r w:rsidRPr="0071294B">
        <w:rPr>
          <w:rFonts w:ascii="Times New Roman" w:hAnsi="Times New Roman"/>
          <w:color w:val="000000" w:themeColor="text1"/>
          <w:sz w:val="20"/>
          <w:szCs w:val="20"/>
          <w:lang w:val="en-GB"/>
        </w:rPr>
        <w:t>m</w:t>
      </w:r>
      <w:proofErr w:type="spellEnd"/>
      <w:r w:rsidRPr="0071294B">
        <w:rPr>
          <w:rFonts w:ascii="Times New Roman" w:hAnsi="Times New Roman"/>
          <w:color w:val="000000" w:themeColor="text1"/>
          <w:sz w:val="20"/>
          <w:szCs w:val="20"/>
          <w:lang w:val="en-GB"/>
        </w:rPr>
        <w:t xml:space="preserve"> internal diameter (black colour code).</w:t>
      </w:r>
    </w:p>
    <w:p w14:paraId="75DDE751" w14:textId="77777777" w:rsidR="00E53438" w:rsidRPr="0071294B" w:rsidRDefault="00E53438" w:rsidP="00CF3E29">
      <w:pPr>
        <w:shd w:val="clear" w:color="auto" w:fill="FFFFFF"/>
        <w:spacing w:after="100" w:afterAutospacing="1" w:line="360" w:lineRule="auto"/>
        <w:jc w:val="both"/>
        <w:rPr>
          <w:rFonts w:ascii="Times New Roman" w:hAnsi="Times New Roman"/>
          <w:color w:val="000000" w:themeColor="text1"/>
          <w:sz w:val="20"/>
          <w:szCs w:val="20"/>
          <w:lang w:val="en-GB"/>
        </w:rPr>
      </w:pPr>
      <w:r w:rsidRPr="0071294B">
        <w:rPr>
          <w:rFonts w:ascii="Times New Roman" w:hAnsi="Times New Roman"/>
          <w:color w:val="000000" w:themeColor="text1"/>
          <w:sz w:val="20"/>
          <w:szCs w:val="20"/>
          <w:lang w:val="en-GB"/>
        </w:rPr>
        <w:lastRenderedPageBreak/>
        <w:t xml:space="preserve">A high-resolution </w:t>
      </w:r>
      <w:proofErr w:type="spellStart"/>
      <w:r w:rsidRPr="0071294B">
        <w:rPr>
          <w:rFonts w:ascii="Times New Roman" w:hAnsi="Times New Roman"/>
          <w:color w:val="000000" w:themeColor="text1"/>
          <w:sz w:val="20"/>
          <w:szCs w:val="20"/>
          <w:lang w:val="en-GB"/>
        </w:rPr>
        <w:t>Exploris</w:t>
      </w:r>
      <w:proofErr w:type="spellEnd"/>
      <w:r w:rsidRPr="0071294B">
        <w:rPr>
          <w:rFonts w:ascii="Times New Roman" w:hAnsi="Times New Roman"/>
          <w:color w:val="000000" w:themeColor="text1"/>
          <w:sz w:val="20"/>
          <w:szCs w:val="20"/>
          <w:lang w:val="en-GB"/>
        </w:rPr>
        <w:t xml:space="preserve"> 240-Orbitrap mass spectrometer (</w:t>
      </w:r>
      <w:proofErr w:type="spellStart"/>
      <w:r w:rsidRPr="0071294B">
        <w:rPr>
          <w:rFonts w:ascii="Times New Roman" w:hAnsi="Times New Roman"/>
          <w:color w:val="000000" w:themeColor="text1"/>
          <w:sz w:val="20"/>
          <w:szCs w:val="20"/>
          <w:lang w:val="en-GB"/>
        </w:rPr>
        <w:t>Thermo</w:t>
      </w:r>
      <w:proofErr w:type="spellEnd"/>
      <w:r w:rsidRPr="0071294B">
        <w:rPr>
          <w:rFonts w:ascii="Times New Roman" w:hAnsi="Times New Roman"/>
          <w:color w:val="000000" w:themeColor="text1"/>
          <w:sz w:val="20"/>
          <w:szCs w:val="20"/>
          <w:lang w:val="en-GB"/>
        </w:rPr>
        <w:t xml:space="preserve"> Fisher Scientific) was used to perform </w:t>
      </w:r>
      <w:proofErr w:type="gramStart"/>
      <w:r w:rsidRPr="0071294B">
        <w:rPr>
          <w:rFonts w:ascii="Times New Roman" w:hAnsi="Times New Roman"/>
          <w:color w:val="000000" w:themeColor="text1"/>
          <w:sz w:val="20"/>
          <w:szCs w:val="20"/>
          <w:lang w:val="en-GB"/>
        </w:rPr>
        <w:t>bottom up</w:t>
      </w:r>
      <w:proofErr w:type="gramEnd"/>
      <w:r w:rsidRPr="0071294B">
        <w:rPr>
          <w:rFonts w:ascii="Times New Roman" w:hAnsi="Times New Roman"/>
          <w:color w:val="000000" w:themeColor="text1"/>
          <w:sz w:val="20"/>
          <w:szCs w:val="20"/>
          <w:lang w:val="en-GB"/>
        </w:rPr>
        <w:t xml:space="preserve"> proteomics analysis. Operating parameters were set as follows: spray voltages of 3400V in HESI +</w:t>
      </w:r>
      <w:proofErr w:type="spellStart"/>
      <w:r w:rsidRPr="0071294B">
        <w:rPr>
          <w:rFonts w:ascii="Times New Roman" w:hAnsi="Times New Roman"/>
          <w:color w:val="000000" w:themeColor="text1"/>
          <w:sz w:val="20"/>
          <w:szCs w:val="20"/>
          <w:lang w:val="en-GB"/>
        </w:rPr>
        <w:t>ve</w:t>
      </w:r>
      <w:proofErr w:type="spellEnd"/>
      <w:r w:rsidRPr="0071294B">
        <w:rPr>
          <w:rFonts w:ascii="Times New Roman" w:hAnsi="Times New Roman"/>
          <w:color w:val="000000" w:themeColor="text1"/>
          <w:sz w:val="20"/>
          <w:szCs w:val="20"/>
          <w:lang w:val="en-GB"/>
        </w:rPr>
        <w:t xml:space="preserve"> mode. The temperature of the ion transfer tube was set at 320°C with a vaporiser temperature of 75°C. Sheath, aux gas and sheath gas flow rates were set at 25, 5 and 0 Arb, respectively. A Top-20 Data-Dependent Acquisition (DDA) was performed using the following parameter: survey scan range was 275-1500 m/z with MS1 resolution of 120,000, RF Lens of 70% and an intensity threshold of 1.0e</w:t>
      </w:r>
      <w:r w:rsidRPr="0071294B">
        <w:rPr>
          <w:rFonts w:ascii="Times New Roman" w:hAnsi="Times New Roman"/>
          <w:color w:val="000000" w:themeColor="text1"/>
          <w:sz w:val="20"/>
          <w:szCs w:val="20"/>
          <w:vertAlign w:val="superscript"/>
          <w:lang w:val="en-GB"/>
        </w:rPr>
        <w:t>4</w:t>
      </w:r>
      <w:r w:rsidRPr="0071294B">
        <w:rPr>
          <w:rFonts w:ascii="Times New Roman" w:hAnsi="Times New Roman"/>
          <w:color w:val="000000" w:themeColor="text1"/>
          <w:sz w:val="20"/>
          <w:szCs w:val="20"/>
          <w:lang w:val="en-GB"/>
        </w:rPr>
        <w:t xml:space="preserve">. Subsequent MS/MS scans were collected with a resolution of 15,000, isolation window of 1.2 m/z, and with a normalised HCD Collision Energy of 30%. A data dependent cycle time of 3 seconds between master scans was also employed. High-purity nitrogen was used as nebulising and as the collision gas for higher energy collisional dissociation. </w:t>
      </w:r>
    </w:p>
    <w:p w14:paraId="5CFFF899" w14:textId="77777777" w:rsidR="00E53438" w:rsidRPr="0071294B" w:rsidRDefault="00E53438" w:rsidP="00CF3E29">
      <w:pPr>
        <w:spacing w:after="100" w:afterAutospacing="1" w:line="360" w:lineRule="auto"/>
        <w:jc w:val="both"/>
        <w:rPr>
          <w:rFonts w:ascii="Times New Roman" w:hAnsi="Times New Roman"/>
          <w:b/>
          <w:bCs/>
          <w:color w:val="000000" w:themeColor="text1"/>
          <w:sz w:val="20"/>
          <w:szCs w:val="20"/>
          <w:lang w:val="en-GB"/>
        </w:rPr>
      </w:pPr>
      <w:r w:rsidRPr="0071294B">
        <w:rPr>
          <w:rFonts w:ascii="Times New Roman" w:hAnsi="Times New Roman"/>
          <w:b/>
          <w:bCs/>
          <w:color w:val="000000" w:themeColor="text1"/>
          <w:sz w:val="20"/>
          <w:szCs w:val="20"/>
          <w:bdr w:val="none" w:sz="0" w:space="0" w:color="auto" w:frame="1"/>
          <w:lang w:val="en-GB"/>
        </w:rPr>
        <w:t>Data Processing</w:t>
      </w:r>
    </w:p>
    <w:p w14:paraId="62F0EE41" w14:textId="77777777" w:rsidR="00E53438" w:rsidRPr="0071294B" w:rsidRDefault="00E53438" w:rsidP="00CF3E29">
      <w:pPr>
        <w:spacing w:after="100" w:afterAutospacing="1" w:line="360" w:lineRule="auto"/>
        <w:jc w:val="both"/>
        <w:rPr>
          <w:rFonts w:ascii="Times New Roman" w:hAnsi="Times New Roman"/>
          <w:sz w:val="20"/>
          <w:szCs w:val="20"/>
          <w:lang w:val="en-GB"/>
        </w:rPr>
      </w:pPr>
      <w:r w:rsidRPr="0071294B">
        <w:rPr>
          <w:rFonts w:ascii="Times New Roman" w:hAnsi="Times New Roman"/>
          <w:color w:val="000000" w:themeColor="text1"/>
          <w:sz w:val="20"/>
          <w:szCs w:val="20"/>
          <w:bdr w:val="none" w:sz="0" w:space="0" w:color="auto" w:frame="1"/>
          <w:lang w:val="en-GB"/>
        </w:rPr>
        <w:t>Using Proteome Discoverer (PD) v3.0 software (</w:t>
      </w:r>
      <w:proofErr w:type="spellStart"/>
      <w:r w:rsidRPr="0071294B">
        <w:rPr>
          <w:rFonts w:ascii="Times New Roman" w:hAnsi="Times New Roman"/>
          <w:color w:val="000000" w:themeColor="text1"/>
          <w:sz w:val="20"/>
          <w:szCs w:val="20"/>
          <w:bdr w:val="none" w:sz="0" w:space="0" w:color="auto" w:frame="1"/>
          <w:lang w:val="en-GB"/>
        </w:rPr>
        <w:t>Thermo</w:t>
      </w:r>
      <w:proofErr w:type="spellEnd"/>
      <w:r w:rsidRPr="0071294B">
        <w:rPr>
          <w:rFonts w:ascii="Times New Roman" w:hAnsi="Times New Roman"/>
          <w:color w:val="000000" w:themeColor="text1"/>
          <w:sz w:val="20"/>
          <w:szCs w:val="20"/>
          <w:bdr w:val="none" w:sz="0" w:space="0" w:color="auto" w:frame="1"/>
          <w:lang w:val="en-GB"/>
        </w:rPr>
        <w:t xml:space="preserve"> Fisher, San Jose, CA, USA), the MS raw data were used to search the </w:t>
      </w:r>
      <w:proofErr w:type="spellStart"/>
      <w:r w:rsidRPr="0071294B">
        <w:rPr>
          <w:rFonts w:ascii="Times New Roman" w:hAnsi="Times New Roman"/>
          <w:color w:val="000000" w:themeColor="text1"/>
          <w:sz w:val="20"/>
          <w:szCs w:val="20"/>
          <w:bdr w:val="none" w:sz="0" w:space="0" w:color="auto" w:frame="1"/>
          <w:lang w:val="en-GB"/>
        </w:rPr>
        <w:t>UniProtKB</w:t>
      </w:r>
      <w:proofErr w:type="spellEnd"/>
      <w:r w:rsidRPr="0071294B">
        <w:rPr>
          <w:rFonts w:ascii="Times New Roman" w:hAnsi="Times New Roman"/>
          <w:color w:val="000000" w:themeColor="text1"/>
          <w:sz w:val="20"/>
          <w:szCs w:val="20"/>
          <w:bdr w:val="none" w:sz="0" w:space="0" w:color="auto" w:frame="1"/>
          <w:lang w:val="en-GB"/>
        </w:rPr>
        <w:t xml:space="preserve"> Human Reference Proteome database (v22.07.13; 79,740 entries), including common contaminants (247 entries), using the SEQUEST and Percolator algorithms involved in modified </w:t>
      </w:r>
      <w:r w:rsidRPr="0071294B">
        <w:rPr>
          <w:rFonts w:ascii="Times New Roman" w:hAnsi="Times New Roman"/>
          <w:sz w:val="20"/>
          <w:szCs w:val="20"/>
          <w:lang w:val="en-GB"/>
        </w:rPr>
        <w:t>label-free quantification (</w:t>
      </w:r>
      <w:r w:rsidRPr="0071294B">
        <w:rPr>
          <w:rFonts w:ascii="Times New Roman" w:hAnsi="Times New Roman"/>
          <w:color w:val="000000" w:themeColor="text1"/>
          <w:sz w:val="20"/>
          <w:szCs w:val="20"/>
          <w:bdr w:val="none" w:sz="0" w:space="0" w:color="auto" w:frame="1"/>
          <w:lang w:val="en-GB"/>
        </w:rPr>
        <w:t xml:space="preserve">LFQ) standard processing and consensus workflows. The precursor mass tolerance was set to 10 ppm and 0.02 Da </w:t>
      </w:r>
      <w:proofErr w:type="gramStart"/>
      <w:r w:rsidRPr="0071294B">
        <w:rPr>
          <w:rFonts w:ascii="Times New Roman" w:hAnsi="Times New Roman"/>
          <w:color w:val="000000" w:themeColor="text1"/>
          <w:sz w:val="20"/>
          <w:szCs w:val="20"/>
          <w:bdr w:val="none" w:sz="0" w:space="0" w:color="auto" w:frame="1"/>
          <w:lang w:val="en-GB"/>
        </w:rPr>
        <w:t>for fragment</w:t>
      </w:r>
      <w:proofErr w:type="gramEnd"/>
      <w:r w:rsidRPr="0071294B">
        <w:rPr>
          <w:rFonts w:ascii="Times New Roman" w:hAnsi="Times New Roman"/>
          <w:color w:val="000000" w:themeColor="text1"/>
          <w:sz w:val="20"/>
          <w:szCs w:val="20"/>
          <w:bdr w:val="none" w:sz="0" w:space="0" w:color="auto" w:frame="1"/>
          <w:lang w:val="en-GB"/>
        </w:rPr>
        <w:t xml:space="preserve"> mass tolerance. Full tryptic digestion was selected, with up to two missed cleavages allowed. The minimum and maximum peptide lengths were set at 6 and 144 amino acids, respectively. Cysteine </w:t>
      </w:r>
      <w:proofErr w:type="spellStart"/>
      <w:r w:rsidRPr="0071294B">
        <w:rPr>
          <w:rFonts w:ascii="Times New Roman" w:hAnsi="Times New Roman"/>
          <w:color w:val="000000" w:themeColor="text1"/>
          <w:sz w:val="20"/>
          <w:szCs w:val="20"/>
          <w:bdr w:val="none" w:sz="0" w:space="0" w:color="auto" w:frame="1"/>
          <w:lang w:val="en-GB"/>
        </w:rPr>
        <w:t>carbamidomethylation</w:t>
      </w:r>
      <w:proofErr w:type="spellEnd"/>
      <w:r w:rsidRPr="0071294B">
        <w:rPr>
          <w:rFonts w:ascii="Times New Roman" w:hAnsi="Times New Roman"/>
          <w:color w:val="000000" w:themeColor="text1"/>
          <w:sz w:val="20"/>
          <w:szCs w:val="20"/>
          <w:bdr w:val="none" w:sz="0" w:space="0" w:color="auto" w:frame="1"/>
          <w:lang w:val="en-GB"/>
        </w:rPr>
        <w:t xml:space="preserve"> was set as a static modification, and oxidation of methionine (Met), Met loss and N-terminal acetylation were set as dynamic modifications. A maximum of three modifications were allowed per peptide. A concentrated target–decoy approach was applied for the </w:t>
      </w:r>
      <w:r w:rsidRPr="0071294B">
        <w:rPr>
          <w:rFonts w:ascii="Times New Roman" w:hAnsi="Times New Roman"/>
          <w:color w:val="000000" w:themeColor="text1"/>
          <w:sz w:val="20"/>
          <w:szCs w:val="20"/>
          <w:lang w:val="en-GB"/>
        </w:rPr>
        <w:t>false discovery rate (</w:t>
      </w:r>
      <w:r w:rsidRPr="0071294B">
        <w:rPr>
          <w:rFonts w:ascii="Times New Roman" w:hAnsi="Times New Roman"/>
          <w:color w:val="000000" w:themeColor="text1"/>
          <w:sz w:val="20"/>
          <w:szCs w:val="20"/>
          <w:bdr w:val="none" w:sz="0" w:space="0" w:color="auto" w:frame="1"/>
          <w:lang w:val="en-GB"/>
        </w:rPr>
        <w:t>FDR) calculation, which was set to 1% for highly confident peptide hits.</w:t>
      </w:r>
    </w:p>
    <w:p w14:paraId="4FF12A4D" w14:textId="77777777" w:rsidR="00E53438" w:rsidRPr="0071294B" w:rsidRDefault="00E53438" w:rsidP="00CF3E29">
      <w:pPr>
        <w:shd w:val="clear" w:color="auto" w:fill="FFFFFF"/>
        <w:spacing w:after="100" w:afterAutospacing="1" w:line="360" w:lineRule="auto"/>
        <w:jc w:val="both"/>
        <w:rPr>
          <w:rFonts w:ascii="Times New Roman" w:hAnsi="Times New Roman"/>
          <w:color w:val="000000" w:themeColor="text1"/>
          <w:sz w:val="20"/>
          <w:szCs w:val="20"/>
          <w:bdr w:val="none" w:sz="0" w:space="0" w:color="auto" w:frame="1"/>
          <w:lang w:val="en-GB"/>
        </w:rPr>
      </w:pPr>
      <w:r w:rsidRPr="0071294B">
        <w:rPr>
          <w:rFonts w:ascii="Times New Roman" w:hAnsi="Times New Roman"/>
          <w:color w:val="000000" w:themeColor="text1"/>
          <w:sz w:val="20"/>
          <w:szCs w:val="20"/>
          <w:bdr w:val="none" w:sz="0" w:space="0" w:color="auto" w:frame="1"/>
          <w:lang w:val="en-GB"/>
        </w:rPr>
        <w:t>For protein abundance, the Feature Mapper node was enabled. The raw files were chromatographically aligned with a 10-min retention time shift. The minimum signal-to-noise threshold for feature linking and mapping was set at a value of 5. For precursor peptide abundance, precursor chromatographic intensities were used for precursor quantification results, and the total peptide amount was the selected normalisation mode to correct for experimental bias. Unique and razor peptides were used to quantify the identified proteins.</w:t>
      </w:r>
    </w:p>
    <w:p w14:paraId="19F748EE" w14:textId="77777777" w:rsidR="00DB5379" w:rsidRPr="0071294B" w:rsidRDefault="00DB5379">
      <w:pPr>
        <w:rPr>
          <w:sz w:val="20"/>
          <w:szCs w:val="20"/>
        </w:rPr>
      </w:pPr>
    </w:p>
    <w:p w14:paraId="58DF6BD1" w14:textId="77777777" w:rsidR="00DB5379" w:rsidRPr="0071294B" w:rsidRDefault="00DB5379">
      <w:pPr>
        <w:rPr>
          <w:sz w:val="20"/>
          <w:szCs w:val="20"/>
        </w:rPr>
      </w:pPr>
    </w:p>
    <w:p w14:paraId="1B4BE17A" w14:textId="77777777" w:rsidR="00DB5379" w:rsidRPr="0071294B" w:rsidRDefault="00DB5379">
      <w:pPr>
        <w:rPr>
          <w:sz w:val="20"/>
          <w:szCs w:val="20"/>
        </w:rPr>
      </w:pPr>
    </w:p>
    <w:p w14:paraId="611A3EE2" w14:textId="77777777" w:rsidR="00DB5379" w:rsidRPr="0071294B" w:rsidRDefault="00DB5379">
      <w:pPr>
        <w:rPr>
          <w:sz w:val="20"/>
          <w:szCs w:val="20"/>
        </w:rPr>
      </w:pPr>
    </w:p>
    <w:p w14:paraId="4CF5B2B8" w14:textId="77777777" w:rsidR="00DB5379" w:rsidRPr="0071294B" w:rsidRDefault="00DB5379">
      <w:pPr>
        <w:rPr>
          <w:sz w:val="20"/>
          <w:szCs w:val="20"/>
        </w:rPr>
      </w:pPr>
    </w:p>
    <w:p w14:paraId="173F941D" w14:textId="77777777" w:rsidR="00DB5379" w:rsidRPr="0071294B" w:rsidRDefault="00DB5379">
      <w:pPr>
        <w:rPr>
          <w:sz w:val="20"/>
          <w:szCs w:val="20"/>
        </w:rPr>
      </w:pPr>
    </w:p>
    <w:p w14:paraId="154713FD" w14:textId="77777777" w:rsidR="00DB5379" w:rsidRPr="0071294B" w:rsidRDefault="00DB5379">
      <w:pPr>
        <w:rPr>
          <w:sz w:val="20"/>
          <w:szCs w:val="20"/>
        </w:rPr>
      </w:pPr>
    </w:p>
    <w:p w14:paraId="5C9B84E0" w14:textId="77777777" w:rsidR="00DB5379" w:rsidRPr="0071294B" w:rsidRDefault="00DB5379">
      <w:pPr>
        <w:rPr>
          <w:sz w:val="20"/>
          <w:szCs w:val="20"/>
        </w:rPr>
      </w:pPr>
    </w:p>
    <w:p w14:paraId="61DB4D38" w14:textId="77777777" w:rsidR="00DB5379" w:rsidRPr="0071294B" w:rsidRDefault="00DB5379">
      <w:pPr>
        <w:rPr>
          <w:sz w:val="20"/>
          <w:szCs w:val="20"/>
        </w:rPr>
      </w:pPr>
    </w:p>
    <w:p w14:paraId="4BC53831" w14:textId="77777777" w:rsidR="00DB5379" w:rsidRPr="0071294B" w:rsidRDefault="00DB5379">
      <w:pPr>
        <w:rPr>
          <w:sz w:val="20"/>
          <w:szCs w:val="20"/>
        </w:rPr>
      </w:pPr>
    </w:p>
    <w:p w14:paraId="4FAA78FE" w14:textId="77777777" w:rsidR="00DB5379" w:rsidRPr="0071294B" w:rsidRDefault="00DB5379">
      <w:pPr>
        <w:rPr>
          <w:sz w:val="20"/>
          <w:szCs w:val="20"/>
        </w:rPr>
      </w:pPr>
    </w:p>
    <w:p w14:paraId="7C1554AF" w14:textId="77777777" w:rsidR="00DB5379" w:rsidRPr="0071294B" w:rsidRDefault="00DB5379">
      <w:pPr>
        <w:rPr>
          <w:sz w:val="20"/>
          <w:szCs w:val="20"/>
        </w:rPr>
      </w:pPr>
    </w:p>
    <w:p w14:paraId="23330693" w14:textId="77777777" w:rsidR="00DB5379" w:rsidRPr="0071294B" w:rsidRDefault="00DB5379">
      <w:pPr>
        <w:rPr>
          <w:sz w:val="20"/>
          <w:szCs w:val="20"/>
        </w:rPr>
      </w:pPr>
    </w:p>
    <w:p w14:paraId="6B7D7C83" w14:textId="77777777" w:rsidR="00DB5379" w:rsidRPr="0071294B" w:rsidRDefault="00DB5379">
      <w:pPr>
        <w:rPr>
          <w:sz w:val="20"/>
          <w:szCs w:val="20"/>
        </w:rPr>
      </w:pPr>
    </w:p>
    <w:p w14:paraId="5C4E92DF" w14:textId="77777777" w:rsidR="00DB5379" w:rsidRPr="0071294B" w:rsidRDefault="00DB5379">
      <w:pPr>
        <w:rPr>
          <w:sz w:val="20"/>
          <w:szCs w:val="20"/>
        </w:rPr>
      </w:pPr>
    </w:p>
    <w:p w14:paraId="437D6822" w14:textId="77777777" w:rsidR="00DB5379" w:rsidRPr="0071294B" w:rsidRDefault="00DB5379">
      <w:pPr>
        <w:rPr>
          <w:sz w:val="20"/>
          <w:szCs w:val="20"/>
        </w:rPr>
      </w:pPr>
    </w:p>
    <w:p w14:paraId="5561BE0F" w14:textId="77777777" w:rsidR="00DB5379" w:rsidRPr="0071294B" w:rsidRDefault="00DB5379">
      <w:pPr>
        <w:rPr>
          <w:sz w:val="20"/>
          <w:szCs w:val="20"/>
        </w:rPr>
      </w:pPr>
    </w:p>
    <w:p w14:paraId="5055E59C" w14:textId="77777777" w:rsidR="00E91DBD" w:rsidRPr="0071294B" w:rsidRDefault="00E91DBD" w:rsidP="00E91DBD">
      <w:pPr>
        <w:pStyle w:val="Heading2"/>
        <w:rPr>
          <w:rFonts w:cs="Times New Roman"/>
          <w:b/>
          <w:bCs/>
          <w:sz w:val="20"/>
          <w:szCs w:val="20"/>
          <w:lang w:val="en-GB"/>
        </w:rPr>
      </w:pPr>
      <w:r w:rsidRPr="0071294B">
        <w:rPr>
          <w:rFonts w:cs="Times New Roman"/>
          <w:b/>
          <w:bCs/>
          <w:sz w:val="20"/>
          <w:szCs w:val="20"/>
          <w:lang w:val="en-GB"/>
        </w:rPr>
        <w:lastRenderedPageBreak/>
        <w:t xml:space="preserve">Determination of Reactive Oxygen Species Production </w:t>
      </w:r>
    </w:p>
    <w:p w14:paraId="0A5667C5" w14:textId="557B9770" w:rsidR="00E91DBD" w:rsidRPr="0071294B" w:rsidRDefault="00E91DBD" w:rsidP="00E91DBD">
      <w:pPr>
        <w:spacing w:before="100" w:beforeAutospacing="1" w:after="100" w:afterAutospacing="1" w:line="360" w:lineRule="auto"/>
        <w:jc w:val="both"/>
        <w:rPr>
          <w:rFonts w:ascii="Times New Roman" w:hAnsi="Times New Roman" w:cs="Times New Roman"/>
          <w:sz w:val="20"/>
          <w:szCs w:val="20"/>
          <w:lang w:val="en-GB"/>
        </w:rPr>
      </w:pPr>
      <w:r w:rsidRPr="0071294B">
        <w:rPr>
          <w:rFonts w:ascii="Times New Roman" w:hAnsi="Times New Roman" w:cs="Times New Roman"/>
          <w:sz w:val="20"/>
          <w:szCs w:val="20"/>
          <w:lang w:val="en-GB"/>
        </w:rPr>
        <w:t>To examine the ability of TZDs to induce the production of reactive oxygen species (ROS) in the cells, the intracellular level of the ROS was estimated using a fluorescent 2′7′-dichlorodihydrofluorescein diacetate dye (H</w:t>
      </w:r>
      <w:r w:rsidRPr="0071294B">
        <w:rPr>
          <w:rFonts w:ascii="Times New Roman" w:hAnsi="Times New Roman" w:cs="Times New Roman"/>
          <w:sz w:val="20"/>
          <w:szCs w:val="20"/>
          <w:vertAlign w:val="subscript"/>
          <w:lang w:val="en-GB"/>
        </w:rPr>
        <w:t>2</w:t>
      </w:r>
      <w:r w:rsidRPr="0071294B">
        <w:rPr>
          <w:rFonts w:ascii="Times New Roman" w:hAnsi="Times New Roman" w:cs="Times New Roman"/>
          <w:sz w:val="20"/>
          <w:szCs w:val="20"/>
          <w:lang w:val="en-GB"/>
        </w:rPr>
        <w:t>DCFDA)</w:t>
      </w:r>
      <w:r w:rsidRPr="0071294B">
        <w:rPr>
          <w:rFonts w:ascii="Times New Roman" w:hAnsi="Times New Roman" w:cs="Times New Roman"/>
          <w:bCs/>
          <w:sz w:val="20"/>
          <w:szCs w:val="20"/>
          <w:lang w:val="en-GB"/>
        </w:rPr>
        <w:t xml:space="preserve"> (</w:t>
      </w:r>
      <w:r w:rsidRPr="0071294B">
        <w:rPr>
          <w:rFonts w:ascii="Times New Roman" w:hAnsi="Times New Roman" w:cs="Times New Roman"/>
          <w:sz w:val="20"/>
          <w:szCs w:val="20"/>
          <w:lang w:val="en-GB"/>
        </w:rPr>
        <w:t xml:space="preserve">Cat. No. D399; </w:t>
      </w:r>
      <w:proofErr w:type="spellStart"/>
      <w:r w:rsidRPr="0071294B">
        <w:rPr>
          <w:rFonts w:ascii="Times New Roman" w:hAnsi="Times New Roman" w:cs="Times New Roman"/>
          <w:sz w:val="20"/>
          <w:szCs w:val="20"/>
          <w:lang w:val="en-GB"/>
        </w:rPr>
        <w:t>Thermo</w:t>
      </w:r>
      <w:proofErr w:type="spellEnd"/>
      <w:r w:rsidRPr="0071294B">
        <w:rPr>
          <w:rFonts w:ascii="Times New Roman" w:hAnsi="Times New Roman" w:cs="Times New Roman"/>
          <w:sz w:val="20"/>
          <w:szCs w:val="20"/>
          <w:lang w:val="en-GB"/>
        </w:rPr>
        <w:t xml:space="preserve"> Fisher, </w:t>
      </w:r>
      <w:r w:rsidRPr="0071294B">
        <w:rPr>
          <w:rFonts w:ascii="Times New Roman" w:hAnsi="Times New Roman" w:cs="Times New Roman"/>
          <w:bCs/>
          <w:sz w:val="20"/>
          <w:szCs w:val="20"/>
          <w:lang w:val="en-GB"/>
        </w:rPr>
        <w:t>Waltham, MA, USA</w:t>
      </w:r>
      <w:r w:rsidRPr="0071294B">
        <w:rPr>
          <w:rFonts w:ascii="Times New Roman" w:hAnsi="Times New Roman" w:cs="Times New Roman"/>
          <w:sz w:val="20"/>
          <w:szCs w:val="20"/>
          <w:lang w:val="en-GB"/>
        </w:rPr>
        <w:t>). H</w:t>
      </w:r>
      <w:r w:rsidRPr="0071294B">
        <w:rPr>
          <w:rFonts w:ascii="Times New Roman" w:hAnsi="Times New Roman" w:cs="Times New Roman"/>
          <w:sz w:val="20"/>
          <w:szCs w:val="20"/>
          <w:vertAlign w:val="subscript"/>
          <w:lang w:val="en-GB"/>
        </w:rPr>
        <w:t>2</w:t>
      </w:r>
      <w:r w:rsidRPr="0071294B">
        <w:rPr>
          <w:rFonts w:ascii="Times New Roman" w:hAnsi="Times New Roman" w:cs="Times New Roman"/>
          <w:sz w:val="20"/>
          <w:szCs w:val="20"/>
          <w:lang w:val="en-GB"/>
        </w:rPr>
        <w:t>DCFDA, a chemically reduced form of fluorescein, is a nonpolar compound converted into a polar and membrane-impermeable derivative of H</w:t>
      </w:r>
      <w:r w:rsidRPr="0071294B">
        <w:rPr>
          <w:rFonts w:ascii="Times New Roman" w:hAnsi="Times New Roman" w:cs="Times New Roman"/>
          <w:sz w:val="20"/>
          <w:szCs w:val="20"/>
          <w:vertAlign w:val="subscript"/>
          <w:lang w:val="en-GB"/>
        </w:rPr>
        <w:t>2</w:t>
      </w:r>
      <w:r w:rsidRPr="0071294B">
        <w:rPr>
          <w:rFonts w:ascii="Times New Roman" w:hAnsi="Times New Roman" w:cs="Times New Roman"/>
          <w:sz w:val="20"/>
          <w:szCs w:val="20"/>
          <w:lang w:val="en-GB"/>
        </w:rPr>
        <w:t xml:space="preserve">DCF under the presence of cellular </w:t>
      </w:r>
      <w:proofErr w:type="spellStart"/>
      <w:r w:rsidRPr="0071294B">
        <w:rPr>
          <w:rFonts w:ascii="Times New Roman" w:hAnsi="Times New Roman" w:cs="Times New Roman"/>
          <w:sz w:val="20"/>
          <w:szCs w:val="20"/>
          <w:lang w:val="en-GB"/>
        </w:rPr>
        <w:t>esterases</w:t>
      </w:r>
      <w:proofErr w:type="spellEnd"/>
      <w:r w:rsidRPr="0071294B">
        <w:rPr>
          <w:rFonts w:ascii="Times New Roman" w:hAnsi="Times New Roman" w:cs="Times New Roman"/>
          <w:sz w:val="20"/>
          <w:szCs w:val="20"/>
          <w:lang w:val="en-GB"/>
        </w:rPr>
        <w:t xml:space="preserve"> </w:t>
      </w:r>
      <w:r w:rsidRPr="0071294B">
        <w:rPr>
          <w:rFonts w:ascii="Times New Roman" w:hAnsi="Times New Roman" w:cs="Times New Roman"/>
          <w:sz w:val="20"/>
          <w:szCs w:val="20"/>
          <w:lang w:val="en-GB"/>
        </w:rPr>
        <w:fldChar w:fldCharType="begin"/>
      </w:r>
      <w:r w:rsidR="00E54AC9">
        <w:rPr>
          <w:rFonts w:ascii="Times New Roman" w:hAnsi="Times New Roman" w:cs="Times New Roman"/>
          <w:sz w:val="20"/>
          <w:szCs w:val="20"/>
          <w:lang w:val="en-GB"/>
        </w:rPr>
        <w:instrText xml:space="preserve"> ADDIN EN.CITE &lt;EndNote&gt;&lt;Cite&gt;&lt;Author&gt;Wu&lt;/Author&gt;&lt;Year&gt;2011&lt;/Year&gt;&lt;IDText&gt;Production and detection of reactive oxygen species (ROS) in cancers&lt;/IDText&gt;&lt;DisplayText&gt;(Wu &amp;amp; Yotnda, 2011)&lt;/DisplayText&gt;&lt;record&gt;&lt;isbn&gt;1940-087X&lt;/isbn&gt;&lt;titles&gt;&lt;title&gt;Production and detection of reactive oxygen species (ROS) in cancers&lt;/title&gt;&lt;secondary-title&gt;JoVE (Journal of Visualized Experiments)&lt;/secondary-title&gt;&lt;/titles&gt;&lt;pages&gt;e3357&lt;/pages&gt;&lt;number&gt;57&lt;/number&gt;&lt;contributors&gt;&lt;authors&gt;&lt;author&gt;Wu, Danli&lt;/author&gt;&lt;author&gt;Yotnda, Patricia&lt;/author&gt;&lt;/authors&gt;&lt;/contributors&gt;&lt;added-date format="utc"&gt;1697721599&lt;/added-date&gt;&lt;ref-type name="Journal Article"&gt;17&lt;/ref-type&gt;&lt;dates&gt;&lt;year&gt;2011&lt;/year&gt;&lt;/dates&gt;&lt;rec-number&gt;262&lt;/rec-number&gt;&lt;last-updated-date format="utc"&gt;1697721599&lt;/last-updated-date&gt;&lt;/record&gt;&lt;/Cite&gt;&lt;/EndNote&gt;</w:instrText>
      </w:r>
      <w:r w:rsidRPr="0071294B">
        <w:rPr>
          <w:rFonts w:ascii="Times New Roman" w:hAnsi="Times New Roman" w:cs="Times New Roman"/>
          <w:sz w:val="20"/>
          <w:szCs w:val="20"/>
          <w:lang w:val="en-GB"/>
        </w:rPr>
        <w:fldChar w:fldCharType="separate"/>
      </w:r>
      <w:r w:rsidR="00E54AC9">
        <w:rPr>
          <w:rFonts w:ascii="Times New Roman" w:hAnsi="Times New Roman" w:cs="Times New Roman"/>
          <w:noProof/>
          <w:sz w:val="20"/>
          <w:szCs w:val="20"/>
          <w:lang w:val="en-GB"/>
        </w:rPr>
        <w:t>(Wu &amp; Yotnda, 2011)</w:t>
      </w:r>
      <w:r w:rsidRPr="0071294B">
        <w:rPr>
          <w:rFonts w:ascii="Times New Roman" w:hAnsi="Times New Roman" w:cs="Times New Roman"/>
          <w:sz w:val="20"/>
          <w:szCs w:val="20"/>
          <w:lang w:val="en-GB"/>
        </w:rPr>
        <w:fldChar w:fldCharType="end"/>
      </w:r>
      <w:r w:rsidRPr="0071294B">
        <w:rPr>
          <w:rFonts w:ascii="Times New Roman" w:hAnsi="Times New Roman" w:cs="Times New Roman"/>
          <w:sz w:val="20"/>
          <w:szCs w:val="20"/>
          <w:lang w:val="en-GB"/>
        </w:rPr>
        <w:t xml:space="preserve">. The latter compound is nonfluorescent </w:t>
      </w:r>
      <w:r w:rsidRPr="0071294B">
        <w:rPr>
          <w:rFonts w:ascii="Times New Roman" w:hAnsi="Times New Roman" w:cs="Times New Roman"/>
          <w:sz w:val="20"/>
          <w:szCs w:val="20"/>
          <w:lang w:val="en-GB"/>
        </w:rPr>
        <w:fldChar w:fldCharType="begin"/>
      </w:r>
      <w:r w:rsidR="00E54AC9">
        <w:rPr>
          <w:rFonts w:ascii="Times New Roman" w:hAnsi="Times New Roman" w:cs="Times New Roman"/>
          <w:sz w:val="20"/>
          <w:szCs w:val="20"/>
          <w:lang w:val="en-GB"/>
        </w:rPr>
        <w:instrText xml:space="preserve"> ADDIN EN.CITE &lt;EndNote&gt;&lt;Cite&gt;&lt;Author&gt;Wu&lt;/Author&gt;&lt;Year&gt;2011&lt;/Year&gt;&lt;IDText&gt;Production and detection of reactive oxygen species (ROS) in cancers&lt;/IDText&gt;&lt;DisplayText&gt;(Wu &amp;amp; Yotnda, 2011)&lt;/DisplayText&gt;&lt;record&gt;&lt;isbn&gt;1940-087X&lt;/isbn&gt;&lt;titles&gt;&lt;title&gt;Production and detection of reactive oxygen species (ROS) in cancers&lt;/title&gt;&lt;secondary-title&gt;JoVE (Journal of Visualized Experiments)&lt;/secondary-title&gt;&lt;/titles&gt;&lt;pages&gt;e3357&lt;/pages&gt;&lt;number&gt;57&lt;/number&gt;&lt;contributors&gt;&lt;authors&gt;&lt;author&gt;Wu, Danli&lt;/author&gt;&lt;author&gt;Yotnda, Patricia&lt;/author&gt;&lt;/authors&gt;&lt;/contributors&gt;&lt;added-date format="utc"&gt;1697721599&lt;/added-date&gt;&lt;ref-type name="Journal Article"&gt;17&lt;/ref-type&gt;&lt;dates&gt;&lt;year&gt;2011&lt;/year&gt;&lt;/dates&gt;&lt;rec-number&gt;262&lt;/rec-number&gt;&lt;last-updated-date format="utc"&gt;1697721599&lt;/last-updated-date&gt;&lt;/record&gt;&lt;/Cite&gt;&lt;/EndNote&gt;</w:instrText>
      </w:r>
      <w:r w:rsidRPr="0071294B">
        <w:rPr>
          <w:rFonts w:ascii="Times New Roman" w:hAnsi="Times New Roman" w:cs="Times New Roman"/>
          <w:sz w:val="20"/>
          <w:szCs w:val="20"/>
          <w:lang w:val="en-GB"/>
        </w:rPr>
        <w:fldChar w:fldCharType="separate"/>
      </w:r>
      <w:r w:rsidR="00E54AC9">
        <w:rPr>
          <w:rFonts w:ascii="Times New Roman" w:hAnsi="Times New Roman" w:cs="Times New Roman"/>
          <w:noProof/>
          <w:sz w:val="20"/>
          <w:szCs w:val="20"/>
          <w:lang w:val="en-GB"/>
        </w:rPr>
        <w:t>(Wu &amp; Yotnda, 2011)</w:t>
      </w:r>
      <w:r w:rsidRPr="0071294B">
        <w:rPr>
          <w:rFonts w:ascii="Times New Roman" w:hAnsi="Times New Roman" w:cs="Times New Roman"/>
          <w:sz w:val="20"/>
          <w:szCs w:val="20"/>
          <w:lang w:val="en-GB"/>
        </w:rPr>
        <w:fldChar w:fldCharType="end"/>
      </w:r>
      <w:r w:rsidRPr="0071294B">
        <w:rPr>
          <w:rFonts w:ascii="Times New Roman" w:hAnsi="Times New Roman" w:cs="Times New Roman"/>
          <w:sz w:val="20"/>
          <w:szCs w:val="20"/>
          <w:lang w:val="en-GB"/>
        </w:rPr>
        <w:t>. However, upon oxidation through the intracellular level of ROS, H</w:t>
      </w:r>
      <w:r w:rsidRPr="0071294B">
        <w:rPr>
          <w:rFonts w:ascii="Times New Roman" w:hAnsi="Times New Roman" w:cs="Times New Roman"/>
          <w:sz w:val="20"/>
          <w:szCs w:val="20"/>
          <w:vertAlign w:val="subscript"/>
          <w:lang w:val="en-GB"/>
        </w:rPr>
        <w:t>2</w:t>
      </w:r>
      <w:r w:rsidRPr="0071294B">
        <w:rPr>
          <w:rFonts w:ascii="Times New Roman" w:hAnsi="Times New Roman" w:cs="Times New Roman"/>
          <w:sz w:val="20"/>
          <w:szCs w:val="20"/>
          <w:lang w:val="en-GB"/>
        </w:rPr>
        <w:t xml:space="preserve">DCF is oxidised to highly fluorescent 2',7'-dichlorofluorescein (DCF) </w:t>
      </w:r>
      <w:r w:rsidRPr="0071294B">
        <w:rPr>
          <w:rFonts w:ascii="Times New Roman" w:hAnsi="Times New Roman" w:cs="Times New Roman"/>
          <w:sz w:val="20"/>
          <w:szCs w:val="20"/>
          <w:lang w:val="en-GB"/>
        </w:rPr>
        <w:fldChar w:fldCharType="begin"/>
      </w:r>
      <w:r w:rsidR="00E54AC9">
        <w:rPr>
          <w:rFonts w:ascii="Times New Roman" w:hAnsi="Times New Roman" w:cs="Times New Roman"/>
          <w:sz w:val="20"/>
          <w:szCs w:val="20"/>
          <w:lang w:val="en-GB"/>
        </w:rPr>
        <w:instrText xml:space="preserve"> ADDIN EN.CITE &lt;EndNote&gt;&lt;Cite&gt;&lt;Author&gt;Wu&lt;/Author&gt;&lt;Year&gt;2011&lt;/Year&gt;&lt;IDText&gt;Production and detection of reactive oxygen species (ROS) in cancers&lt;/IDText&gt;&lt;DisplayText&gt;(Wu &amp;amp; Yotnda, 2011)&lt;/DisplayText&gt;&lt;record&gt;&lt;isbn&gt;1940-087X&lt;/isbn&gt;&lt;titles&gt;&lt;title&gt;Production and detection of reactive oxygen species (ROS) in cancers&lt;/title&gt;&lt;secondary-title&gt;JoVE (Journal of Visualized Experiments)&lt;/secondary-title&gt;&lt;/titles&gt;&lt;pages&gt;e3357&lt;/pages&gt;&lt;number&gt;57&lt;/number&gt;&lt;contributors&gt;&lt;authors&gt;&lt;author&gt;Wu, Danli&lt;/author&gt;&lt;author&gt;Yotnda, Patricia&lt;/author&gt;&lt;/authors&gt;&lt;/contributors&gt;&lt;added-date format="utc"&gt;1697721599&lt;/added-date&gt;&lt;ref-type name="Journal Article"&gt;17&lt;/ref-type&gt;&lt;dates&gt;&lt;year&gt;2011&lt;/year&gt;&lt;/dates&gt;&lt;rec-number&gt;262&lt;/rec-number&gt;&lt;last-updated-date format="utc"&gt;1697721599&lt;/last-updated-date&gt;&lt;/record&gt;&lt;/Cite&gt;&lt;/EndNote&gt;</w:instrText>
      </w:r>
      <w:r w:rsidRPr="0071294B">
        <w:rPr>
          <w:rFonts w:ascii="Times New Roman" w:hAnsi="Times New Roman" w:cs="Times New Roman"/>
          <w:sz w:val="20"/>
          <w:szCs w:val="20"/>
          <w:lang w:val="en-GB"/>
        </w:rPr>
        <w:fldChar w:fldCharType="separate"/>
      </w:r>
      <w:r w:rsidR="00E54AC9">
        <w:rPr>
          <w:rFonts w:ascii="Times New Roman" w:hAnsi="Times New Roman" w:cs="Times New Roman"/>
          <w:noProof/>
          <w:sz w:val="20"/>
          <w:szCs w:val="20"/>
          <w:lang w:val="en-GB"/>
        </w:rPr>
        <w:t>(Wu &amp; Yotnda, 2011)</w:t>
      </w:r>
      <w:r w:rsidRPr="0071294B">
        <w:rPr>
          <w:rFonts w:ascii="Times New Roman" w:hAnsi="Times New Roman" w:cs="Times New Roman"/>
          <w:sz w:val="20"/>
          <w:szCs w:val="20"/>
          <w:lang w:val="en-GB"/>
        </w:rPr>
        <w:fldChar w:fldCharType="end"/>
      </w:r>
      <w:r w:rsidRPr="0071294B">
        <w:rPr>
          <w:rFonts w:ascii="Times New Roman" w:hAnsi="Times New Roman" w:cs="Times New Roman"/>
          <w:sz w:val="20"/>
          <w:szCs w:val="20"/>
          <w:lang w:val="en-GB"/>
        </w:rPr>
        <w:t>.</w:t>
      </w:r>
    </w:p>
    <w:p w14:paraId="2FD798BB" w14:textId="77777777" w:rsidR="00E91DBD" w:rsidRPr="0071294B" w:rsidRDefault="00E91DBD" w:rsidP="00E91DBD">
      <w:pPr>
        <w:spacing w:before="100" w:beforeAutospacing="1" w:after="100" w:afterAutospacing="1" w:line="360" w:lineRule="auto"/>
        <w:jc w:val="both"/>
        <w:rPr>
          <w:rFonts w:ascii="Times New Roman" w:hAnsi="Times New Roman" w:cs="Times New Roman"/>
          <w:sz w:val="20"/>
          <w:szCs w:val="20"/>
          <w:lang w:val="en-GB"/>
        </w:rPr>
      </w:pPr>
      <w:r w:rsidRPr="0071294B">
        <w:rPr>
          <w:rFonts w:ascii="Times New Roman" w:hAnsi="Times New Roman" w:cs="Times New Roman"/>
          <w:sz w:val="20"/>
          <w:szCs w:val="20"/>
          <w:lang w:val="en-GB"/>
        </w:rPr>
        <w:t xml:space="preserve">Cells were seeded in a dark, clear-bottomed 96-well microplate (50,000 cells/well) and incubated overnight. Following 24 h of incubation, the cells were washed once with PBS and loaded with 5 </w:t>
      </w:r>
      <w:proofErr w:type="spellStart"/>
      <w:r w:rsidRPr="0071294B">
        <w:rPr>
          <w:rFonts w:ascii="Times New Roman" w:hAnsi="Times New Roman" w:cs="Times New Roman"/>
          <w:sz w:val="20"/>
          <w:szCs w:val="20"/>
          <w:lang w:val="en-GB"/>
        </w:rPr>
        <w:t>μM</w:t>
      </w:r>
      <w:proofErr w:type="spellEnd"/>
      <w:r w:rsidRPr="0071294B">
        <w:rPr>
          <w:rFonts w:ascii="Times New Roman" w:hAnsi="Times New Roman" w:cs="Times New Roman"/>
          <w:sz w:val="20"/>
          <w:szCs w:val="20"/>
          <w:lang w:val="en-GB"/>
        </w:rPr>
        <w:t xml:space="preserve"> H</w:t>
      </w:r>
      <w:r w:rsidRPr="0071294B">
        <w:rPr>
          <w:rFonts w:ascii="Times New Roman" w:hAnsi="Times New Roman" w:cs="Times New Roman"/>
          <w:sz w:val="20"/>
          <w:szCs w:val="20"/>
          <w:vertAlign w:val="subscript"/>
          <w:lang w:val="en-GB"/>
        </w:rPr>
        <w:t>2</w:t>
      </w:r>
      <w:r w:rsidRPr="0071294B">
        <w:rPr>
          <w:rFonts w:ascii="Times New Roman" w:hAnsi="Times New Roman" w:cs="Times New Roman"/>
          <w:sz w:val="20"/>
          <w:szCs w:val="20"/>
          <w:lang w:val="en-GB"/>
        </w:rPr>
        <w:t xml:space="preserve">DCFDA for 30 min at 37 °C in the dark. Subsequently, the dye was removed, and the cells were exposed to various concentrations of PGZ or ROSI (1, 5, 10, 50, and 100 µM) and incubated for 6 h. DCF fluorescence was measured using a </w:t>
      </w:r>
      <w:proofErr w:type="spellStart"/>
      <w:r w:rsidRPr="0071294B">
        <w:rPr>
          <w:rFonts w:ascii="Times New Roman" w:hAnsi="Times New Roman" w:cs="Times New Roman"/>
          <w:sz w:val="20"/>
          <w:szCs w:val="20"/>
          <w:lang w:val="en-GB"/>
        </w:rPr>
        <w:t>FlexStation</w:t>
      </w:r>
      <w:proofErr w:type="spellEnd"/>
      <w:r w:rsidRPr="0071294B">
        <w:rPr>
          <w:rFonts w:ascii="Times New Roman" w:hAnsi="Times New Roman" w:cs="Times New Roman"/>
          <w:sz w:val="20"/>
          <w:szCs w:val="20"/>
          <w:lang w:val="en-GB"/>
        </w:rPr>
        <w:t xml:space="preserve"> 3 Multi-Mode Microplate Reader (Molecular Devices, Sunnyvale, CA, USA) at the maximum excitation and emission spectra of 492 and 517 nm, respectively.</w:t>
      </w:r>
    </w:p>
    <w:p w14:paraId="23ACDBC7" w14:textId="77777777" w:rsidR="00DB5379" w:rsidRDefault="00DB5379"/>
    <w:p w14:paraId="4E5A3CDE" w14:textId="77777777" w:rsidR="00E91DBD" w:rsidRDefault="00E91DBD"/>
    <w:p w14:paraId="53D4E0C8" w14:textId="77777777" w:rsidR="00DB5379" w:rsidRDefault="00DB5379"/>
    <w:p w14:paraId="72DC2718" w14:textId="77777777" w:rsidR="00DB5379" w:rsidRDefault="00DB5379"/>
    <w:p w14:paraId="383BFD2C" w14:textId="77777777" w:rsidR="00DB5379" w:rsidRDefault="00DB5379"/>
    <w:p w14:paraId="3A822EB2" w14:textId="77777777" w:rsidR="00E91DBD" w:rsidRDefault="00E91DBD"/>
    <w:p w14:paraId="4B283328" w14:textId="77777777" w:rsidR="0071294B" w:rsidRDefault="0071294B"/>
    <w:p w14:paraId="15FB9DBD" w14:textId="77777777" w:rsidR="0071294B" w:rsidRDefault="0071294B"/>
    <w:p w14:paraId="6A469B64" w14:textId="77777777" w:rsidR="0071294B" w:rsidRDefault="0071294B"/>
    <w:p w14:paraId="5005EF6F" w14:textId="77777777" w:rsidR="0071294B" w:rsidRDefault="0071294B"/>
    <w:p w14:paraId="5E71D73A" w14:textId="77777777" w:rsidR="0071294B" w:rsidRDefault="0071294B"/>
    <w:p w14:paraId="4C3A5BF5" w14:textId="77777777" w:rsidR="0071294B" w:rsidRDefault="0071294B"/>
    <w:p w14:paraId="293091D9" w14:textId="77777777" w:rsidR="0071294B" w:rsidRDefault="0071294B"/>
    <w:p w14:paraId="43506E26" w14:textId="77777777" w:rsidR="0071294B" w:rsidRDefault="0071294B"/>
    <w:p w14:paraId="7F730204" w14:textId="77777777" w:rsidR="0071294B" w:rsidRDefault="0071294B"/>
    <w:p w14:paraId="04A67EB5" w14:textId="77777777" w:rsidR="00DB5379" w:rsidRDefault="00DB5379"/>
    <w:p w14:paraId="09280362" w14:textId="77777777" w:rsidR="00046CCE" w:rsidRDefault="00046CCE"/>
    <w:p w14:paraId="7B4DAED5" w14:textId="6E0FDCB3" w:rsidR="00046CCE" w:rsidRPr="0071294B" w:rsidRDefault="00046CCE" w:rsidP="00046CCE">
      <w:pPr>
        <w:pStyle w:val="Heading1"/>
        <w:rPr>
          <w:sz w:val="20"/>
          <w:szCs w:val="28"/>
        </w:rPr>
      </w:pPr>
      <w:r w:rsidRPr="0071294B">
        <w:rPr>
          <w:sz w:val="20"/>
          <w:szCs w:val="28"/>
        </w:rPr>
        <w:lastRenderedPageBreak/>
        <w:t xml:space="preserve">Supplementary Figures </w:t>
      </w:r>
    </w:p>
    <w:p w14:paraId="47DCD481" w14:textId="0AAE52D1" w:rsidR="00046CCE" w:rsidRDefault="0071294B" w:rsidP="00046CCE">
      <w:r>
        <w:rPr>
          <w:noProof/>
        </w:rPr>
        <w:drawing>
          <wp:inline distT="0" distB="0" distL="0" distR="0" wp14:anchorId="5CABC12A" wp14:editId="6103193B">
            <wp:extent cx="5727700" cy="2144395"/>
            <wp:effectExtent l="0" t="0" r="0" b="1905"/>
            <wp:docPr id="978152935" name="Picture 1" descr="A comparison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152935" name="Picture 1" descr="A comparison of a graph&#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2144395"/>
                    </a:xfrm>
                    <a:prstGeom prst="rect">
                      <a:avLst/>
                    </a:prstGeom>
                  </pic:spPr>
                </pic:pic>
              </a:graphicData>
            </a:graphic>
          </wp:inline>
        </w:drawing>
      </w:r>
    </w:p>
    <w:p w14:paraId="315669DB" w14:textId="77777777" w:rsidR="00976D2D" w:rsidRDefault="00976D2D" w:rsidP="00046CCE"/>
    <w:p w14:paraId="78FEBE8A" w14:textId="012199CB" w:rsidR="00992C65" w:rsidRPr="0071294B" w:rsidRDefault="00992C65" w:rsidP="00992C65">
      <w:pPr>
        <w:jc w:val="both"/>
        <w:rPr>
          <w:rFonts w:ascii="Times New Roman" w:hAnsi="Times New Roman" w:cs="Times New Roman"/>
          <w:sz w:val="20"/>
          <w:szCs w:val="20"/>
          <w:lang w:val="en-GB"/>
        </w:rPr>
      </w:pPr>
      <w:r w:rsidRPr="0071294B">
        <w:rPr>
          <w:rFonts w:ascii="Times New Roman" w:hAnsi="Times New Roman" w:cs="Times New Roman"/>
          <w:b/>
          <w:bCs/>
          <w:sz w:val="20"/>
          <w:szCs w:val="20"/>
          <w:lang w:val="en-GB"/>
        </w:rPr>
        <w:t>Figure S1. Evaluation of MB-</w:t>
      </w:r>
      <w:proofErr w:type="spellStart"/>
      <w:r w:rsidRPr="0071294B">
        <w:rPr>
          <w:rFonts w:ascii="Times New Roman" w:hAnsi="Times New Roman" w:cs="Times New Roman"/>
          <w:b/>
          <w:bCs/>
          <w:sz w:val="20"/>
          <w:szCs w:val="20"/>
          <w:lang w:val="en-GB"/>
        </w:rPr>
        <w:t>sPLS</w:t>
      </w:r>
      <w:proofErr w:type="spellEnd"/>
      <w:r w:rsidRPr="0071294B">
        <w:rPr>
          <w:rFonts w:ascii="Times New Roman" w:hAnsi="Times New Roman" w:cs="Times New Roman"/>
          <w:b/>
          <w:bCs/>
          <w:sz w:val="20"/>
          <w:szCs w:val="20"/>
          <w:lang w:val="en-GB"/>
        </w:rPr>
        <w:t xml:space="preserve">-DA model performance via repeated cross-validation. </w:t>
      </w:r>
      <w:r w:rsidRPr="0071294B">
        <w:rPr>
          <w:rFonts w:ascii="Times New Roman" w:hAnsi="Times New Roman" w:cs="Times New Roman"/>
          <w:sz w:val="20"/>
          <w:szCs w:val="20"/>
          <w:lang w:val="en-GB"/>
        </w:rPr>
        <w:t>MB-</w:t>
      </w:r>
      <w:proofErr w:type="spellStart"/>
      <w:r w:rsidRPr="0071294B">
        <w:rPr>
          <w:rFonts w:ascii="Times New Roman" w:hAnsi="Times New Roman" w:cs="Times New Roman"/>
          <w:sz w:val="20"/>
          <w:szCs w:val="20"/>
          <w:lang w:val="en-GB"/>
        </w:rPr>
        <w:t>sPLS</w:t>
      </w:r>
      <w:proofErr w:type="spellEnd"/>
      <w:r w:rsidRPr="0071294B">
        <w:rPr>
          <w:rFonts w:ascii="Times New Roman" w:hAnsi="Times New Roman" w:cs="Times New Roman"/>
          <w:sz w:val="20"/>
          <w:szCs w:val="20"/>
          <w:lang w:val="en-GB"/>
        </w:rPr>
        <w:t xml:space="preserve">-DA classification performance was evaluated using repeated cross-validation (50 </w:t>
      </w:r>
      <w:r w:rsidRPr="0071294B">
        <w:rPr>
          <w:rFonts w:ascii="Times New Roman" w:hAnsi="Times New Roman" w:cs="Times New Roman"/>
          <w:sz w:val="20"/>
          <w:szCs w:val="20"/>
          <w:lang w:val="en-GB"/>
        </w:rPr>
        <w:sym w:font="Symbol" w:char="F0B4"/>
      </w:r>
      <w:r w:rsidRPr="0071294B">
        <w:rPr>
          <w:rFonts w:ascii="Times New Roman" w:hAnsi="Times New Roman" w:cs="Times New Roman"/>
          <w:sz w:val="20"/>
          <w:szCs w:val="20"/>
          <w:lang w:val="en-GB"/>
        </w:rPr>
        <w:t xml:space="preserve"> 5-fold) for each component, considering both overall and balanced error rate across different prediction distances (</w:t>
      </w:r>
      <w:proofErr w:type="spellStart"/>
      <w:proofErr w:type="gramStart"/>
      <w:r w:rsidRPr="0071294B">
        <w:rPr>
          <w:rFonts w:ascii="Times New Roman" w:hAnsi="Times New Roman" w:cs="Times New Roman"/>
          <w:sz w:val="20"/>
          <w:szCs w:val="20"/>
          <w:lang w:val="en-GB"/>
        </w:rPr>
        <w:t>max.dist</w:t>
      </w:r>
      <w:proofErr w:type="spellEnd"/>
      <w:proofErr w:type="gramEnd"/>
      <w:r w:rsidRPr="0071294B">
        <w:rPr>
          <w:rFonts w:ascii="Times New Roman" w:hAnsi="Times New Roman" w:cs="Times New Roman"/>
          <w:sz w:val="20"/>
          <w:szCs w:val="20"/>
          <w:lang w:val="en-GB"/>
        </w:rPr>
        <w:t xml:space="preserve">, </w:t>
      </w:r>
      <w:proofErr w:type="spellStart"/>
      <w:r w:rsidRPr="0071294B">
        <w:rPr>
          <w:rFonts w:ascii="Times New Roman" w:hAnsi="Times New Roman" w:cs="Times New Roman"/>
          <w:sz w:val="20"/>
          <w:szCs w:val="20"/>
          <w:lang w:val="en-GB"/>
        </w:rPr>
        <w:t>centroids.dist</w:t>
      </w:r>
      <w:proofErr w:type="spellEnd"/>
      <w:r w:rsidRPr="0071294B">
        <w:rPr>
          <w:rFonts w:ascii="Times New Roman" w:hAnsi="Times New Roman" w:cs="Times New Roman"/>
          <w:sz w:val="20"/>
          <w:szCs w:val="20"/>
          <w:lang w:val="en-GB"/>
        </w:rPr>
        <w:t xml:space="preserve">, </w:t>
      </w:r>
      <w:proofErr w:type="spellStart"/>
      <w:r w:rsidRPr="0071294B">
        <w:rPr>
          <w:rFonts w:ascii="Times New Roman" w:hAnsi="Times New Roman" w:cs="Times New Roman"/>
          <w:sz w:val="20"/>
          <w:szCs w:val="20"/>
          <w:lang w:val="en-GB"/>
        </w:rPr>
        <w:t>mahalanobis.dist</w:t>
      </w:r>
      <w:proofErr w:type="spellEnd"/>
      <w:r w:rsidRPr="0071294B">
        <w:rPr>
          <w:rFonts w:ascii="Times New Roman" w:hAnsi="Times New Roman" w:cs="Times New Roman"/>
          <w:sz w:val="20"/>
          <w:szCs w:val="20"/>
          <w:lang w:val="en-GB"/>
        </w:rPr>
        <w:t>) in the PGZ (</w:t>
      </w:r>
      <w:r w:rsidR="00D93DAB">
        <w:rPr>
          <w:rFonts w:ascii="Times New Roman" w:hAnsi="Times New Roman" w:cs="Times New Roman"/>
          <w:sz w:val="20"/>
          <w:szCs w:val="20"/>
          <w:lang w:val="en-GB"/>
        </w:rPr>
        <w:t>a</w:t>
      </w:r>
      <w:r w:rsidRPr="0071294B">
        <w:rPr>
          <w:rFonts w:ascii="Times New Roman" w:hAnsi="Times New Roman" w:cs="Times New Roman"/>
          <w:sz w:val="20"/>
          <w:szCs w:val="20"/>
          <w:lang w:val="en-GB"/>
        </w:rPr>
        <w:t>) and ROSI (</w:t>
      </w:r>
      <w:r w:rsidR="00D93DAB">
        <w:rPr>
          <w:rFonts w:ascii="Times New Roman" w:hAnsi="Times New Roman" w:cs="Times New Roman"/>
          <w:sz w:val="20"/>
          <w:szCs w:val="20"/>
          <w:lang w:val="en-GB"/>
        </w:rPr>
        <w:t>b</w:t>
      </w:r>
      <w:r w:rsidRPr="0071294B">
        <w:rPr>
          <w:rFonts w:ascii="Times New Roman" w:hAnsi="Times New Roman" w:cs="Times New Roman"/>
          <w:sz w:val="20"/>
          <w:szCs w:val="20"/>
          <w:lang w:val="en-GB"/>
        </w:rPr>
        <w:t>) studies.  The bars show the standard deviation across the repeated folds. The plots in (</w:t>
      </w:r>
      <w:r w:rsidR="00D93DAB">
        <w:rPr>
          <w:rFonts w:ascii="Times New Roman" w:hAnsi="Times New Roman" w:cs="Times New Roman"/>
          <w:sz w:val="20"/>
          <w:szCs w:val="20"/>
          <w:lang w:val="en-GB"/>
        </w:rPr>
        <w:t>a</w:t>
      </w:r>
      <w:r w:rsidRPr="0071294B">
        <w:rPr>
          <w:rFonts w:ascii="Times New Roman" w:hAnsi="Times New Roman" w:cs="Times New Roman"/>
          <w:sz w:val="20"/>
          <w:szCs w:val="20"/>
          <w:lang w:val="en-GB"/>
        </w:rPr>
        <w:t xml:space="preserve"> and </w:t>
      </w:r>
      <w:r w:rsidR="00D93DAB">
        <w:rPr>
          <w:rFonts w:ascii="Times New Roman" w:hAnsi="Times New Roman" w:cs="Times New Roman"/>
          <w:sz w:val="20"/>
          <w:szCs w:val="20"/>
          <w:lang w:val="en-GB"/>
        </w:rPr>
        <w:t>b</w:t>
      </w:r>
      <w:r w:rsidRPr="0071294B">
        <w:rPr>
          <w:rFonts w:ascii="Times New Roman" w:hAnsi="Times New Roman" w:cs="Times New Roman"/>
          <w:sz w:val="20"/>
          <w:szCs w:val="20"/>
          <w:lang w:val="en-GB"/>
        </w:rPr>
        <w:t xml:space="preserve">) show that the error rate reaches a minimum of two and four components, respectively. </w:t>
      </w:r>
    </w:p>
    <w:p w14:paraId="5FE09A69" w14:textId="77777777" w:rsidR="00992C65" w:rsidRPr="0071294B" w:rsidRDefault="00992C65" w:rsidP="00992C65">
      <w:pPr>
        <w:jc w:val="both"/>
        <w:rPr>
          <w:rFonts w:ascii="Times New Roman" w:hAnsi="Times New Roman" w:cs="Times New Roman"/>
          <w:sz w:val="20"/>
          <w:szCs w:val="20"/>
          <w:lang w:val="en-GB"/>
        </w:rPr>
      </w:pPr>
    </w:p>
    <w:p w14:paraId="469085BC" w14:textId="77777777" w:rsidR="00992C65" w:rsidRPr="0071294B" w:rsidRDefault="00992C65" w:rsidP="00992C65">
      <w:pPr>
        <w:jc w:val="both"/>
        <w:rPr>
          <w:rFonts w:ascii="Times New Roman" w:hAnsi="Times New Roman" w:cs="Times New Roman"/>
          <w:sz w:val="20"/>
          <w:szCs w:val="20"/>
          <w:lang w:val="en-GB"/>
        </w:rPr>
      </w:pPr>
      <w:r w:rsidRPr="0071294B">
        <w:rPr>
          <w:rFonts w:ascii="Times New Roman" w:eastAsiaTheme="minorEastAsia" w:hAnsi="Times New Roman" w:cs="Times New Roman"/>
          <w:sz w:val="20"/>
          <w:szCs w:val="20"/>
          <w:lang w:val="en-GB"/>
        </w:rPr>
        <w:t>MB-</w:t>
      </w:r>
      <w:proofErr w:type="spellStart"/>
      <w:r w:rsidRPr="0071294B">
        <w:rPr>
          <w:rFonts w:ascii="Times New Roman" w:eastAsiaTheme="minorEastAsia" w:hAnsi="Times New Roman" w:cs="Times New Roman"/>
          <w:sz w:val="20"/>
          <w:szCs w:val="20"/>
          <w:lang w:val="en-GB"/>
        </w:rPr>
        <w:t>sPLS</w:t>
      </w:r>
      <w:proofErr w:type="spellEnd"/>
      <w:r w:rsidRPr="0071294B">
        <w:rPr>
          <w:rFonts w:ascii="Times New Roman" w:eastAsiaTheme="minorEastAsia" w:hAnsi="Times New Roman" w:cs="Times New Roman"/>
          <w:sz w:val="20"/>
          <w:szCs w:val="20"/>
          <w:lang w:val="en-GB"/>
        </w:rPr>
        <w:t>-DA:</w:t>
      </w:r>
      <w:r w:rsidRPr="0071294B">
        <w:rPr>
          <w:rFonts w:ascii="Times New Roman" w:hAnsi="Times New Roman" w:cs="Times New Roman"/>
          <w:sz w:val="20"/>
          <w:szCs w:val="20"/>
          <w:lang w:val="en-GB"/>
        </w:rPr>
        <w:t xml:space="preserve"> Multiblock sparse partial least squares discriminant analysis; PGZ: Pioglitazone; ROSI: Rosiglitazone; BER: Balanced error rate</w:t>
      </w:r>
    </w:p>
    <w:p w14:paraId="470DC1BF" w14:textId="77777777" w:rsidR="00046CCE" w:rsidRDefault="00046CCE" w:rsidP="00046CCE"/>
    <w:p w14:paraId="143D4007" w14:textId="77777777" w:rsidR="00046CCE" w:rsidRDefault="00046CCE" w:rsidP="00046CCE"/>
    <w:p w14:paraId="54CF9DE7" w14:textId="77777777" w:rsidR="00046CCE" w:rsidRDefault="00046CCE" w:rsidP="00046CCE"/>
    <w:p w14:paraId="09B8103C" w14:textId="77777777" w:rsidR="00046CCE" w:rsidRDefault="00046CCE" w:rsidP="00046CCE"/>
    <w:p w14:paraId="22228E9E" w14:textId="77777777" w:rsidR="00046CCE" w:rsidRDefault="00046CCE" w:rsidP="00046CCE"/>
    <w:p w14:paraId="227C9FF1" w14:textId="77777777" w:rsidR="00046CCE" w:rsidRDefault="00046CCE" w:rsidP="00046CCE"/>
    <w:p w14:paraId="73DA41E1" w14:textId="77777777" w:rsidR="00046CCE" w:rsidRDefault="00046CCE" w:rsidP="00046CCE"/>
    <w:p w14:paraId="0270EA82" w14:textId="77777777" w:rsidR="00046CCE" w:rsidRDefault="00046CCE" w:rsidP="00046CCE"/>
    <w:p w14:paraId="194FE3FE" w14:textId="77777777" w:rsidR="00046CCE" w:rsidRDefault="00046CCE" w:rsidP="00046CCE"/>
    <w:p w14:paraId="3CDCA96C" w14:textId="77777777" w:rsidR="00046CCE" w:rsidRDefault="00046CCE" w:rsidP="00046CCE"/>
    <w:p w14:paraId="0CE6615B" w14:textId="77777777" w:rsidR="00046CCE" w:rsidRDefault="00046CCE" w:rsidP="00046CCE"/>
    <w:p w14:paraId="6FD958C1" w14:textId="77777777" w:rsidR="00046CCE" w:rsidRDefault="00046CCE" w:rsidP="00046CCE"/>
    <w:p w14:paraId="1D4DFEF9" w14:textId="77777777" w:rsidR="00046CCE" w:rsidRDefault="00046CCE" w:rsidP="00046CCE"/>
    <w:p w14:paraId="067E1D1D" w14:textId="77777777" w:rsidR="00046CCE" w:rsidRDefault="00046CCE" w:rsidP="00046CCE"/>
    <w:p w14:paraId="4DC2594A" w14:textId="77777777" w:rsidR="00046CCE" w:rsidRDefault="00046CCE" w:rsidP="00046CCE"/>
    <w:p w14:paraId="71FB2E0A" w14:textId="77777777" w:rsidR="00046CCE" w:rsidRDefault="00046CCE" w:rsidP="00046CCE"/>
    <w:p w14:paraId="548FA5E9" w14:textId="77777777" w:rsidR="00046CCE" w:rsidRDefault="00046CCE" w:rsidP="00046CCE"/>
    <w:p w14:paraId="1E145444" w14:textId="77777777" w:rsidR="00046CCE" w:rsidRDefault="00046CCE" w:rsidP="00046CCE"/>
    <w:p w14:paraId="268F435B" w14:textId="77777777" w:rsidR="00046CCE" w:rsidRDefault="00046CCE" w:rsidP="00046CCE"/>
    <w:p w14:paraId="677FAEE0" w14:textId="77777777" w:rsidR="00046CCE" w:rsidRDefault="00046CCE" w:rsidP="00046CCE"/>
    <w:p w14:paraId="3A1BCF0A" w14:textId="77777777" w:rsidR="00046CCE" w:rsidRDefault="00046CCE" w:rsidP="00046CCE"/>
    <w:p w14:paraId="25B0181C" w14:textId="40B9D957" w:rsidR="00046CCE" w:rsidRDefault="0071294B" w:rsidP="00046CCE">
      <w:r>
        <w:rPr>
          <w:noProof/>
        </w:rPr>
        <w:lastRenderedPageBreak/>
        <w:drawing>
          <wp:inline distT="0" distB="0" distL="0" distR="0" wp14:anchorId="34D3B659" wp14:editId="35C4FBF8">
            <wp:extent cx="5727700" cy="5085715"/>
            <wp:effectExtent l="0" t="0" r="0" b="0"/>
            <wp:docPr id="1411204370" name="Picture 2" descr="A group of blue and orang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204370" name="Picture 2" descr="A group of blue and orange square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700" cy="5085715"/>
                    </a:xfrm>
                    <a:prstGeom prst="rect">
                      <a:avLst/>
                    </a:prstGeom>
                  </pic:spPr>
                </pic:pic>
              </a:graphicData>
            </a:graphic>
          </wp:inline>
        </w:drawing>
      </w:r>
    </w:p>
    <w:p w14:paraId="76C5727F" w14:textId="77777777" w:rsidR="00046CCE" w:rsidRDefault="00046CCE" w:rsidP="00046CCE"/>
    <w:p w14:paraId="41C7577E" w14:textId="77777777" w:rsidR="00046CCE" w:rsidRDefault="00046CCE" w:rsidP="00046CCE"/>
    <w:p w14:paraId="2BC862BF" w14:textId="60D14288" w:rsidR="00992C65" w:rsidRPr="0071294B" w:rsidRDefault="00992C65" w:rsidP="00992C65">
      <w:pPr>
        <w:jc w:val="both"/>
        <w:rPr>
          <w:rFonts w:ascii="Times New Roman" w:hAnsi="Times New Roman" w:cs="Times New Roman"/>
          <w:sz w:val="20"/>
          <w:szCs w:val="20"/>
          <w:lang w:val="en-GB"/>
        </w:rPr>
      </w:pPr>
      <w:r w:rsidRPr="0071294B">
        <w:rPr>
          <w:rFonts w:ascii="Times New Roman" w:hAnsi="Times New Roman" w:cs="Times New Roman"/>
          <w:b/>
          <w:bCs/>
          <w:sz w:val="20"/>
          <w:szCs w:val="20"/>
          <w:lang w:val="en-GB"/>
        </w:rPr>
        <w:t xml:space="preserve">Figure S2. </w:t>
      </w:r>
      <w:r w:rsidRPr="0071294B">
        <w:rPr>
          <w:rFonts w:ascii="Times New Roman" w:eastAsiaTheme="majorEastAsia" w:hAnsi="Times New Roman" w:cs="Times New Roman"/>
          <w:b/>
          <w:bCs/>
          <w:sz w:val="20"/>
          <w:szCs w:val="20"/>
          <w:lang w:val="en-GB"/>
        </w:rPr>
        <w:t xml:space="preserve">Loading plot for the </w:t>
      </w:r>
      <w:r w:rsidRPr="0071294B">
        <w:rPr>
          <w:rFonts w:ascii="Times New Roman" w:hAnsi="Times New Roman" w:cs="Times New Roman"/>
          <w:b/>
          <w:bCs/>
          <w:sz w:val="20"/>
          <w:szCs w:val="20"/>
          <w:lang w:val="en-GB"/>
        </w:rPr>
        <w:t>molecular signatures</w:t>
      </w:r>
      <w:r w:rsidRPr="0071294B">
        <w:rPr>
          <w:rFonts w:ascii="Times New Roman" w:eastAsiaTheme="majorEastAsia" w:hAnsi="Times New Roman" w:cs="Times New Roman"/>
          <w:b/>
          <w:bCs/>
          <w:sz w:val="20"/>
          <w:szCs w:val="20"/>
          <w:lang w:val="en-GB"/>
        </w:rPr>
        <w:t xml:space="preserve"> </w:t>
      </w:r>
      <w:r w:rsidRPr="0071294B">
        <w:rPr>
          <w:rFonts w:ascii="Times New Roman" w:hAnsi="Times New Roman" w:cs="Times New Roman"/>
          <w:b/>
          <w:bCs/>
          <w:sz w:val="20"/>
          <w:szCs w:val="20"/>
          <w:lang w:val="en-GB"/>
        </w:rPr>
        <w:t>selected</w:t>
      </w:r>
      <w:r w:rsidRPr="0071294B">
        <w:rPr>
          <w:rFonts w:ascii="Times New Roman" w:eastAsiaTheme="majorEastAsia" w:hAnsi="Times New Roman" w:cs="Times New Roman"/>
          <w:b/>
          <w:bCs/>
          <w:sz w:val="20"/>
          <w:szCs w:val="20"/>
          <w:lang w:val="en-GB"/>
        </w:rPr>
        <w:t xml:space="preserve"> by </w:t>
      </w:r>
      <w:r w:rsidRPr="0071294B">
        <w:rPr>
          <w:rFonts w:ascii="Times New Roman" w:hAnsi="Times New Roman" w:cs="Times New Roman"/>
          <w:b/>
          <w:bCs/>
          <w:sz w:val="20"/>
          <w:szCs w:val="20"/>
          <w:lang w:val="en-GB"/>
        </w:rPr>
        <w:t>MB-</w:t>
      </w:r>
      <w:proofErr w:type="spellStart"/>
      <w:r w:rsidRPr="0071294B">
        <w:rPr>
          <w:rFonts w:ascii="Times New Roman" w:hAnsi="Times New Roman" w:cs="Times New Roman"/>
          <w:b/>
          <w:bCs/>
          <w:sz w:val="20"/>
          <w:szCs w:val="20"/>
          <w:lang w:val="en-GB"/>
        </w:rPr>
        <w:t>sPLS</w:t>
      </w:r>
      <w:proofErr w:type="spellEnd"/>
      <w:r w:rsidRPr="0071294B">
        <w:rPr>
          <w:rFonts w:ascii="Times New Roman" w:hAnsi="Times New Roman" w:cs="Times New Roman"/>
          <w:b/>
          <w:bCs/>
          <w:sz w:val="20"/>
          <w:szCs w:val="20"/>
          <w:lang w:val="en-GB"/>
        </w:rPr>
        <w:t xml:space="preserve">-DA </w:t>
      </w:r>
      <w:r w:rsidRPr="0071294B">
        <w:rPr>
          <w:rFonts w:ascii="Times New Roman" w:eastAsiaTheme="majorEastAsia" w:hAnsi="Times New Roman" w:cs="Times New Roman"/>
          <w:b/>
          <w:bCs/>
          <w:sz w:val="20"/>
          <w:szCs w:val="20"/>
          <w:lang w:val="en-GB"/>
        </w:rPr>
        <w:t>performed in</w:t>
      </w:r>
      <w:r w:rsidRPr="0071294B">
        <w:rPr>
          <w:rFonts w:ascii="Times New Roman" w:hAnsi="Times New Roman" w:cs="Times New Roman"/>
          <w:b/>
          <w:bCs/>
          <w:sz w:val="20"/>
          <w:szCs w:val="20"/>
          <w:lang w:val="en-GB"/>
        </w:rPr>
        <w:t xml:space="preserve"> the PGZ study. </w:t>
      </w:r>
      <w:r w:rsidRPr="0071294B">
        <w:rPr>
          <w:rFonts w:ascii="Times New Roman" w:hAnsi="Times New Roman" w:cs="Times New Roman"/>
          <w:sz w:val="20"/>
          <w:szCs w:val="20"/>
          <w:lang w:val="en-GB"/>
        </w:rPr>
        <w:t>The plots (</w:t>
      </w:r>
      <w:r w:rsidR="007946EB">
        <w:rPr>
          <w:rFonts w:ascii="Times New Roman" w:hAnsi="Times New Roman" w:cs="Times New Roman"/>
          <w:sz w:val="20"/>
          <w:szCs w:val="20"/>
          <w:lang w:val="en-GB"/>
        </w:rPr>
        <w:t>a</w:t>
      </w:r>
      <w:r w:rsidRPr="0071294B">
        <w:rPr>
          <w:rFonts w:ascii="Times New Roman" w:hAnsi="Times New Roman" w:cs="Times New Roman"/>
          <w:sz w:val="20"/>
          <w:szCs w:val="20"/>
          <w:lang w:val="en-GB"/>
        </w:rPr>
        <w:t xml:space="preserve"> and </w:t>
      </w:r>
      <w:r w:rsidR="007946EB">
        <w:rPr>
          <w:rFonts w:ascii="Times New Roman" w:hAnsi="Times New Roman" w:cs="Times New Roman"/>
          <w:sz w:val="20"/>
          <w:szCs w:val="20"/>
          <w:lang w:val="en-GB"/>
        </w:rPr>
        <w:t>b</w:t>
      </w:r>
      <w:r w:rsidRPr="0071294B">
        <w:rPr>
          <w:rFonts w:ascii="Times New Roman" w:hAnsi="Times New Roman" w:cs="Times New Roman"/>
          <w:sz w:val="20"/>
          <w:szCs w:val="20"/>
          <w:lang w:val="en-GB"/>
        </w:rPr>
        <w:t>) display the most important variables, ranked by the magnitude of their coefficients from bottom to top. Each variable's colour denotes the class with the highest median expression level.</w:t>
      </w:r>
    </w:p>
    <w:p w14:paraId="41810C68" w14:textId="77777777" w:rsidR="00992C65" w:rsidRPr="0071294B" w:rsidRDefault="00992C65" w:rsidP="00992C65">
      <w:pPr>
        <w:jc w:val="both"/>
        <w:rPr>
          <w:rFonts w:ascii="Times New Roman" w:hAnsi="Times New Roman" w:cs="Times New Roman"/>
          <w:sz w:val="20"/>
          <w:szCs w:val="20"/>
          <w:lang w:val="en-GB"/>
        </w:rPr>
      </w:pPr>
    </w:p>
    <w:p w14:paraId="0EC5D584" w14:textId="77777777" w:rsidR="00992C65" w:rsidRPr="0071294B" w:rsidRDefault="00992C65" w:rsidP="00992C65">
      <w:pPr>
        <w:jc w:val="both"/>
        <w:rPr>
          <w:rFonts w:ascii="Times New Roman" w:hAnsi="Times New Roman" w:cs="Times New Roman"/>
          <w:sz w:val="20"/>
          <w:szCs w:val="20"/>
          <w:lang w:val="en-GB"/>
        </w:rPr>
      </w:pPr>
      <w:r w:rsidRPr="0071294B">
        <w:rPr>
          <w:rFonts w:ascii="Times New Roman" w:eastAsiaTheme="minorEastAsia" w:hAnsi="Times New Roman" w:cs="Times New Roman"/>
          <w:sz w:val="20"/>
          <w:szCs w:val="20"/>
          <w:lang w:val="en-GB"/>
        </w:rPr>
        <w:t>MB-</w:t>
      </w:r>
      <w:proofErr w:type="spellStart"/>
      <w:r w:rsidRPr="0071294B">
        <w:rPr>
          <w:rFonts w:ascii="Times New Roman" w:eastAsiaTheme="minorEastAsia" w:hAnsi="Times New Roman" w:cs="Times New Roman"/>
          <w:sz w:val="20"/>
          <w:szCs w:val="20"/>
          <w:lang w:val="en-GB"/>
        </w:rPr>
        <w:t>sPLS</w:t>
      </w:r>
      <w:proofErr w:type="spellEnd"/>
      <w:r w:rsidRPr="0071294B">
        <w:rPr>
          <w:rFonts w:ascii="Times New Roman" w:eastAsiaTheme="minorEastAsia" w:hAnsi="Times New Roman" w:cs="Times New Roman"/>
          <w:sz w:val="20"/>
          <w:szCs w:val="20"/>
          <w:lang w:val="en-GB"/>
        </w:rPr>
        <w:t>-DA:</w:t>
      </w:r>
      <w:r w:rsidRPr="0071294B">
        <w:rPr>
          <w:rFonts w:ascii="Times New Roman" w:hAnsi="Times New Roman" w:cs="Times New Roman"/>
          <w:sz w:val="20"/>
          <w:szCs w:val="20"/>
          <w:lang w:val="en-GB"/>
        </w:rPr>
        <w:t xml:space="preserve"> Multiblock sparse partial least squares discriminant analysis; PGZ: Pioglitazone</w:t>
      </w:r>
    </w:p>
    <w:p w14:paraId="6761DD3A" w14:textId="77777777" w:rsidR="00046CCE" w:rsidRDefault="00046CCE" w:rsidP="00046CCE"/>
    <w:p w14:paraId="741DD593" w14:textId="77777777" w:rsidR="00992C65" w:rsidRDefault="00992C65" w:rsidP="00046CCE"/>
    <w:p w14:paraId="45E57C05" w14:textId="77777777" w:rsidR="00992C65" w:rsidRDefault="00992C65" w:rsidP="00046CCE"/>
    <w:p w14:paraId="44FA160A" w14:textId="77777777" w:rsidR="00992C65" w:rsidRDefault="00992C65" w:rsidP="00046CCE"/>
    <w:p w14:paraId="46975DF2" w14:textId="77777777" w:rsidR="00992C65" w:rsidRDefault="00992C65" w:rsidP="00046CCE"/>
    <w:p w14:paraId="5690E31F" w14:textId="77777777" w:rsidR="00992C65" w:rsidRDefault="00992C65" w:rsidP="00046CCE"/>
    <w:p w14:paraId="546B82F4" w14:textId="77777777" w:rsidR="00992C65" w:rsidRDefault="00992C65" w:rsidP="00046CCE"/>
    <w:p w14:paraId="79F7D469" w14:textId="77777777" w:rsidR="00992C65" w:rsidRDefault="00992C65" w:rsidP="00046CCE"/>
    <w:p w14:paraId="1C69EC17" w14:textId="77777777" w:rsidR="00992C65" w:rsidRDefault="00992C65" w:rsidP="00046CCE"/>
    <w:p w14:paraId="6BB21CC4" w14:textId="77777777" w:rsidR="00992C65" w:rsidRDefault="00992C65" w:rsidP="00046CCE"/>
    <w:p w14:paraId="30C67881" w14:textId="77777777" w:rsidR="00992C65" w:rsidRDefault="00992C65" w:rsidP="00046CCE"/>
    <w:p w14:paraId="7E157A51" w14:textId="0E4AD1C9" w:rsidR="0077569E" w:rsidRDefault="0071294B" w:rsidP="0077569E">
      <w:r>
        <w:rPr>
          <w:noProof/>
        </w:rPr>
        <w:lastRenderedPageBreak/>
        <w:drawing>
          <wp:inline distT="0" distB="0" distL="0" distR="0" wp14:anchorId="675EB707" wp14:editId="1559EC25">
            <wp:extent cx="5727700" cy="2896235"/>
            <wp:effectExtent l="0" t="0" r="0" b="0"/>
            <wp:docPr id="900912857" name="Picture 3" descr="A group of blue and orange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912857" name="Picture 3" descr="A group of blue and orange bar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2896235"/>
                    </a:xfrm>
                    <a:prstGeom prst="rect">
                      <a:avLst/>
                    </a:prstGeom>
                  </pic:spPr>
                </pic:pic>
              </a:graphicData>
            </a:graphic>
          </wp:inline>
        </w:drawing>
      </w:r>
    </w:p>
    <w:p w14:paraId="0662BF84" w14:textId="77777777" w:rsidR="0071294B" w:rsidRDefault="0071294B" w:rsidP="00282056">
      <w:pPr>
        <w:jc w:val="both"/>
        <w:rPr>
          <w:rFonts w:ascii="Times New Roman" w:hAnsi="Times New Roman" w:cs="Times New Roman"/>
          <w:b/>
          <w:bCs/>
          <w:sz w:val="20"/>
          <w:szCs w:val="20"/>
          <w:lang w:val="en-GB"/>
        </w:rPr>
      </w:pPr>
    </w:p>
    <w:p w14:paraId="57D9308D" w14:textId="6091B9D0" w:rsidR="0077569E" w:rsidRPr="0071294B" w:rsidRDefault="0077569E" w:rsidP="00282056">
      <w:pPr>
        <w:jc w:val="both"/>
        <w:rPr>
          <w:sz w:val="21"/>
          <w:szCs w:val="21"/>
        </w:rPr>
      </w:pPr>
      <w:r w:rsidRPr="0071294B">
        <w:rPr>
          <w:rFonts w:ascii="Times New Roman" w:hAnsi="Times New Roman" w:cs="Times New Roman"/>
          <w:b/>
          <w:bCs/>
          <w:sz w:val="20"/>
          <w:szCs w:val="20"/>
          <w:lang w:val="en-GB"/>
        </w:rPr>
        <w:t xml:space="preserve">Figure S3. </w:t>
      </w:r>
      <w:r w:rsidRPr="0071294B">
        <w:rPr>
          <w:rFonts w:ascii="Times New Roman" w:eastAsiaTheme="majorEastAsia" w:hAnsi="Times New Roman" w:cs="Times New Roman"/>
          <w:b/>
          <w:bCs/>
          <w:sz w:val="20"/>
          <w:szCs w:val="20"/>
          <w:lang w:val="en-GB"/>
        </w:rPr>
        <w:t xml:space="preserve">Loading plot for the </w:t>
      </w:r>
      <w:r w:rsidRPr="0071294B">
        <w:rPr>
          <w:rFonts w:ascii="Times New Roman" w:hAnsi="Times New Roman" w:cs="Times New Roman"/>
          <w:b/>
          <w:bCs/>
          <w:sz w:val="20"/>
          <w:szCs w:val="20"/>
          <w:lang w:val="en-GB"/>
        </w:rPr>
        <w:t>molecular signatures</w:t>
      </w:r>
      <w:r w:rsidRPr="0071294B">
        <w:rPr>
          <w:rFonts w:ascii="Times New Roman" w:eastAsiaTheme="majorEastAsia" w:hAnsi="Times New Roman" w:cs="Times New Roman"/>
          <w:b/>
          <w:bCs/>
          <w:sz w:val="20"/>
          <w:szCs w:val="20"/>
          <w:lang w:val="en-GB"/>
        </w:rPr>
        <w:t xml:space="preserve"> </w:t>
      </w:r>
      <w:r w:rsidRPr="0071294B">
        <w:rPr>
          <w:rFonts w:ascii="Times New Roman" w:hAnsi="Times New Roman" w:cs="Times New Roman"/>
          <w:b/>
          <w:bCs/>
          <w:sz w:val="20"/>
          <w:szCs w:val="20"/>
          <w:lang w:val="en-GB"/>
        </w:rPr>
        <w:t>selected</w:t>
      </w:r>
      <w:r w:rsidRPr="0071294B">
        <w:rPr>
          <w:rFonts w:ascii="Times New Roman" w:eastAsiaTheme="majorEastAsia" w:hAnsi="Times New Roman" w:cs="Times New Roman"/>
          <w:b/>
          <w:bCs/>
          <w:sz w:val="20"/>
          <w:szCs w:val="20"/>
          <w:lang w:val="en-GB"/>
        </w:rPr>
        <w:t xml:space="preserve"> by </w:t>
      </w:r>
      <w:r w:rsidRPr="0071294B">
        <w:rPr>
          <w:rFonts w:ascii="Times New Roman" w:hAnsi="Times New Roman" w:cs="Times New Roman"/>
          <w:b/>
          <w:bCs/>
          <w:sz w:val="20"/>
          <w:szCs w:val="20"/>
          <w:lang w:val="en-GB"/>
        </w:rPr>
        <w:t>MB-</w:t>
      </w:r>
      <w:proofErr w:type="spellStart"/>
      <w:r w:rsidRPr="0071294B">
        <w:rPr>
          <w:rFonts w:ascii="Times New Roman" w:hAnsi="Times New Roman" w:cs="Times New Roman"/>
          <w:b/>
          <w:bCs/>
          <w:sz w:val="20"/>
          <w:szCs w:val="20"/>
          <w:lang w:val="en-GB"/>
        </w:rPr>
        <w:t>sPLS</w:t>
      </w:r>
      <w:proofErr w:type="spellEnd"/>
      <w:r w:rsidRPr="0071294B">
        <w:rPr>
          <w:rFonts w:ascii="Times New Roman" w:hAnsi="Times New Roman" w:cs="Times New Roman"/>
          <w:b/>
          <w:bCs/>
          <w:sz w:val="20"/>
          <w:szCs w:val="20"/>
          <w:lang w:val="en-GB"/>
        </w:rPr>
        <w:t xml:space="preserve">-DA </w:t>
      </w:r>
      <w:r w:rsidRPr="0071294B">
        <w:rPr>
          <w:rFonts w:ascii="Times New Roman" w:eastAsiaTheme="majorEastAsia" w:hAnsi="Times New Roman" w:cs="Times New Roman"/>
          <w:b/>
          <w:bCs/>
          <w:sz w:val="20"/>
          <w:szCs w:val="20"/>
          <w:lang w:val="en-GB"/>
        </w:rPr>
        <w:t>performed in the</w:t>
      </w:r>
      <w:r w:rsidRPr="0071294B">
        <w:rPr>
          <w:rFonts w:ascii="Times New Roman" w:hAnsi="Times New Roman" w:cs="Times New Roman"/>
          <w:b/>
          <w:bCs/>
          <w:sz w:val="20"/>
          <w:szCs w:val="20"/>
          <w:lang w:val="en-GB"/>
        </w:rPr>
        <w:t xml:space="preserve"> ROSI study. </w:t>
      </w:r>
      <w:r w:rsidRPr="0071294B">
        <w:rPr>
          <w:rFonts w:ascii="Times New Roman" w:hAnsi="Times New Roman" w:cs="Times New Roman"/>
          <w:sz w:val="20"/>
          <w:szCs w:val="20"/>
          <w:lang w:val="en-GB"/>
        </w:rPr>
        <w:t>The plots (</w:t>
      </w:r>
      <w:r w:rsidR="007946EB">
        <w:rPr>
          <w:rFonts w:ascii="Times New Roman" w:hAnsi="Times New Roman" w:cs="Times New Roman"/>
          <w:sz w:val="20"/>
          <w:szCs w:val="20"/>
          <w:lang w:val="en-GB"/>
        </w:rPr>
        <w:t>a</w:t>
      </w:r>
      <w:r w:rsidRPr="0071294B">
        <w:rPr>
          <w:rFonts w:ascii="Times New Roman" w:hAnsi="Times New Roman" w:cs="Times New Roman"/>
          <w:sz w:val="20"/>
          <w:szCs w:val="20"/>
          <w:lang w:val="en-GB"/>
        </w:rPr>
        <w:t>-</w:t>
      </w:r>
      <w:r w:rsidR="007946EB">
        <w:rPr>
          <w:rFonts w:ascii="Times New Roman" w:hAnsi="Times New Roman" w:cs="Times New Roman"/>
          <w:sz w:val="20"/>
          <w:szCs w:val="20"/>
          <w:lang w:val="en-GB"/>
        </w:rPr>
        <w:t>d</w:t>
      </w:r>
      <w:r w:rsidRPr="0071294B">
        <w:rPr>
          <w:rFonts w:ascii="Times New Roman" w:hAnsi="Times New Roman" w:cs="Times New Roman"/>
          <w:sz w:val="20"/>
          <w:szCs w:val="20"/>
          <w:lang w:val="en-GB"/>
        </w:rPr>
        <w:t>) display the most important variables, ranked by the magnitude of their coefficients from bottom to top. Each variable's colour denotes the class with the highest median expression level.</w:t>
      </w:r>
    </w:p>
    <w:p w14:paraId="4228697D" w14:textId="77777777" w:rsidR="0077569E" w:rsidRPr="0071294B" w:rsidRDefault="0077569E" w:rsidP="00282056">
      <w:pPr>
        <w:jc w:val="both"/>
        <w:rPr>
          <w:rFonts w:ascii="Times New Roman" w:hAnsi="Times New Roman" w:cs="Times New Roman"/>
          <w:sz w:val="20"/>
          <w:szCs w:val="20"/>
          <w:lang w:val="en-GB"/>
        </w:rPr>
      </w:pPr>
    </w:p>
    <w:p w14:paraId="2363B934" w14:textId="77777777" w:rsidR="0077569E" w:rsidRPr="0071294B" w:rsidRDefault="0077569E" w:rsidP="00282056">
      <w:pPr>
        <w:jc w:val="both"/>
        <w:rPr>
          <w:rFonts w:ascii="Times New Roman" w:hAnsi="Times New Roman" w:cs="Times New Roman"/>
          <w:sz w:val="20"/>
          <w:szCs w:val="20"/>
          <w:lang w:val="en-GB"/>
        </w:rPr>
      </w:pPr>
      <w:r w:rsidRPr="0071294B">
        <w:rPr>
          <w:rFonts w:ascii="Times New Roman" w:eastAsiaTheme="minorEastAsia" w:hAnsi="Times New Roman" w:cs="Times New Roman"/>
          <w:sz w:val="20"/>
          <w:szCs w:val="20"/>
          <w:lang w:val="en-GB"/>
        </w:rPr>
        <w:t>MB-</w:t>
      </w:r>
      <w:proofErr w:type="spellStart"/>
      <w:r w:rsidRPr="0071294B">
        <w:rPr>
          <w:rFonts w:ascii="Times New Roman" w:eastAsiaTheme="minorEastAsia" w:hAnsi="Times New Roman" w:cs="Times New Roman"/>
          <w:sz w:val="20"/>
          <w:szCs w:val="20"/>
          <w:lang w:val="en-GB"/>
        </w:rPr>
        <w:t>sPLS</w:t>
      </w:r>
      <w:proofErr w:type="spellEnd"/>
      <w:r w:rsidRPr="0071294B">
        <w:rPr>
          <w:rFonts w:ascii="Times New Roman" w:eastAsiaTheme="minorEastAsia" w:hAnsi="Times New Roman" w:cs="Times New Roman"/>
          <w:sz w:val="20"/>
          <w:szCs w:val="20"/>
          <w:lang w:val="en-GB"/>
        </w:rPr>
        <w:t>-DA:</w:t>
      </w:r>
      <w:r w:rsidRPr="0071294B">
        <w:rPr>
          <w:rFonts w:ascii="Times New Roman" w:hAnsi="Times New Roman" w:cs="Times New Roman"/>
          <w:sz w:val="20"/>
          <w:szCs w:val="20"/>
          <w:lang w:val="en-GB"/>
        </w:rPr>
        <w:t xml:space="preserve"> Multiblock sparse partial least squares discriminant analysis; ROSI: Rosiglitazone</w:t>
      </w:r>
    </w:p>
    <w:p w14:paraId="360A48E4" w14:textId="611889D7" w:rsidR="00992C65" w:rsidRDefault="00992C65" w:rsidP="00282056">
      <w:pPr>
        <w:jc w:val="both"/>
      </w:pPr>
    </w:p>
    <w:p w14:paraId="32A31294" w14:textId="30E6354E" w:rsidR="00992C65" w:rsidRDefault="00992C65" w:rsidP="00046CCE"/>
    <w:p w14:paraId="3E041B70" w14:textId="38709726" w:rsidR="00992C65" w:rsidRDefault="00992C65" w:rsidP="00046CCE"/>
    <w:p w14:paraId="394437C7" w14:textId="2BF0CC89" w:rsidR="00992C65" w:rsidRDefault="00992C65" w:rsidP="00046CCE"/>
    <w:p w14:paraId="27AF9E48" w14:textId="77777777" w:rsidR="00992C65" w:rsidRDefault="00992C65" w:rsidP="00046CCE"/>
    <w:p w14:paraId="233D1E95" w14:textId="19BD009B" w:rsidR="00992C65" w:rsidRDefault="00992C65" w:rsidP="00046CCE"/>
    <w:p w14:paraId="5B4E4853" w14:textId="14754868" w:rsidR="00992C65" w:rsidRDefault="00992C65" w:rsidP="00046CCE"/>
    <w:p w14:paraId="6B57C698" w14:textId="560565E7" w:rsidR="00992C65" w:rsidRDefault="00992C65" w:rsidP="00046CCE"/>
    <w:p w14:paraId="01B78ED8" w14:textId="77777777" w:rsidR="00992C65" w:rsidRDefault="00992C65" w:rsidP="00046CCE"/>
    <w:p w14:paraId="7C13092D" w14:textId="7651FF7C" w:rsidR="00992C65" w:rsidRDefault="00992C65" w:rsidP="00046CCE"/>
    <w:p w14:paraId="0FEDC067" w14:textId="77777777" w:rsidR="00992C65" w:rsidRDefault="00992C65" w:rsidP="00046CCE"/>
    <w:p w14:paraId="6B2419C0" w14:textId="3C52C6BC" w:rsidR="00992C65" w:rsidRDefault="00992C65" w:rsidP="00046CCE"/>
    <w:p w14:paraId="14FD773E" w14:textId="672B6E3C" w:rsidR="00992C65" w:rsidRDefault="00992C65" w:rsidP="00046CCE"/>
    <w:p w14:paraId="1C9E0F86" w14:textId="1918924E" w:rsidR="00992C65" w:rsidRDefault="00992C65" w:rsidP="00046CCE"/>
    <w:p w14:paraId="32366CE6" w14:textId="77777777" w:rsidR="00992C65" w:rsidRDefault="00992C65" w:rsidP="00046CCE"/>
    <w:p w14:paraId="2B346221" w14:textId="77777777" w:rsidR="00992C65" w:rsidRDefault="00992C65" w:rsidP="00046CCE"/>
    <w:p w14:paraId="4A37D396" w14:textId="77777777" w:rsidR="00992C65" w:rsidRDefault="00992C65" w:rsidP="00046CCE"/>
    <w:p w14:paraId="1E450617" w14:textId="77777777" w:rsidR="00992C65" w:rsidRDefault="00992C65" w:rsidP="00046CCE"/>
    <w:p w14:paraId="099ADEE2" w14:textId="77777777" w:rsidR="00992C65" w:rsidRDefault="00992C65" w:rsidP="00046CCE"/>
    <w:p w14:paraId="654BCEDE" w14:textId="77777777" w:rsidR="00992C65" w:rsidRDefault="00992C65" w:rsidP="00046CCE"/>
    <w:p w14:paraId="0A757175" w14:textId="77777777" w:rsidR="00992C65" w:rsidRDefault="00992C65" w:rsidP="00046CCE"/>
    <w:p w14:paraId="74E066F6" w14:textId="77777777" w:rsidR="00992C65" w:rsidRDefault="00992C65" w:rsidP="00046CCE"/>
    <w:p w14:paraId="6D0A8C18" w14:textId="7CBDA1FB" w:rsidR="00992C65" w:rsidRDefault="00A916F6" w:rsidP="00046CCE">
      <w:r>
        <w:rPr>
          <w:noProof/>
        </w:rPr>
        <w:lastRenderedPageBreak/>
        <w:drawing>
          <wp:inline distT="0" distB="0" distL="0" distR="0" wp14:anchorId="11FC0BB4" wp14:editId="68D4309F">
            <wp:extent cx="5727700" cy="3063875"/>
            <wp:effectExtent l="0" t="0" r="0" b="0"/>
            <wp:docPr id="168744861" name="Picture 4" descr="A comparison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44861" name="Picture 4" descr="A comparison of different colored bar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7700" cy="3063875"/>
                    </a:xfrm>
                    <a:prstGeom prst="rect">
                      <a:avLst/>
                    </a:prstGeom>
                  </pic:spPr>
                </pic:pic>
              </a:graphicData>
            </a:graphic>
          </wp:inline>
        </w:drawing>
      </w:r>
    </w:p>
    <w:p w14:paraId="3E38186A" w14:textId="77777777" w:rsidR="00992C65" w:rsidRDefault="00992C65" w:rsidP="00046CCE"/>
    <w:p w14:paraId="64046E33" w14:textId="77777777" w:rsidR="00992C65" w:rsidRDefault="00992C65" w:rsidP="00046CCE"/>
    <w:p w14:paraId="27DE60FC" w14:textId="4FE732A8" w:rsidR="00976D2D" w:rsidRPr="0071294B" w:rsidRDefault="00976D2D" w:rsidP="00976D2D">
      <w:pPr>
        <w:jc w:val="both"/>
        <w:rPr>
          <w:rFonts w:ascii="Times New Roman" w:hAnsi="Times New Roman" w:cs="Times New Roman"/>
          <w:sz w:val="20"/>
          <w:szCs w:val="20"/>
          <w:lang w:val="en-GB"/>
        </w:rPr>
      </w:pPr>
      <w:r w:rsidRPr="0071294B">
        <w:rPr>
          <w:rFonts w:ascii="Times New Roman" w:hAnsi="Times New Roman" w:cs="Times New Roman"/>
          <w:b/>
          <w:bCs/>
          <w:sz w:val="20"/>
          <w:szCs w:val="20"/>
          <w:lang w:val="en-GB"/>
        </w:rPr>
        <w:t>Figure S4. Effect of TZDs on ROS production</w:t>
      </w:r>
      <w:r w:rsidRPr="0071294B">
        <w:rPr>
          <w:rFonts w:ascii="Times New Roman" w:hAnsi="Times New Roman" w:cs="Times New Roman"/>
          <w:b/>
          <w:sz w:val="20"/>
          <w:szCs w:val="20"/>
          <w:lang w:val="en-GB"/>
        </w:rPr>
        <w:t xml:space="preserve">. </w:t>
      </w:r>
      <w:r w:rsidRPr="0071294B">
        <w:rPr>
          <w:rFonts w:ascii="Times New Roman" w:hAnsi="Times New Roman" w:cs="Times New Roman"/>
          <w:bCs/>
          <w:sz w:val="20"/>
          <w:szCs w:val="20"/>
          <w:lang w:val="en-GB"/>
        </w:rPr>
        <w:t>The</w:t>
      </w:r>
      <w:r w:rsidRPr="0071294B">
        <w:rPr>
          <w:rFonts w:ascii="Times New Roman" w:hAnsi="Times New Roman" w:cs="Times New Roman"/>
          <w:b/>
          <w:sz w:val="20"/>
          <w:szCs w:val="20"/>
          <w:lang w:val="en-GB"/>
        </w:rPr>
        <w:t xml:space="preserve"> </w:t>
      </w:r>
      <w:r w:rsidRPr="0071294B">
        <w:rPr>
          <w:rFonts w:ascii="Times New Roman" w:hAnsi="Times New Roman" w:cs="Times New Roman"/>
          <w:bCs/>
          <w:sz w:val="20"/>
          <w:szCs w:val="20"/>
          <w:lang w:val="en-GB"/>
        </w:rPr>
        <w:t>AC16 cells were pre-cultured for 24 h in 96-well plates</w:t>
      </w:r>
      <w:r w:rsidRPr="0071294B" w:rsidDel="00312AEB">
        <w:rPr>
          <w:rFonts w:ascii="Times New Roman" w:hAnsi="Times New Roman" w:cs="Times New Roman"/>
          <w:bCs/>
          <w:sz w:val="20"/>
          <w:szCs w:val="20"/>
          <w:lang w:val="en-GB"/>
        </w:rPr>
        <w:t xml:space="preserve"> </w:t>
      </w:r>
      <w:r w:rsidRPr="0071294B">
        <w:rPr>
          <w:rFonts w:ascii="Times New Roman" w:hAnsi="Times New Roman" w:cs="Times New Roman"/>
          <w:bCs/>
          <w:sz w:val="20"/>
          <w:szCs w:val="20"/>
          <w:lang w:val="en-GB"/>
        </w:rPr>
        <w:t>(50,000</w:t>
      </w:r>
      <w:r w:rsidRPr="0071294B">
        <w:rPr>
          <w:rFonts w:ascii="Times New Roman" w:hAnsi="Times New Roman" w:cs="Times New Roman"/>
          <w:bCs/>
          <w:sz w:val="20"/>
          <w:szCs w:val="20"/>
          <w:vertAlign w:val="superscript"/>
          <w:lang w:val="en-GB"/>
        </w:rPr>
        <w:t xml:space="preserve"> </w:t>
      </w:r>
      <w:r w:rsidRPr="0071294B">
        <w:rPr>
          <w:rFonts w:ascii="Times New Roman" w:hAnsi="Times New Roman" w:cs="Times New Roman"/>
          <w:bCs/>
          <w:sz w:val="20"/>
          <w:szCs w:val="20"/>
          <w:lang w:val="en-GB"/>
        </w:rPr>
        <w:t>cells/well). Afterwards, the cells were loaded with 5 µM H</w:t>
      </w:r>
      <w:r w:rsidRPr="0071294B">
        <w:rPr>
          <w:rFonts w:ascii="Times New Roman" w:hAnsi="Times New Roman" w:cs="Times New Roman"/>
          <w:bCs/>
          <w:sz w:val="20"/>
          <w:szCs w:val="20"/>
          <w:vertAlign w:val="subscript"/>
          <w:lang w:val="en-GB"/>
        </w:rPr>
        <w:t>2</w:t>
      </w:r>
      <w:r w:rsidRPr="0071294B">
        <w:rPr>
          <w:rFonts w:ascii="Times New Roman" w:hAnsi="Times New Roman" w:cs="Times New Roman"/>
          <w:bCs/>
          <w:sz w:val="20"/>
          <w:szCs w:val="20"/>
          <w:lang w:val="en-GB"/>
        </w:rPr>
        <w:t>DCFDA and exposed to various concentrations of either PGZ (</w:t>
      </w:r>
      <w:r w:rsidR="00F32414">
        <w:rPr>
          <w:rFonts w:ascii="Times New Roman" w:hAnsi="Times New Roman" w:cs="Times New Roman"/>
          <w:bCs/>
          <w:sz w:val="20"/>
          <w:szCs w:val="20"/>
          <w:lang w:val="en-GB"/>
        </w:rPr>
        <w:t>a</w:t>
      </w:r>
      <w:r w:rsidRPr="0071294B">
        <w:rPr>
          <w:rFonts w:ascii="Times New Roman" w:hAnsi="Times New Roman" w:cs="Times New Roman"/>
          <w:bCs/>
          <w:sz w:val="20"/>
          <w:szCs w:val="20"/>
          <w:lang w:val="en-GB"/>
        </w:rPr>
        <w:t>) or ROSI (</w:t>
      </w:r>
      <w:r w:rsidR="00F32414">
        <w:rPr>
          <w:rFonts w:ascii="Times New Roman" w:hAnsi="Times New Roman" w:cs="Times New Roman"/>
          <w:bCs/>
          <w:sz w:val="20"/>
          <w:szCs w:val="20"/>
          <w:lang w:val="en-GB"/>
        </w:rPr>
        <w:t>b</w:t>
      </w:r>
      <w:r w:rsidRPr="0071294B">
        <w:rPr>
          <w:rFonts w:ascii="Times New Roman" w:hAnsi="Times New Roman" w:cs="Times New Roman"/>
          <w:bCs/>
          <w:sz w:val="20"/>
          <w:szCs w:val="20"/>
          <w:lang w:val="en-GB"/>
        </w:rPr>
        <w:t xml:space="preserve">). </w:t>
      </w:r>
      <w:r w:rsidRPr="0071294B">
        <w:rPr>
          <w:rFonts w:ascii="Times New Roman" w:hAnsi="Times New Roman" w:cs="Times New Roman"/>
          <w:sz w:val="20"/>
          <w:szCs w:val="20"/>
          <w:lang w:val="en-GB"/>
        </w:rPr>
        <w:t>The d</w:t>
      </w:r>
      <w:r w:rsidRPr="0071294B">
        <w:rPr>
          <w:rFonts w:ascii="Times New Roman" w:hAnsi="Times New Roman" w:cs="Times New Roman"/>
          <w:sz w:val="20"/>
          <w:szCs w:val="20"/>
          <w:bdr w:val="none" w:sz="0" w:space="0" w:color="auto" w:frame="1"/>
          <w:lang w:val="en-GB"/>
        </w:rPr>
        <w:t>ata are from three independent experiments, each performed in triplicate and are expressed as the mean ± SD.</w:t>
      </w:r>
      <w:r w:rsidRPr="0071294B">
        <w:rPr>
          <w:rFonts w:ascii="Times New Roman" w:hAnsi="Times New Roman" w:cs="Times New Roman"/>
          <w:sz w:val="20"/>
          <w:szCs w:val="20"/>
          <w:lang w:val="en-GB"/>
        </w:rPr>
        <w:t xml:space="preserve"> Statistical significance was determined using a o</w:t>
      </w:r>
      <w:r w:rsidRPr="0071294B">
        <w:rPr>
          <w:rFonts w:ascii="Times New Roman" w:hAnsi="Times New Roman" w:cs="Times New Roman"/>
          <w:sz w:val="20"/>
          <w:szCs w:val="20"/>
          <w:shd w:val="clear" w:color="auto" w:fill="FFFFFF"/>
          <w:lang w:val="en-GB"/>
        </w:rPr>
        <w:t xml:space="preserve">ne-way ANOVA and Dunnett’s multiple comparisons test </w:t>
      </w:r>
      <w:r w:rsidRPr="0071294B">
        <w:rPr>
          <w:rFonts w:ascii="Times New Roman" w:hAnsi="Times New Roman" w:cs="Times New Roman"/>
          <w:sz w:val="20"/>
          <w:szCs w:val="20"/>
          <w:lang w:val="en-GB"/>
        </w:rPr>
        <w:t xml:space="preserve">(control vs. each concentration of TZD). </w:t>
      </w:r>
    </w:p>
    <w:p w14:paraId="193B6915" w14:textId="77777777" w:rsidR="00976D2D" w:rsidRPr="0071294B" w:rsidRDefault="00976D2D" w:rsidP="00976D2D">
      <w:pPr>
        <w:jc w:val="both"/>
        <w:rPr>
          <w:rFonts w:ascii="Times New Roman" w:eastAsiaTheme="minorEastAsia" w:hAnsi="Times New Roman" w:cs="Times New Roman"/>
          <w:sz w:val="20"/>
          <w:szCs w:val="20"/>
          <w:lang w:val="en-GB"/>
        </w:rPr>
      </w:pPr>
    </w:p>
    <w:p w14:paraId="173B13B0" w14:textId="77777777" w:rsidR="00976D2D" w:rsidRPr="0071294B" w:rsidRDefault="00976D2D" w:rsidP="00976D2D">
      <w:pPr>
        <w:jc w:val="both"/>
        <w:rPr>
          <w:rFonts w:ascii="Times New Roman" w:hAnsi="Times New Roman" w:cs="Times New Roman"/>
          <w:sz w:val="20"/>
          <w:szCs w:val="20"/>
          <w:lang w:val="en-GB"/>
        </w:rPr>
      </w:pPr>
      <w:r w:rsidRPr="0071294B">
        <w:rPr>
          <w:rFonts w:ascii="Times New Roman" w:hAnsi="Times New Roman" w:cs="Times New Roman"/>
          <w:sz w:val="20"/>
          <w:szCs w:val="20"/>
          <w:bdr w:val="none" w:sz="0" w:space="0" w:color="auto" w:frame="1"/>
          <w:lang w:val="en-GB"/>
        </w:rPr>
        <w:t xml:space="preserve">* </w:t>
      </w:r>
      <w:r w:rsidRPr="0071294B">
        <w:rPr>
          <w:rFonts w:ascii="Times New Roman" w:hAnsi="Times New Roman" w:cs="Times New Roman"/>
          <w:i/>
          <w:sz w:val="20"/>
          <w:szCs w:val="20"/>
          <w:bdr w:val="none" w:sz="0" w:space="0" w:color="auto" w:frame="1"/>
          <w:lang w:val="en-GB"/>
        </w:rPr>
        <w:t>p</w:t>
      </w:r>
      <w:r w:rsidRPr="0071294B">
        <w:rPr>
          <w:rFonts w:ascii="Times New Roman" w:hAnsi="Times New Roman" w:cs="Times New Roman"/>
          <w:sz w:val="20"/>
          <w:szCs w:val="20"/>
          <w:bdr w:val="none" w:sz="0" w:space="0" w:color="auto" w:frame="1"/>
          <w:lang w:val="en-GB"/>
        </w:rPr>
        <w:t xml:space="preserve"> &lt; 0.05, ** </w:t>
      </w:r>
      <w:r w:rsidRPr="0071294B">
        <w:rPr>
          <w:rFonts w:ascii="Times New Roman" w:hAnsi="Times New Roman" w:cs="Times New Roman"/>
          <w:i/>
          <w:sz w:val="20"/>
          <w:szCs w:val="20"/>
          <w:bdr w:val="none" w:sz="0" w:space="0" w:color="auto" w:frame="1"/>
          <w:lang w:val="en-GB"/>
        </w:rPr>
        <w:t>p</w:t>
      </w:r>
      <w:r w:rsidRPr="0071294B">
        <w:rPr>
          <w:rFonts w:ascii="Times New Roman" w:hAnsi="Times New Roman" w:cs="Times New Roman"/>
          <w:sz w:val="20"/>
          <w:szCs w:val="20"/>
          <w:bdr w:val="none" w:sz="0" w:space="0" w:color="auto" w:frame="1"/>
          <w:lang w:val="en-GB"/>
        </w:rPr>
        <w:t xml:space="preserve"> &lt; 0.01, *** </w:t>
      </w:r>
      <w:r w:rsidRPr="0071294B">
        <w:rPr>
          <w:rFonts w:ascii="Times New Roman" w:hAnsi="Times New Roman" w:cs="Times New Roman"/>
          <w:i/>
          <w:sz w:val="20"/>
          <w:szCs w:val="20"/>
          <w:bdr w:val="none" w:sz="0" w:space="0" w:color="auto" w:frame="1"/>
          <w:lang w:val="en-GB"/>
        </w:rPr>
        <w:t>p</w:t>
      </w:r>
      <w:r w:rsidRPr="0071294B">
        <w:rPr>
          <w:rFonts w:ascii="Times New Roman" w:hAnsi="Times New Roman" w:cs="Times New Roman"/>
          <w:sz w:val="20"/>
          <w:szCs w:val="20"/>
          <w:bdr w:val="none" w:sz="0" w:space="0" w:color="auto" w:frame="1"/>
          <w:lang w:val="en-GB"/>
        </w:rPr>
        <w:t xml:space="preserve"> &lt; 0.001 and **** </w:t>
      </w:r>
      <w:r w:rsidRPr="0071294B">
        <w:rPr>
          <w:rFonts w:ascii="Times New Roman" w:hAnsi="Times New Roman" w:cs="Times New Roman"/>
          <w:i/>
          <w:sz w:val="20"/>
          <w:szCs w:val="20"/>
          <w:bdr w:val="none" w:sz="0" w:space="0" w:color="auto" w:frame="1"/>
          <w:lang w:val="en-GB"/>
        </w:rPr>
        <w:t xml:space="preserve">p </w:t>
      </w:r>
      <w:r w:rsidRPr="0071294B">
        <w:rPr>
          <w:rFonts w:ascii="Times New Roman" w:hAnsi="Times New Roman" w:cs="Times New Roman"/>
          <w:sz w:val="20"/>
          <w:szCs w:val="20"/>
          <w:bdr w:val="none" w:sz="0" w:space="0" w:color="auto" w:frame="1"/>
          <w:lang w:val="en-GB"/>
        </w:rPr>
        <w:t>&lt; 0.0001</w:t>
      </w:r>
      <w:r w:rsidRPr="0071294B">
        <w:rPr>
          <w:rFonts w:ascii="Times New Roman" w:hAnsi="Times New Roman" w:cs="Times New Roman"/>
          <w:sz w:val="20"/>
          <w:szCs w:val="20"/>
          <w:lang w:val="en-GB"/>
        </w:rPr>
        <w:t xml:space="preserve"> </w:t>
      </w:r>
    </w:p>
    <w:p w14:paraId="506EFE3C" w14:textId="77777777" w:rsidR="00976D2D" w:rsidRPr="0071294B" w:rsidRDefault="00976D2D" w:rsidP="00976D2D">
      <w:pPr>
        <w:jc w:val="both"/>
        <w:rPr>
          <w:rFonts w:ascii="Times New Roman" w:hAnsi="Times New Roman" w:cs="Times New Roman"/>
          <w:sz w:val="20"/>
          <w:szCs w:val="20"/>
          <w:lang w:val="en-GB"/>
        </w:rPr>
      </w:pPr>
      <w:r w:rsidRPr="0071294B">
        <w:rPr>
          <w:rFonts w:ascii="Times New Roman" w:hAnsi="Times New Roman" w:cs="Times New Roman"/>
          <w:sz w:val="20"/>
          <w:szCs w:val="20"/>
          <w:lang w:val="en-GB"/>
        </w:rPr>
        <w:t xml:space="preserve">TZDs: Thiazolidinediones; ROS: Reactive oxygen species; PGZ: Pioglitazone; ROSI: Rosiglitazone; ns: Non-significance </w:t>
      </w:r>
    </w:p>
    <w:p w14:paraId="5F9FB5E4" w14:textId="77777777" w:rsidR="00992C65" w:rsidRPr="0071294B" w:rsidRDefault="00992C65" w:rsidP="00046CCE">
      <w:pPr>
        <w:rPr>
          <w:sz w:val="21"/>
          <w:szCs w:val="21"/>
        </w:rPr>
      </w:pPr>
    </w:p>
    <w:p w14:paraId="7EF595FC" w14:textId="77777777" w:rsidR="00992C65" w:rsidRPr="0071294B" w:rsidRDefault="00992C65" w:rsidP="00046CCE">
      <w:pPr>
        <w:rPr>
          <w:sz w:val="21"/>
          <w:szCs w:val="21"/>
        </w:rPr>
      </w:pPr>
    </w:p>
    <w:p w14:paraId="3067B404" w14:textId="77777777" w:rsidR="00992C65" w:rsidRDefault="00992C65" w:rsidP="00046CCE"/>
    <w:p w14:paraId="48BF680D" w14:textId="77777777" w:rsidR="00992C65" w:rsidRDefault="00992C65" w:rsidP="00046CCE"/>
    <w:p w14:paraId="27F508D2" w14:textId="77777777" w:rsidR="00992C65" w:rsidRDefault="00992C65" w:rsidP="00046CCE"/>
    <w:p w14:paraId="4CC5541C" w14:textId="77777777" w:rsidR="00992C65" w:rsidRDefault="00992C65" w:rsidP="00046CCE"/>
    <w:p w14:paraId="1844A86C" w14:textId="77777777" w:rsidR="00992C65" w:rsidRDefault="00992C65" w:rsidP="00046CCE"/>
    <w:p w14:paraId="55F3C4D6" w14:textId="77777777" w:rsidR="00992C65" w:rsidRDefault="00992C65" w:rsidP="00046CCE"/>
    <w:p w14:paraId="58CDC200" w14:textId="77777777" w:rsidR="00992C65" w:rsidRDefault="00992C65" w:rsidP="00046CCE"/>
    <w:p w14:paraId="3B363E57" w14:textId="77777777" w:rsidR="00992C65" w:rsidRDefault="00992C65" w:rsidP="00046CCE"/>
    <w:p w14:paraId="171E05E2" w14:textId="77777777" w:rsidR="00992C65" w:rsidRDefault="00992C65" w:rsidP="00046CCE"/>
    <w:p w14:paraId="6EDF648F" w14:textId="77777777" w:rsidR="00992C65" w:rsidRDefault="00992C65" w:rsidP="00046CCE"/>
    <w:p w14:paraId="24AFD721" w14:textId="77777777" w:rsidR="00992C65" w:rsidRDefault="00992C65" w:rsidP="00046CCE"/>
    <w:p w14:paraId="1BE3D7F6" w14:textId="77777777" w:rsidR="00992C65" w:rsidRDefault="00992C65" w:rsidP="00046CCE"/>
    <w:p w14:paraId="5C24AF87" w14:textId="77777777" w:rsidR="00992C65" w:rsidRDefault="00992C65" w:rsidP="00046CCE"/>
    <w:p w14:paraId="5FF46635" w14:textId="77777777" w:rsidR="00992C65" w:rsidRDefault="00992C65" w:rsidP="00046CCE"/>
    <w:p w14:paraId="6D2AE340" w14:textId="77777777" w:rsidR="00992C65" w:rsidRDefault="00992C65" w:rsidP="00046CCE"/>
    <w:p w14:paraId="0A36E782" w14:textId="77777777" w:rsidR="00992C65" w:rsidRDefault="00992C65" w:rsidP="00046CCE"/>
    <w:p w14:paraId="251BEB80" w14:textId="77777777" w:rsidR="00992C65" w:rsidRDefault="00992C65" w:rsidP="00046CCE"/>
    <w:p w14:paraId="7F2DF09E" w14:textId="77777777" w:rsidR="00046CCE" w:rsidRDefault="00046CCE" w:rsidP="00046CCE"/>
    <w:p w14:paraId="3BB44DBB" w14:textId="3AA48727" w:rsidR="00046CCE" w:rsidRPr="0071294B" w:rsidRDefault="00046CCE" w:rsidP="00046CCE">
      <w:pPr>
        <w:pStyle w:val="Heading1"/>
        <w:rPr>
          <w:sz w:val="20"/>
          <w:szCs w:val="28"/>
        </w:rPr>
      </w:pPr>
      <w:r w:rsidRPr="0071294B">
        <w:rPr>
          <w:sz w:val="20"/>
          <w:szCs w:val="28"/>
        </w:rPr>
        <w:lastRenderedPageBreak/>
        <w:t xml:space="preserve">Supplementary Tables </w:t>
      </w:r>
    </w:p>
    <w:p w14:paraId="09F0922A" w14:textId="77777777" w:rsidR="00992C65" w:rsidRPr="0071294B" w:rsidRDefault="00992C65" w:rsidP="00992C65">
      <w:pPr>
        <w:jc w:val="both"/>
        <w:rPr>
          <w:rFonts w:ascii="Times New Roman" w:hAnsi="Times New Roman" w:cs="Times New Roman"/>
          <w:sz w:val="20"/>
          <w:szCs w:val="20"/>
          <w:lang w:val="en-GB"/>
        </w:rPr>
      </w:pPr>
      <w:r w:rsidRPr="0071294B">
        <w:rPr>
          <w:rFonts w:ascii="Times New Roman" w:hAnsi="Times New Roman" w:cs="Times New Roman"/>
          <w:b/>
          <w:bCs/>
          <w:sz w:val="20"/>
          <w:szCs w:val="20"/>
          <w:lang w:val="en-GB"/>
        </w:rPr>
        <w:t>Table S1. List of signature proteins identified by the DIABLO model in the PGZ study.</w:t>
      </w:r>
    </w:p>
    <w:p w14:paraId="1CC85C85" w14:textId="77777777" w:rsidR="00E74CF4" w:rsidRPr="0071294B" w:rsidRDefault="00E74CF4" w:rsidP="00E74CF4">
      <w:pPr>
        <w:jc w:val="both"/>
        <w:rPr>
          <w:rFonts w:ascii="Times New Roman" w:hAnsi="Times New Roman" w:cs="Times New Roman"/>
          <w:b/>
          <w:bCs/>
          <w:sz w:val="20"/>
          <w:szCs w:val="20"/>
        </w:rPr>
      </w:pPr>
    </w:p>
    <w:tbl>
      <w:tblPr>
        <w:tblStyle w:val="TableGrid"/>
        <w:tblW w:w="933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9"/>
        <w:gridCol w:w="5648"/>
        <w:gridCol w:w="1474"/>
        <w:gridCol w:w="1120"/>
      </w:tblGrid>
      <w:tr w:rsidR="00E74CF4" w:rsidRPr="0071294B" w14:paraId="7A165C53" w14:textId="77777777" w:rsidTr="009C7DC6">
        <w:trPr>
          <w:trHeight w:val="495"/>
        </w:trPr>
        <w:tc>
          <w:tcPr>
            <w:tcW w:w="1089" w:type="dxa"/>
            <w:tcBorders>
              <w:bottom w:val="single" w:sz="4" w:space="0" w:color="auto"/>
            </w:tcBorders>
            <w:noWrap/>
            <w:vAlign w:val="center"/>
            <w:hideMark/>
          </w:tcPr>
          <w:p w14:paraId="4D922997" w14:textId="77777777" w:rsidR="00E74CF4" w:rsidRPr="0071294B" w:rsidRDefault="00E74CF4" w:rsidP="009C7DC6">
            <w:pPr>
              <w:jc w:val="center"/>
              <w:rPr>
                <w:rFonts w:ascii="Times New Roman" w:hAnsi="Times New Roman" w:cs="Times New Roman"/>
                <w:b/>
                <w:bCs/>
                <w:color w:val="000000" w:themeColor="text1"/>
                <w:sz w:val="20"/>
                <w:szCs w:val="20"/>
              </w:rPr>
            </w:pPr>
            <w:r w:rsidRPr="0071294B">
              <w:rPr>
                <w:rFonts w:ascii="Times New Roman" w:hAnsi="Times New Roman" w:cs="Times New Roman"/>
                <w:b/>
                <w:bCs/>
                <w:color w:val="000000" w:themeColor="text1"/>
                <w:sz w:val="20"/>
                <w:szCs w:val="20"/>
              </w:rPr>
              <w:t>Accession</w:t>
            </w:r>
          </w:p>
        </w:tc>
        <w:tc>
          <w:tcPr>
            <w:tcW w:w="5648" w:type="dxa"/>
            <w:tcBorders>
              <w:bottom w:val="single" w:sz="4" w:space="0" w:color="auto"/>
            </w:tcBorders>
            <w:noWrap/>
            <w:vAlign w:val="center"/>
            <w:hideMark/>
          </w:tcPr>
          <w:p w14:paraId="7B52666F" w14:textId="48F94C61" w:rsidR="00E74CF4" w:rsidRPr="0071294B" w:rsidRDefault="00E74CF4" w:rsidP="009C7DC6">
            <w:pPr>
              <w:jc w:val="center"/>
              <w:rPr>
                <w:rFonts w:ascii="Times New Roman" w:hAnsi="Times New Roman" w:cs="Times New Roman"/>
                <w:b/>
                <w:bCs/>
                <w:color w:val="000000" w:themeColor="text1"/>
                <w:sz w:val="20"/>
                <w:szCs w:val="20"/>
              </w:rPr>
            </w:pPr>
            <w:r w:rsidRPr="0071294B">
              <w:rPr>
                <w:rFonts w:ascii="Times New Roman" w:hAnsi="Times New Roman" w:cs="Times New Roman"/>
                <w:b/>
                <w:bCs/>
                <w:color w:val="000000" w:themeColor="text1"/>
                <w:sz w:val="20"/>
                <w:szCs w:val="20"/>
              </w:rPr>
              <w:t xml:space="preserve">Protein </w:t>
            </w:r>
            <w:r w:rsidR="00AB5D29" w:rsidRPr="0071294B">
              <w:rPr>
                <w:rFonts w:ascii="Times New Roman" w:hAnsi="Times New Roman" w:cs="Times New Roman"/>
                <w:b/>
                <w:bCs/>
                <w:color w:val="000000" w:themeColor="text1"/>
                <w:sz w:val="20"/>
                <w:szCs w:val="20"/>
              </w:rPr>
              <w:t>Name</w:t>
            </w:r>
          </w:p>
        </w:tc>
        <w:tc>
          <w:tcPr>
            <w:tcW w:w="1474" w:type="dxa"/>
            <w:tcBorders>
              <w:bottom w:val="single" w:sz="4" w:space="0" w:color="auto"/>
            </w:tcBorders>
            <w:noWrap/>
            <w:vAlign w:val="center"/>
            <w:hideMark/>
          </w:tcPr>
          <w:p w14:paraId="2330B5B3" w14:textId="77777777" w:rsidR="00E74CF4" w:rsidRPr="0071294B" w:rsidRDefault="00E74CF4" w:rsidP="009C7DC6">
            <w:pPr>
              <w:jc w:val="center"/>
              <w:rPr>
                <w:rFonts w:ascii="Times New Roman" w:hAnsi="Times New Roman" w:cs="Times New Roman"/>
                <w:b/>
                <w:bCs/>
                <w:color w:val="000000" w:themeColor="text1"/>
                <w:sz w:val="20"/>
                <w:szCs w:val="20"/>
              </w:rPr>
            </w:pPr>
            <w:r w:rsidRPr="0071294B">
              <w:rPr>
                <w:rFonts w:ascii="Times New Roman" w:hAnsi="Times New Roman" w:cs="Times New Roman"/>
                <w:b/>
                <w:bCs/>
                <w:color w:val="000000" w:themeColor="text1"/>
                <w:sz w:val="20"/>
                <w:szCs w:val="20"/>
              </w:rPr>
              <w:t>Gene Symbol</w:t>
            </w:r>
          </w:p>
        </w:tc>
        <w:tc>
          <w:tcPr>
            <w:tcW w:w="1120" w:type="dxa"/>
            <w:tcBorders>
              <w:bottom w:val="single" w:sz="4" w:space="0" w:color="auto"/>
            </w:tcBorders>
            <w:noWrap/>
            <w:vAlign w:val="center"/>
            <w:hideMark/>
          </w:tcPr>
          <w:p w14:paraId="1EB753CB" w14:textId="77777777" w:rsidR="00E74CF4" w:rsidRPr="0071294B" w:rsidRDefault="00E74CF4" w:rsidP="009C7DC6">
            <w:pPr>
              <w:jc w:val="center"/>
              <w:rPr>
                <w:rFonts w:ascii="Times New Roman" w:hAnsi="Times New Roman" w:cs="Times New Roman"/>
                <w:b/>
                <w:bCs/>
                <w:color w:val="000000" w:themeColor="text1"/>
                <w:sz w:val="20"/>
                <w:szCs w:val="20"/>
              </w:rPr>
            </w:pPr>
            <w:r w:rsidRPr="0071294B">
              <w:rPr>
                <w:rFonts w:ascii="Times New Roman" w:hAnsi="Times New Roman" w:cs="Times New Roman"/>
                <w:b/>
                <w:bCs/>
                <w:i/>
                <w:iCs/>
                <w:color w:val="000000" w:themeColor="text1"/>
                <w:sz w:val="20"/>
                <w:szCs w:val="20"/>
              </w:rPr>
              <w:t>p</w:t>
            </w:r>
            <w:r w:rsidRPr="0071294B">
              <w:rPr>
                <w:rFonts w:ascii="Times New Roman" w:hAnsi="Times New Roman" w:cs="Times New Roman"/>
                <w:b/>
                <w:bCs/>
                <w:color w:val="000000" w:themeColor="text1"/>
                <w:sz w:val="20"/>
                <w:szCs w:val="20"/>
              </w:rPr>
              <w:t>-value</w:t>
            </w:r>
          </w:p>
        </w:tc>
      </w:tr>
      <w:tr w:rsidR="00E74CF4" w:rsidRPr="0071294B" w14:paraId="646E3D73" w14:textId="77777777" w:rsidTr="009C7DC6">
        <w:trPr>
          <w:trHeight w:val="376"/>
        </w:trPr>
        <w:tc>
          <w:tcPr>
            <w:tcW w:w="1089" w:type="dxa"/>
            <w:tcBorders>
              <w:top w:val="single" w:sz="4" w:space="0" w:color="auto"/>
            </w:tcBorders>
            <w:noWrap/>
            <w:vAlign w:val="center"/>
            <w:hideMark/>
          </w:tcPr>
          <w:p w14:paraId="46E0C43A"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Q56UQ5</w:t>
            </w:r>
          </w:p>
        </w:tc>
        <w:tc>
          <w:tcPr>
            <w:tcW w:w="5648" w:type="dxa"/>
            <w:tcBorders>
              <w:top w:val="single" w:sz="4" w:space="0" w:color="auto"/>
            </w:tcBorders>
            <w:noWrap/>
            <w:vAlign w:val="center"/>
            <w:hideMark/>
          </w:tcPr>
          <w:p w14:paraId="37D4CA73"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TPT1-like protein</w:t>
            </w:r>
          </w:p>
        </w:tc>
        <w:tc>
          <w:tcPr>
            <w:tcW w:w="1474" w:type="dxa"/>
            <w:tcBorders>
              <w:top w:val="single" w:sz="4" w:space="0" w:color="auto"/>
            </w:tcBorders>
            <w:noWrap/>
            <w:vAlign w:val="center"/>
            <w:hideMark/>
          </w:tcPr>
          <w:p w14:paraId="79676E66" w14:textId="12D3AAC2" w:rsidR="00E74CF4" w:rsidRPr="0071294B" w:rsidRDefault="007B5B57"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TPT1</w:t>
            </w:r>
          </w:p>
        </w:tc>
        <w:tc>
          <w:tcPr>
            <w:tcW w:w="1120" w:type="dxa"/>
            <w:tcBorders>
              <w:top w:val="single" w:sz="4" w:space="0" w:color="auto"/>
            </w:tcBorders>
            <w:noWrap/>
            <w:vAlign w:val="center"/>
            <w:hideMark/>
          </w:tcPr>
          <w:p w14:paraId="100329FB"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3E-10</w:t>
            </w:r>
          </w:p>
        </w:tc>
      </w:tr>
      <w:tr w:rsidR="00E74CF4" w:rsidRPr="0071294B" w14:paraId="007B56A0" w14:textId="77777777" w:rsidTr="009C7DC6">
        <w:trPr>
          <w:trHeight w:val="376"/>
        </w:trPr>
        <w:tc>
          <w:tcPr>
            <w:tcW w:w="1089" w:type="dxa"/>
            <w:noWrap/>
            <w:vAlign w:val="center"/>
            <w:hideMark/>
          </w:tcPr>
          <w:p w14:paraId="7438589D"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Q16795</w:t>
            </w:r>
          </w:p>
        </w:tc>
        <w:tc>
          <w:tcPr>
            <w:tcW w:w="5648" w:type="dxa"/>
            <w:noWrap/>
            <w:vAlign w:val="center"/>
            <w:hideMark/>
          </w:tcPr>
          <w:p w14:paraId="30AC7832"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NADH dehydrogenase [ubiquinone] 1 alpha subcomplex subunit 9, mitochondrial</w:t>
            </w:r>
          </w:p>
        </w:tc>
        <w:tc>
          <w:tcPr>
            <w:tcW w:w="1474" w:type="dxa"/>
            <w:noWrap/>
            <w:vAlign w:val="center"/>
            <w:hideMark/>
          </w:tcPr>
          <w:p w14:paraId="638BE510"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NDUFA9</w:t>
            </w:r>
          </w:p>
        </w:tc>
        <w:tc>
          <w:tcPr>
            <w:tcW w:w="1120" w:type="dxa"/>
            <w:noWrap/>
            <w:vAlign w:val="center"/>
            <w:hideMark/>
          </w:tcPr>
          <w:p w14:paraId="08DF7AEC"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3E-09</w:t>
            </w:r>
          </w:p>
        </w:tc>
      </w:tr>
      <w:tr w:rsidR="00E74CF4" w:rsidRPr="0071294B" w14:paraId="2D430BF8" w14:textId="77777777" w:rsidTr="009C7DC6">
        <w:trPr>
          <w:trHeight w:val="376"/>
        </w:trPr>
        <w:tc>
          <w:tcPr>
            <w:tcW w:w="1089" w:type="dxa"/>
            <w:noWrap/>
            <w:vAlign w:val="center"/>
            <w:hideMark/>
          </w:tcPr>
          <w:p w14:paraId="16B6F605"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Q5TEC6</w:t>
            </w:r>
          </w:p>
        </w:tc>
        <w:tc>
          <w:tcPr>
            <w:tcW w:w="5648" w:type="dxa"/>
            <w:noWrap/>
            <w:vAlign w:val="center"/>
            <w:hideMark/>
          </w:tcPr>
          <w:p w14:paraId="0408D2A5"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Histone H3-7</w:t>
            </w:r>
          </w:p>
        </w:tc>
        <w:tc>
          <w:tcPr>
            <w:tcW w:w="1474" w:type="dxa"/>
            <w:noWrap/>
            <w:vAlign w:val="center"/>
            <w:hideMark/>
          </w:tcPr>
          <w:p w14:paraId="6185C517"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H3-7</w:t>
            </w:r>
          </w:p>
        </w:tc>
        <w:tc>
          <w:tcPr>
            <w:tcW w:w="1120" w:type="dxa"/>
            <w:noWrap/>
            <w:vAlign w:val="center"/>
            <w:hideMark/>
          </w:tcPr>
          <w:p w14:paraId="63E6EDF0"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8E-08</w:t>
            </w:r>
          </w:p>
        </w:tc>
      </w:tr>
      <w:tr w:rsidR="00E74CF4" w:rsidRPr="0071294B" w14:paraId="5F0A0D45" w14:textId="77777777" w:rsidTr="009C7DC6">
        <w:trPr>
          <w:trHeight w:val="376"/>
        </w:trPr>
        <w:tc>
          <w:tcPr>
            <w:tcW w:w="1089" w:type="dxa"/>
            <w:noWrap/>
            <w:vAlign w:val="center"/>
            <w:hideMark/>
          </w:tcPr>
          <w:p w14:paraId="002F05A2"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O75083</w:t>
            </w:r>
          </w:p>
        </w:tc>
        <w:tc>
          <w:tcPr>
            <w:tcW w:w="5648" w:type="dxa"/>
            <w:noWrap/>
            <w:vAlign w:val="center"/>
            <w:hideMark/>
          </w:tcPr>
          <w:p w14:paraId="26F7D7D8"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WD repeat-containing protein 1</w:t>
            </w:r>
          </w:p>
        </w:tc>
        <w:tc>
          <w:tcPr>
            <w:tcW w:w="1474" w:type="dxa"/>
            <w:noWrap/>
            <w:vAlign w:val="center"/>
            <w:hideMark/>
          </w:tcPr>
          <w:p w14:paraId="0D203198"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WDR1</w:t>
            </w:r>
          </w:p>
        </w:tc>
        <w:tc>
          <w:tcPr>
            <w:tcW w:w="1120" w:type="dxa"/>
            <w:noWrap/>
            <w:vAlign w:val="center"/>
            <w:hideMark/>
          </w:tcPr>
          <w:p w14:paraId="271B57F5"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1E-06</w:t>
            </w:r>
          </w:p>
        </w:tc>
      </w:tr>
      <w:tr w:rsidR="00E74CF4" w:rsidRPr="0071294B" w14:paraId="13CE8A26" w14:textId="77777777" w:rsidTr="009C7DC6">
        <w:trPr>
          <w:trHeight w:val="376"/>
        </w:trPr>
        <w:tc>
          <w:tcPr>
            <w:tcW w:w="1089" w:type="dxa"/>
            <w:noWrap/>
            <w:vAlign w:val="center"/>
            <w:hideMark/>
          </w:tcPr>
          <w:p w14:paraId="1FAC03E8"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P62280</w:t>
            </w:r>
          </w:p>
        </w:tc>
        <w:tc>
          <w:tcPr>
            <w:tcW w:w="5648" w:type="dxa"/>
            <w:noWrap/>
            <w:vAlign w:val="center"/>
            <w:hideMark/>
          </w:tcPr>
          <w:p w14:paraId="251EAE14"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Small ribosomal subunit protein uS17</w:t>
            </w:r>
          </w:p>
        </w:tc>
        <w:tc>
          <w:tcPr>
            <w:tcW w:w="1474" w:type="dxa"/>
            <w:noWrap/>
            <w:vAlign w:val="center"/>
            <w:hideMark/>
          </w:tcPr>
          <w:p w14:paraId="25090418"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RPS11</w:t>
            </w:r>
          </w:p>
        </w:tc>
        <w:tc>
          <w:tcPr>
            <w:tcW w:w="1120" w:type="dxa"/>
            <w:noWrap/>
            <w:vAlign w:val="center"/>
            <w:hideMark/>
          </w:tcPr>
          <w:p w14:paraId="65EEC37D"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4E-01</w:t>
            </w:r>
          </w:p>
        </w:tc>
      </w:tr>
      <w:tr w:rsidR="00E74CF4" w:rsidRPr="0071294B" w14:paraId="75D773EC" w14:textId="77777777" w:rsidTr="009C7DC6">
        <w:trPr>
          <w:trHeight w:val="376"/>
        </w:trPr>
        <w:tc>
          <w:tcPr>
            <w:tcW w:w="1089" w:type="dxa"/>
            <w:noWrap/>
            <w:vAlign w:val="center"/>
            <w:hideMark/>
          </w:tcPr>
          <w:p w14:paraId="75969151"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Q01995</w:t>
            </w:r>
          </w:p>
        </w:tc>
        <w:tc>
          <w:tcPr>
            <w:tcW w:w="5648" w:type="dxa"/>
            <w:noWrap/>
            <w:vAlign w:val="center"/>
            <w:hideMark/>
          </w:tcPr>
          <w:p w14:paraId="2C51D580" w14:textId="77777777" w:rsidR="00E74CF4" w:rsidRPr="0071294B" w:rsidRDefault="00E74CF4" w:rsidP="009C7DC6">
            <w:pPr>
              <w:jc w:val="center"/>
              <w:rPr>
                <w:rFonts w:ascii="Times New Roman" w:hAnsi="Times New Roman" w:cs="Times New Roman"/>
                <w:color w:val="000000" w:themeColor="text1"/>
                <w:sz w:val="20"/>
                <w:szCs w:val="20"/>
              </w:rPr>
            </w:pPr>
            <w:proofErr w:type="spellStart"/>
            <w:r w:rsidRPr="0071294B">
              <w:rPr>
                <w:rFonts w:ascii="Times New Roman" w:hAnsi="Times New Roman" w:cs="Times New Roman"/>
                <w:color w:val="000000" w:themeColor="text1"/>
                <w:sz w:val="20"/>
                <w:szCs w:val="20"/>
              </w:rPr>
              <w:t>Transgelin</w:t>
            </w:r>
            <w:proofErr w:type="spellEnd"/>
          </w:p>
        </w:tc>
        <w:tc>
          <w:tcPr>
            <w:tcW w:w="1474" w:type="dxa"/>
            <w:noWrap/>
            <w:vAlign w:val="center"/>
            <w:hideMark/>
          </w:tcPr>
          <w:p w14:paraId="5A7859C1"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TAGLN</w:t>
            </w:r>
          </w:p>
        </w:tc>
        <w:tc>
          <w:tcPr>
            <w:tcW w:w="1120" w:type="dxa"/>
            <w:noWrap/>
            <w:vAlign w:val="center"/>
            <w:hideMark/>
          </w:tcPr>
          <w:p w14:paraId="56181B2D"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5E-07</w:t>
            </w:r>
          </w:p>
        </w:tc>
      </w:tr>
      <w:tr w:rsidR="00E74CF4" w:rsidRPr="0071294B" w14:paraId="0C162A8A" w14:textId="77777777" w:rsidTr="009C7DC6">
        <w:trPr>
          <w:trHeight w:val="376"/>
        </w:trPr>
        <w:tc>
          <w:tcPr>
            <w:tcW w:w="1089" w:type="dxa"/>
            <w:noWrap/>
            <w:vAlign w:val="center"/>
            <w:hideMark/>
          </w:tcPr>
          <w:p w14:paraId="6587181F"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P49327</w:t>
            </w:r>
          </w:p>
        </w:tc>
        <w:tc>
          <w:tcPr>
            <w:tcW w:w="5648" w:type="dxa"/>
            <w:noWrap/>
            <w:vAlign w:val="center"/>
            <w:hideMark/>
          </w:tcPr>
          <w:p w14:paraId="0AB552FA"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Fatty acid synthase</w:t>
            </w:r>
          </w:p>
        </w:tc>
        <w:tc>
          <w:tcPr>
            <w:tcW w:w="1474" w:type="dxa"/>
            <w:noWrap/>
            <w:vAlign w:val="center"/>
            <w:hideMark/>
          </w:tcPr>
          <w:p w14:paraId="693D0201"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FASN</w:t>
            </w:r>
          </w:p>
        </w:tc>
        <w:tc>
          <w:tcPr>
            <w:tcW w:w="1120" w:type="dxa"/>
            <w:noWrap/>
            <w:vAlign w:val="center"/>
            <w:hideMark/>
          </w:tcPr>
          <w:p w14:paraId="6482E19D"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4E-01</w:t>
            </w:r>
          </w:p>
        </w:tc>
      </w:tr>
      <w:tr w:rsidR="00E74CF4" w:rsidRPr="0071294B" w14:paraId="45884891" w14:textId="77777777" w:rsidTr="009C7DC6">
        <w:trPr>
          <w:trHeight w:val="376"/>
        </w:trPr>
        <w:tc>
          <w:tcPr>
            <w:tcW w:w="1089" w:type="dxa"/>
            <w:noWrap/>
            <w:vAlign w:val="center"/>
            <w:hideMark/>
          </w:tcPr>
          <w:p w14:paraId="496AB631"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Q07955</w:t>
            </w:r>
          </w:p>
        </w:tc>
        <w:tc>
          <w:tcPr>
            <w:tcW w:w="5648" w:type="dxa"/>
            <w:noWrap/>
            <w:vAlign w:val="center"/>
            <w:hideMark/>
          </w:tcPr>
          <w:p w14:paraId="1DDC4946"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Serine/arginine-rich splicing factor 1</w:t>
            </w:r>
          </w:p>
        </w:tc>
        <w:tc>
          <w:tcPr>
            <w:tcW w:w="1474" w:type="dxa"/>
            <w:noWrap/>
            <w:vAlign w:val="center"/>
            <w:hideMark/>
          </w:tcPr>
          <w:p w14:paraId="26F3C33F"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SRSF1</w:t>
            </w:r>
          </w:p>
        </w:tc>
        <w:tc>
          <w:tcPr>
            <w:tcW w:w="1120" w:type="dxa"/>
            <w:noWrap/>
            <w:vAlign w:val="center"/>
            <w:hideMark/>
          </w:tcPr>
          <w:p w14:paraId="7095FFEE"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2E-01</w:t>
            </w:r>
          </w:p>
        </w:tc>
      </w:tr>
      <w:tr w:rsidR="00E74CF4" w:rsidRPr="0071294B" w14:paraId="1497C51F" w14:textId="77777777" w:rsidTr="009C7DC6">
        <w:trPr>
          <w:trHeight w:val="376"/>
        </w:trPr>
        <w:tc>
          <w:tcPr>
            <w:tcW w:w="1089" w:type="dxa"/>
            <w:noWrap/>
            <w:vAlign w:val="center"/>
            <w:hideMark/>
          </w:tcPr>
          <w:p w14:paraId="1854CD4D"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P31942</w:t>
            </w:r>
          </w:p>
        </w:tc>
        <w:tc>
          <w:tcPr>
            <w:tcW w:w="5648" w:type="dxa"/>
            <w:noWrap/>
            <w:vAlign w:val="center"/>
            <w:hideMark/>
          </w:tcPr>
          <w:p w14:paraId="0854C8A9"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Heterogeneous nuclear ribonucleoprotein H3</w:t>
            </w:r>
          </w:p>
        </w:tc>
        <w:tc>
          <w:tcPr>
            <w:tcW w:w="1474" w:type="dxa"/>
            <w:noWrap/>
            <w:vAlign w:val="center"/>
            <w:hideMark/>
          </w:tcPr>
          <w:p w14:paraId="37A2AC06"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HNRNPH3</w:t>
            </w:r>
          </w:p>
        </w:tc>
        <w:tc>
          <w:tcPr>
            <w:tcW w:w="1120" w:type="dxa"/>
            <w:noWrap/>
            <w:vAlign w:val="center"/>
            <w:hideMark/>
          </w:tcPr>
          <w:p w14:paraId="76AE3798"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3E-02</w:t>
            </w:r>
          </w:p>
        </w:tc>
      </w:tr>
      <w:tr w:rsidR="00E74CF4" w:rsidRPr="0071294B" w14:paraId="270C82FE" w14:textId="77777777" w:rsidTr="009C7DC6">
        <w:trPr>
          <w:trHeight w:val="376"/>
        </w:trPr>
        <w:tc>
          <w:tcPr>
            <w:tcW w:w="1089" w:type="dxa"/>
            <w:noWrap/>
            <w:vAlign w:val="center"/>
            <w:hideMark/>
          </w:tcPr>
          <w:p w14:paraId="1D71F654"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P52209</w:t>
            </w:r>
          </w:p>
        </w:tc>
        <w:tc>
          <w:tcPr>
            <w:tcW w:w="5648" w:type="dxa"/>
            <w:noWrap/>
            <w:vAlign w:val="center"/>
            <w:hideMark/>
          </w:tcPr>
          <w:p w14:paraId="3803B39B"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6-phosphogluconate dehydrogenase, decarboxylating</w:t>
            </w:r>
          </w:p>
        </w:tc>
        <w:tc>
          <w:tcPr>
            <w:tcW w:w="1474" w:type="dxa"/>
            <w:noWrap/>
            <w:vAlign w:val="center"/>
            <w:hideMark/>
          </w:tcPr>
          <w:p w14:paraId="010E18E7"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PGD</w:t>
            </w:r>
          </w:p>
        </w:tc>
        <w:tc>
          <w:tcPr>
            <w:tcW w:w="1120" w:type="dxa"/>
            <w:noWrap/>
            <w:vAlign w:val="center"/>
            <w:hideMark/>
          </w:tcPr>
          <w:p w14:paraId="14DE165C"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3E-01</w:t>
            </w:r>
          </w:p>
        </w:tc>
      </w:tr>
    </w:tbl>
    <w:p w14:paraId="260A18C3" w14:textId="77777777" w:rsidR="00E74CF4" w:rsidRPr="00E74CF4" w:rsidRDefault="00E74CF4" w:rsidP="00E74CF4">
      <w:pPr>
        <w:jc w:val="both"/>
        <w:rPr>
          <w:rFonts w:ascii="Times New Roman" w:hAnsi="Times New Roman" w:cs="Times New Roman"/>
          <w:b/>
          <w:bCs/>
          <w:sz w:val="20"/>
          <w:szCs w:val="20"/>
        </w:rPr>
      </w:pPr>
    </w:p>
    <w:p w14:paraId="6C64C1CC" w14:textId="77777777" w:rsidR="00E74CF4" w:rsidRPr="00E74CF4" w:rsidRDefault="00E74CF4" w:rsidP="00E74CF4">
      <w:pPr>
        <w:jc w:val="both"/>
        <w:rPr>
          <w:rFonts w:ascii="Times New Roman" w:hAnsi="Times New Roman" w:cs="Times New Roman"/>
          <w:b/>
          <w:bCs/>
          <w:sz w:val="20"/>
          <w:szCs w:val="20"/>
        </w:rPr>
      </w:pPr>
    </w:p>
    <w:p w14:paraId="706BA635" w14:textId="77777777" w:rsidR="00E74CF4" w:rsidRPr="00E74CF4" w:rsidRDefault="00E74CF4" w:rsidP="00E74CF4">
      <w:pPr>
        <w:jc w:val="both"/>
        <w:rPr>
          <w:rFonts w:ascii="Times New Roman" w:hAnsi="Times New Roman" w:cs="Times New Roman"/>
          <w:b/>
          <w:bCs/>
          <w:sz w:val="20"/>
          <w:szCs w:val="20"/>
        </w:rPr>
      </w:pPr>
    </w:p>
    <w:p w14:paraId="6CD4217C" w14:textId="77777777" w:rsidR="00E74CF4" w:rsidRPr="00E74CF4" w:rsidRDefault="00E74CF4" w:rsidP="00E74CF4">
      <w:pPr>
        <w:jc w:val="both"/>
        <w:rPr>
          <w:rFonts w:ascii="Times New Roman" w:hAnsi="Times New Roman" w:cs="Times New Roman"/>
          <w:b/>
          <w:bCs/>
          <w:sz w:val="20"/>
          <w:szCs w:val="20"/>
        </w:rPr>
      </w:pPr>
    </w:p>
    <w:p w14:paraId="211570FC" w14:textId="77777777" w:rsidR="00E74CF4" w:rsidRPr="00E74CF4" w:rsidRDefault="00E74CF4" w:rsidP="00E74CF4">
      <w:pPr>
        <w:jc w:val="both"/>
        <w:rPr>
          <w:rFonts w:ascii="Times New Roman" w:hAnsi="Times New Roman" w:cs="Times New Roman"/>
          <w:b/>
          <w:bCs/>
          <w:sz w:val="20"/>
          <w:szCs w:val="20"/>
        </w:rPr>
      </w:pPr>
    </w:p>
    <w:p w14:paraId="4E9C2C6B" w14:textId="77777777" w:rsidR="00E74CF4" w:rsidRPr="00E74CF4" w:rsidRDefault="00E74CF4" w:rsidP="00E74CF4">
      <w:pPr>
        <w:jc w:val="both"/>
        <w:rPr>
          <w:rFonts w:ascii="Times New Roman" w:hAnsi="Times New Roman" w:cs="Times New Roman"/>
          <w:b/>
          <w:bCs/>
          <w:sz w:val="20"/>
          <w:szCs w:val="20"/>
        </w:rPr>
      </w:pPr>
    </w:p>
    <w:p w14:paraId="5860D98A" w14:textId="77777777" w:rsidR="00E74CF4" w:rsidRPr="00E74CF4" w:rsidRDefault="00E74CF4" w:rsidP="00E74CF4">
      <w:pPr>
        <w:jc w:val="both"/>
        <w:rPr>
          <w:rFonts w:ascii="Times New Roman" w:hAnsi="Times New Roman" w:cs="Times New Roman"/>
          <w:b/>
          <w:bCs/>
          <w:sz w:val="20"/>
          <w:szCs w:val="20"/>
        </w:rPr>
      </w:pPr>
    </w:p>
    <w:p w14:paraId="168666B7" w14:textId="77777777" w:rsidR="00E74CF4" w:rsidRPr="00E74CF4" w:rsidRDefault="00E74CF4" w:rsidP="00E74CF4">
      <w:pPr>
        <w:jc w:val="both"/>
        <w:rPr>
          <w:rFonts w:ascii="Times New Roman" w:hAnsi="Times New Roman" w:cs="Times New Roman"/>
          <w:b/>
          <w:bCs/>
          <w:sz w:val="20"/>
          <w:szCs w:val="20"/>
        </w:rPr>
      </w:pPr>
    </w:p>
    <w:p w14:paraId="3D1F3D51" w14:textId="77777777" w:rsidR="00E74CF4" w:rsidRPr="00E74CF4" w:rsidRDefault="00E74CF4" w:rsidP="00E74CF4">
      <w:pPr>
        <w:jc w:val="both"/>
        <w:rPr>
          <w:rFonts w:ascii="Times New Roman" w:hAnsi="Times New Roman" w:cs="Times New Roman"/>
          <w:b/>
          <w:bCs/>
          <w:sz w:val="20"/>
          <w:szCs w:val="20"/>
        </w:rPr>
      </w:pPr>
    </w:p>
    <w:p w14:paraId="396B4ED3" w14:textId="77777777" w:rsidR="00E74CF4" w:rsidRPr="00E74CF4" w:rsidRDefault="00E74CF4" w:rsidP="00E74CF4">
      <w:pPr>
        <w:jc w:val="both"/>
        <w:rPr>
          <w:rFonts w:ascii="Times New Roman" w:hAnsi="Times New Roman" w:cs="Times New Roman"/>
          <w:b/>
          <w:bCs/>
          <w:sz w:val="20"/>
          <w:szCs w:val="20"/>
        </w:rPr>
      </w:pPr>
    </w:p>
    <w:p w14:paraId="64BBC31A" w14:textId="77777777" w:rsidR="00E74CF4" w:rsidRPr="00E74CF4" w:rsidRDefault="00E74CF4" w:rsidP="00E74CF4">
      <w:pPr>
        <w:jc w:val="both"/>
        <w:rPr>
          <w:rFonts w:ascii="Times New Roman" w:hAnsi="Times New Roman" w:cs="Times New Roman"/>
          <w:b/>
          <w:bCs/>
          <w:sz w:val="20"/>
          <w:szCs w:val="20"/>
        </w:rPr>
      </w:pPr>
    </w:p>
    <w:p w14:paraId="12389D1B" w14:textId="77777777" w:rsidR="00E74CF4" w:rsidRPr="00E74CF4" w:rsidRDefault="00E74CF4" w:rsidP="00E74CF4">
      <w:pPr>
        <w:jc w:val="both"/>
        <w:rPr>
          <w:rFonts w:ascii="Times New Roman" w:hAnsi="Times New Roman" w:cs="Times New Roman"/>
          <w:b/>
          <w:bCs/>
          <w:sz w:val="20"/>
          <w:szCs w:val="20"/>
        </w:rPr>
      </w:pPr>
    </w:p>
    <w:p w14:paraId="20EFD46D" w14:textId="77777777" w:rsidR="00E74CF4" w:rsidRPr="00E74CF4" w:rsidRDefault="00E74CF4" w:rsidP="00E74CF4">
      <w:pPr>
        <w:jc w:val="both"/>
        <w:rPr>
          <w:rFonts w:ascii="Times New Roman" w:hAnsi="Times New Roman" w:cs="Times New Roman"/>
          <w:b/>
          <w:bCs/>
          <w:sz w:val="20"/>
          <w:szCs w:val="20"/>
        </w:rPr>
      </w:pPr>
    </w:p>
    <w:p w14:paraId="2BB5153E" w14:textId="77777777" w:rsidR="00E74CF4" w:rsidRPr="00E74CF4" w:rsidRDefault="00E74CF4" w:rsidP="00E74CF4">
      <w:pPr>
        <w:jc w:val="both"/>
        <w:rPr>
          <w:rFonts w:ascii="Times New Roman" w:hAnsi="Times New Roman" w:cs="Times New Roman"/>
          <w:b/>
          <w:bCs/>
          <w:sz w:val="20"/>
          <w:szCs w:val="20"/>
        </w:rPr>
      </w:pPr>
    </w:p>
    <w:p w14:paraId="5CFCB57A" w14:textId="77777777" w:rsidR="00E74CF4" w:rsidRPr="00E74CF4" w:rsidRDefault="00E74CF4" w:rsidP="00E74CF4">
      <w:pPr>
        <w:jc w:val="both"/>
        <w:rPr>
          <w:rFonts w:ascii="Times New Roman" w:hAnsi="Times New Roman" w:cs="Times New Roman"/>
          <w:b/>
          <w:bCs/>
          <w:sz w:val="20"/>
          <w:szCs w:val="20"/>
        </w:rPr>
      </w:pPr>
    </w:p>
    <w:p w14:paraId="65CAEDDF" w14:textId="77777777" w:rsidR="00E74CF4" w:rsidRPr="00E74CF4" w:rsidRDefault="00E74CF4" w:rsidP="00E74CF4">
      <w:pPr>
        <w:jc w:val="both"/>
        <w:rPr>
          <w:rFonts w:ascii="Times New Roman" w:hAnsi="Times New Roman" w:cs="Times New Roman"/>
          <w:b/>
          <w:bCs/>
          <w:sz w:val="20"/>
          <w:szCs w:val="20"/>
        </w:rPr>
      </w:pPr>
    </w:p>
    <w:p w14:paraId="35147B13" w14:textId="77777777" w:rsidR="00E74CF4" w:rsidRPr="00E74CF4" w:rsidRDefault="00E74CF4" w:rsidP="00E74CF4">
      <w:pPr>
        <w:jc w:val="both"/>
        <w:rPr>
          <w:rFonts w:ascii="Times New Roman" w:hAnsi="Times New Roman" w:cs="Times New Roman"/>
          <w:b/>
          <w:bCs/>
          <w:sz w:val="20"/>
          <w:szCs w:val="20"/>
        </w:rPr>
      </w:pPr>
    </w:p>
    <w:p w14:paraId="6DC2536D" w14:textId="77777777" w:rsidR="00E74CF4" w:rsidRPr="00E74CF4" w:rsidRDefault="00E74CF4" w:rsidP="00E74CF4">
      <w:pPr>
        <w:jc w:val="both"/>
        <w:rPr>
          <w:rFonts w:ascii="Times New Roman" w:hAnsi="Times New Roman" w:cs="Times New Roman"/>
          <w:b/>
          <w:bCs/>
          <w:sz w:val="20"/>
          <w:szCs w:val="20"/>
        </w:rPr>
      </w:pPr>
    </w:p>
    <w:p w14:paraId="53078065" w14:textId="77777777" w:rsidR="00E74CF4" w:rsidRPr="00E74CF4" w:rsidRDefault="00E74CF4" w:rsidP="00E74CF4">
      <w:pPr>
        <w:jc w:val="both"/>
        <w:rPr>
          <w:rFonts w:ascii="Times New Roman" w:hAnsi="Times New Roman" w:cs="Times New Roman"/>
          <w:b/>
          <w:bCs/>
          <w:sz w:val="20"/>
          <w:szCs w:val="20"/>
        </w:rPr>
      </w:pPr>
    </w:p>
    <w:p w14:paraId="61D59003" w14:textId="77777777" w:rsidR="00E74CF4" w:rsidRPr="00E74CF4" w:rsidRDefault="00E74CF4" w:rsidP="00E74CF4">
      <w:pPr>
        <w:jc w:val="both"/>
        <w:rPr>
          <w:rFonts w:ascii="Times New Roman" w:hAnsi="Times New Roman" w:cs="Times New Roman"/>
          <w:b/>
          <w:bCs/>
          <w:sz w:val="20"/>
          <w:szCs w:val="20"/>
        </w:rPr>
      </w:pPr>
    </w:p>
    <w:p w14:paraId="59029D74" w14:textId="77777777" w:rsidR="00E74CF4" w:rsidRPr="00E74CF4" w:rsidRDefault="00E74CF4" w:rsidP="00E74CF4">
      <w:pPr>
        <w:jc w:val="both"/>
        <w:rPr>
          <w:rFonts w:ascii="Times New Roman" w:hAnsi="Times New Roman" w:cs="Times New Roman"/>
          <w:b/>
          <w:bCs/>
          <w:sz w:val="20"/>
          <w:szCs w:val="20"/>
        </w:rPr>
      </w:pPr>
    </w:p>
    <w:p w14:paraId="545F473A" w14:textId="77777777" w:rsidR="00E74CF4" w:rsidRPr="00E74CF4" w:rsidRDefault="00E74CF4" w:rsidP="00E74CF4">
      <w:pPr>
        <w:jc w:val="both"/>
        <w:rPr>
          <w:rFonts w:ascii="Times New Roman" w:hAnsi="Times New Roman" w:cs="Times New Roman"/>
          <w:b/>
          <w:bCs/>
          <w:sz w:val="20"/>
          <w:szCs w:val="20"/>
        </w:rPr>
      </w:pPr>
    </w:p>
    <w:p w14:paraId="663C5EF9" w14:textId="77777777" w:rsidR="00E74CF4" w:rsidRDefault="00E74CF4" w:rsidP="00E74CF4">
      <w:pPr>
        <w:jc w:val="both"/>
        <w:rPr>
          <w:rFonts w:ascii="Times New Roman" w:hAnsi="Times New Roman" w:cs="Times New Roman"/>
          <w:b/>
          <w:bCs/>
          <w:sz w:val="20"/>
          <w:szCs w:val="20"/>
        </w:rPr>
      </w:pPr>
    </w:p>
    <w:p w14:paraId="2A89D468" w14:textId="77777777" w:rsidR="00E74CF4" w:rsidRDefault="00E74CF4" w:rsidP="00E74CF4">
      <w:pPr>
        <w:jc w:val="both"/>
        <w:rPr>
          <w:rFonts w:ascii="Times New Roman" w:hAnsi="Times New Roman" w:cs="Times New Roman"/>
          <w:b/>
          <w:bCs/>
          <w:sz w:val="20"/>
          <w:szCs w:val="20"/>
        </w:rPr>
      </w:pPr>
    </w:p>
    <w:p w14:paraId="7FE5357C" w14:textId="77777777" w:rsidR="00E74CF4" w:rsidRDefault="00E74CF4" w:rsidP="00E74CF4">
      <w:pPr>
        <w:jc w:val="both"/>
        <w:rPr>
          <w:rFonts w:ascii="Times New Roman" w:hAnsi="Times New Roman" w:cs="Times New Roman"/>
          <w:b/>
          <w:bCs/>
          <w:sz w:val="20"/>
          <w:szCs w:val="20"/>
        </w:rPr>
      </w:pPr>
    </w:p>
    <w:p w14:paraId="50F0C796" w14:textId="77777777" w:rsidR="00E74CF4" w:rsidRDefault="00E74CF4" w:rsidP="00E74CF4">
      <w:pPr>
        <w:jc w:val="both"/>
        <w:rPr>
          <w:rFonts w:ascii="Times New Roman" w:hAnsi="Times New Roman" w:cs="Times New Roman"/>
          <w:b/>
          <w:bCs/>
          <w:sz w:val="20"/>
          <w:szCs w:val="20"/>
        </w:rPr>
      </w:pPr>
    </w:p>
    <w:p w14:paraId="7FBFE1A4" w14:textId="77777777" w:rsidR="00E74CF4" w:rsidRDefault="00E74CF4" w:rsidP="00E74CF4">
      <w:pPr>
        <w:jc w:val="both"/>
        <w:rPr>
          <w:rFonts w:ascii="Times New Roman" w:hAnsi="Times New Roman" w:cs="Times New Roman"/>
          <w:b/>
          <w:bCs/>
          <w:sz w:val="20"/>
          <w:szCs w:val="20"/>
        </w:rPr>
      </w:pPr>
    </w:p>
    <w:p w14:paraId="601D4933" w14:textId="77777777" w:rsidR="00E74CF4" w:rsidRDefault="00E74CF4" w:rsidP="00E74CF4">
      <w:pPr>
        <w:jc w:val="both"/>
        <w:rPr>
          <w:rFonts w:ascii="Times New Roman" w:hAnsi="Times New Roman" w:cs="Times New Roman"/>
          <w:b/>
          <w:bCs/>
          <w:sz w:val="20"/>
          <w:szCs w:val="20"/>
        </w:rPr>
      </w:pPr>
    </w:p>
    <w:p w14:paraId="0B1DE810" w14:textId="77777777" w:rsidR="00E74CF4" w:rsidRDefault="00E74CF4" w:rsidP="00E74CF4">
      <w:pPr>
        <w:jc w:val="both"/>
        <w:rPr>
          <w:rFonts w:ascii="Times New Roman" w:hAnsi="Times New Roman" w:cs="Times New Roman"/>
          <w:b/>
          <w:bCs/>
          <w:sz w:val="20"/>
          <w:szCs w:val="20"/>
        </w:rPr>
      </w:pPr>
    </w:p>
    <w:p w14:paraId="1485E020" w14:textId="77777777" w:rsidR="00E74CF4" w:rsidRDefault="00E74CF4" w:rsidP="00E74CF4">
      <w:pPr>
        <w:jc w:val="both"/>
        <w:rPr>
          <w:rFonts w:ascii="Times New Roman" w:hAnsi="Times New Roman" w:cs="Times New Roman"/>
          <w:b/>
          <w:bCs/>
          <w:sz w:val="20"/>
          <w:szCs w:val="20"/>
        </w:rPr>
      </w:pPr>
    </w:p>
    <w:p w14:paraId="1F801A90" w14:textId="77777777" w:rsidR="00E74CF4" w:rsidRDefault="00E74CF4" w:rsidP="00E74CF4">
      <w:pPr>
        <w:jc w:val="both"/>
        <w:rPr>
          <w:rFonts w:ascii="Times New Roman" w:hAnsi="Times New Roman" w:cs="Times New Roman"/>
          <w:b/>
          <w:bCs/>
          <w:sz w:val="20"/>
          <w:szCs w:val="20"/>
        </w:rPr>
      </w:pPr>
    </w:p>
    <w:p w14:paraId="466D1853" w14:textId="77777777" w:rsidR="00E74CF4" w:rsidRPr="00E74CF4" w:rsidRDefault="00E74CF4" w:rsidP="00E74CF4">
      <w:pPr>
        <w:jc w:val="both"/>
        <w:rPr>
          <w:rFonts w:ascii="Times New Roman" w:hAnsi="Times New Roman" w:cs="Times New Roman"/>
          <w:b/>
          <w:bCs/>
          <w:sz w:val="20"/>
          <w:szCs w:val="20"/>
        </w:rPr>
      </w:pPr>
    </w:p>
    <w:p w14:paraId="35146DAB" w14:textId="77777777" w:rsidR="00E74CF4" w:rsidRPr="00E74CF4" w:rsidRDefault="00E74CF4" w:rsidP="00E74CF4">
      <w:pPr>
        <w:jc w:val="both"/>
        <w:rPr>
          <w:rFonts w:ascii="Times New Roman" w:hAnsi="Times New Roman" w:cs="Times New Roman"/>
          <w:b/>
          <w:bCs/>
          <w:sz w:val="20"/>
          <w:szCs w:val="20"/>
        </w:rPr>
      </w:pPr>
    </w:p>
    <w:p w14:paraId="6BC01295" w14:textId="77777777" w:rsidR="00E74CF4" w:rsidRPr="00E74CF4" w:rsidRDefault="00E74CF4" w:rsidP="00E74CF4">
      <w:pPr>
        <w:jc w:val="both"/>
        <w:rPr>
          <w:rFonts w:ascii="Times New Roman" w:hAnsi="Times New Roman" w:cs="Times New Roman"/>
          <w:b/>
          <w:bCs/>
          <w:sz w:val="20"/>
          <w:szCs w:val="20"/>
        </w:rPr>
      </w:pPr>
    </w:p>
    <w:p w14:paraId="6E7BF4C7" w14:textId="77777777" w:rsidR="00E74CF4" w:rsidRPr="00E74CF4" w:rsidRDefault="00E74CF4" w:rsidP="00E74CF4">
      <w:pPr>
        <w:jc w:val="both"/>
        <w:rPr>
          <w:rFonts w:ascii="Times New Roman" w:hAnsi="Times New Roman" w:cs="Times New Roman"/>
          <w:b/>
          <w:bCs/>
          <w:sz w:val="20"/>
          <w:szCs w:val="20"/>
        </w:rPr>
      </w:pPr>
    </w:p>
    <w:p w14:paraId="4295D9B0" w14:textId="77777777" w:rsidR="00E74CF4" w:rsidRPr="00E74CF4" w:rsidRDefault="00E74CF4" w:rsidP="00E74CF4">
      <w:pPr>
        <w:jc w:val="both"/>
        <w:rPr>
          <w:rFonts w:ascii="Times New Roman" w:hAnsi="Times New Roman" w:cs="Times New Roman"/>
          <w:b/>
          <w:bCs/>
          <w:sz w:val="20"/>
          <w:szCs w:val="20"/>
        </w:rPr>
      </w:pPr>
    </w:p>
    <w:p w14:paraId="79989944" w14:textId="77777777" w:rsidR="00992C65" w:rsidRDefault="00992C65" w:rsidP="00992C65">
      <w:pPr>
        <w:jc w:val="both"/>
        <w:rPr>
          <w:rFonts w:ascii="Times New Roman" w:hAnsi="Times New Roman" w:cs="Times New Roman"/>
          <w:b/>
          <w:bCs/>
          <w:sz w:val="22"/>
          <w:szCs w:val="22"/>
          <w:lang w:val="en-GB"/>
        </w:rPr>
      </w:pPr>
    </w:p>
    <w:p w14:paraId="3A137FAF" w14:textId="024FF670" w:rsidR="00992C65" w:rsidRPr="0071294B" w:rsidRDefault="00992C65" w:rsidP="00992C65">
      <w:pPr>
        <w:jc w:val="both"/>
        <w:rPr>
          <w:rFonts w:ascii="Times New Roman" w:hAnsi="Times New Roman" w:cs="Times New Roman"/>
          <w:sz w:val="20"/>
          <w:szCs w:val="20"/>
          <w:lang w:val="en-GB"/>
        </w:rPr>
      </w:pPr>
      <w:r w:rsidRPr="0071294B">
        <w:rPr>
          <w:rFonts w:ascii="Times New Roman" w:hAnsi="Times New Roman" w:cs="Times New Roman"/>
          <w:b/>
          <w:bCs/>
          <w:sz w:val="20"/>
          <w:szCs w:val="20"/>
          <w:lang w:val="en-GB"/>
        </w:rPr>
        <w:lastRenderedPageBreak/>
        <w:t>Table S</w:t>
      </w:r>
      <w:r w:rsidR="00976D2D" w:rsidRPr="0071294B">
        <w:rPr>
          <w:rFonts w:ascii="Times New Roman" w:hAnsi="Times New Roman" w:cs="Times New Roman"/>
          <w:b/>
          <w:bCs/>
          <w:sz w:val="20"/>
          <w:szCs w:val="20"/>
          <w:lang w:val="en-GB"/>
        </w:rPr>
        <w:t>2</w:t>
      </w:r>
      <w:r w:rsidRPr="0071294B">
        <w:rPr>
          <w:rFonts w:ascii="Times New Roman" w:hAnsi="Times New Roman" w:cs="Times New Roman"/>
          <w:b/>
          <w:bCs/>
          <w:sz w:val="20"/>
          <w:szCs w:val="20"/>
          <w:lang w:val="en-GB"/>
        </w:rPr>
        <w:t>. List of signature proteins identified by the DIABLO model in the ROSI study.</w:t>
      </w:r>
    </w:p>
    <w:p w14:paraId="18051944" w14:textId="77777777" w:rsidR="00E74CF4" w:rsidRPr="0071294B" w:rsidRDefault="00E74CF4" w:rsidP="00E74CF4">
      <w:pPr>
        <w:jc w:val="both"/>
        <w:rPr>
          <w:rFonts w:ascii="Times New Roman" w:hAnsi="Times New Roman" w:cs="Times New Roman"/>
          <w:b/>
          <w:bCs/>
          <w:sz w:val="20"/>
          <w:szCs w:val="20"/>
        </w:rPr>
      </w:pPr>
    </w:p>
    <w:tbl>
      <w:tblPr>
        <w:tblStyle w:val="TableGrid"/>
        <w:tblW w:w="935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3"/>
        <w:gridCol w:w="5362"/>
        <w:gridCol w:w="1440"/>
        <w:gridCol w:w="1170"/>
      </w:tblGrid>
      <w:tr w:rsidR="00E74CF4" w:rsidRPr="0071294B" w14:paraId="24A0844D" w14:textId="77777777" w:rsidTr="009C7DC6">
        <w:trPr>
          <w:trHeight w:val="431"/>
        </w:trPr>
        <w:tc>
          <w:tcPr>
            <w:tcW w:w="1383" w:type="dxa"/>
            <w:tcBorders>
              <w:bottom w:val="single" w:sz="4" w:space="0" w:color="auto"/>
            </w:tcBorders>
            <w:noWrap/>
            <w:vAlign w:val="center"/>
            <w:hideMark/>
          </w:tcPr>
          <w:p w14:paraId="16A6F895" w14:textId="77777777" w:rsidR="00E74CF4" w:rsidRPr="0071294B" w:rsidRDefault="00E74CF4" w:rsidP="009C7DC6">
            <w:pPr>
              <w:jc w:val="center"/>
              <w:rPr>
                <w:rFonts w:ascii="Times New Roman" w:hAnsi="Times New Roman" w:cs="Times New Roman"/>
                <w:b/>
                <w:bCs/>
                <w:sz w:val="20"/>
                <w:szCs w:val="20"/>
              </w:rPr>
            </w:pPr>
            <w:r w:rsidRPr="0071294B">
              <w:rPr>
                <w:rFonts w:ascii="Times New Roman" w:hAnsi="Times New Roman" w:cs="Times New Roman"/>
                <w:b/>
                <w:bCs/>
                <w:sz w:val="20"/>
                <w:szCs w:val="20"/>
              </w:rPr>
              <w:t>Accession</w:t>
            </w:r>
          </w:p>
        </w:tc>
        <w:tc>
          <w:tcPr>
            <w:tcW w:w="5362" w:type="dxa"/>
            <w:tcBorders>
              <w:bottom w:val="single" w:sz="4" w:space="0" w:color="auto"/>
            </w:tcBorders>
            <w:noWrap/>
            <w:vAlign w:val="center"/>
            <w:hideMark/>
          </w:tcPr>
          <w:p w14:paraId="1E9B2C6B" w14:textId="3444553A" w:rsidR="00E74CF4" w:rsidRPr="0071294B" w:rsidRDefault="00E74CF4" w:rsidP="009C7DC6">
            <w:pPr>
              <w:jc w:val="center"/>
              <w:rPr>
                <w:rFonts w:ascii="Times New Roman" w:hAnsi="Times New Roman" w:cs="Times New Roman"/>
                <w:b/>
                <w:bCs/>
                <w:sz w:val="20"/>
                <w:szCs w:val="20"/>
              </w:rPr>
            </w:pPr>
            <w:r w:rsidRPr="0071294B">
              <w:rPr>
                <w:rFonts w:ascii="Times New Roman" w:hAnsi="Times New Roman" w:cs="Times New Roman"/>
                <w:b/>
                <w:bCs/>
                <w:sz w:val="20"/>
                <w:szCs w:val="20"/>
              </w:rPr>
              <w:t xml:space="preserve">Protein </w:t>
            </w:r>
            <w:r w:rsidR="00AB5D29" w:rsidRPr="0071294B">
              <w:rPr>
                <w:rFonts w:ascii="Times New Roman" w:hAnsi="Times New Roman" w:cs="Times New Roman"/>
                <w:b/>
                <w:bCs/>
                <w:sz w:val="20"/>
                <w:szCs w:val="20"/>
              </w:rPr>
              <w:t>Name</w:t>
            </w:r>
          </w:p>
        </w:tc>
        <w:tc>
          <w:tcPr>
            <w:tcW w:w="1440" w:type="dxa"/>
            <w:tcBorders>
              <w:bottom w:val="single" w:sz="4" w:space="0" w:color="auto"/>
            </w:tcBorders>
            <w:noWrap/>
            <w:vAlign w:val="center"/>
            <w:hideMark/>
          </w:tcPr>
          <w:p w14:paraId="4203D8DE" w14:textId="77777777" w:rsidR="00E74CF4" w:rsidRPr="0071294B" w:rsidRDefault="00E74CF4" w:rsidP="009C7DC6">
            <w:pPr>
              <w:jc w:val="center"/>
              <w:rPr>
                <w:rFonts w:ascii="Times New Roman" w:hAnsi="Times New Roman" w:cs="Times New Roman"/>
                <w:b/>
                <w:bCs/>
                <w:sz w:val="20"/>
                <w:szCs w:val="20"/>
              </w:rPr>
            </w:pPr>
            <w:r w:rsidRPr="0071294B">
              <w:rPr>
                <w:rFonts w:ascii="Times New Roman" w:hAnsi="Times New Roman" w:cs="Times New Roman"/>
                <w:b/>
                <w:bCs/>
                <w:sz w:val="20"/>
                <w:szCs w:val="20"/>
              </w:rPr>
              <w:t>Gene Symbol</w:t>
            </w:r>
          </w:p>
        </w:tc>
        <w:tc>
          <w:tcPr>
            <w:tcW w:w="1170" w:type="dxa"/>
            <w:tcBorders>
              <w:bottom w:val="single" w:sz="4" w:space="0" w:color="auto"/>
            </w:tcBorders>
            <w:noWrap/>
            <w:vAlign w:val="center"/>
            <w:hideMark/>
          </w:tcPr>
          <w:p w14:paraId="28A387E1" w14:textId="77777777" w:rsidR="00E74CF4" w:rsidRPr="0071294B" w:rsidRDefault="00E74CF4" w:rsidP="009C7DC6">
            <w:pPr>
              <w:jc w:val="center"/>
              <w:rPr>
                <w:rFonts w:ascii="Times New Roman" w:hAnsi="Times New Roman" w:cs="Times New Roman"/>
                <w:b/>
                <w:bCs/>
                <w:sz w:val="20"/>
                <w:szCs w:val="20"/>
              </w:rPr>
            </w:pPr>
            <w:r w:rsidRPr="0071294B">
              <w:rPr>
                <w:rFonts w:ascii="Times New Roman" w:hAnsi="Times New Roman" w:cs="Times New Roman"/>
                <w:b/>
                <w:bCs/>
                <w:i/>
                <w:iCs/>
                <w:sz w:val="20"/>
                <w:szCs w:val="20"/>
              </w:rPr>
              <w:t>p</w:t>
            </w:r>
            <w:r w:rsidRPr="0071294B">
              <w:rPr>
                <w:rFonts w:ascii="Times New Roman" w:hAnsi="Times New Roman" w:cs="Times New Roman"/>
                <w:b/>
                <w:bCs/>
                <w:sz w:val="20"/>
                <w:szCs w:val="20"/>
              </w:rPr>
              <w:t>-value</w:t>
            </w:r>
          </w:p>
        </w:tc>
      </w:tr>
      <w:tr w:rsidR="00E74CF4" w:rsidRPr="0071294B" w14:paraId="1834EC56" w14:textId="77777777" w:rsidTr="009C7DC6">
        <w:trPr>
          <w:trHeight w:val="320"/>
        </w:trPr>
        <w:tc>
          <w:tcPr>
            <w:tcW w:w="1383" w:type="dxa"/>
            <w:tcBorders>
              <w:top w:val="single" w:sz="4" w:space="0" w:color="auto"/>
            </w:tcBorders>
            <w:noWrap/>
            <w:vAlign w:val="center"/>
            <w:hideMark/>
          </w:tcPr>
          <w:p w14:paraId="3D005557"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P67936</w:t>
            </w:r>
          </w:p>
        </w:tc>
        <w:tc>
          <w:tcPr>
            <w:tcW w:w="5362" w:type="dxa"/>
            <w:tcBorders>
              <w:top w:val="single" w:sz="4" w:space="0" w:color="auto"/>
            </w:tcBorders>
            <w:noWrap/>
            <w:vAlign w:val="center"/>
            <w:hideMark/>
          </w:tcPr>
          <w:p w14:paraId="50D6BC80"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Tropomyosin alpha-4 chain</w:t>
            </w:r>
          </w:p>
        </w:tc>
        <w:tc>
          <w:tcPr>
            <w:tcW w:w="1440" w:type="dxa"/>
            <w:tcBorders>
              <w:top w:val="single" w:sz="4" w:space="0" w:color="auto"/>
            </w:tcBorders>
            <w:noWrap/>
            <w:vAlign w:val="center"/>
            <w:hideMark/>
          </w:tcPr>
          <w:p w14:paraId="590A68CB"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TPM4</w:t>
            </w:r>
          </w:p>
        </w:tc>
        <w:tc>
          <w:tcPr>
            <w:tcW w:w="1170" w:type="dxa"/>
            <w:tcBorders>
              <w:top w:val="single" w:sz="4" w:space="0" w:color="auto"/>
            </w:tcBorders>
            <w:noWrap/>
            <w:vAlign w:val="center"/>
            <w:hideMark/>
          </w:tcPr>
          <w:p w14:paraId="7F631BF8"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4E-01</w:t>
            </w:r>
          </w:p>
        </w:tc>
      </w:tr>
      <w:tr w:rsidR="00E74CF4" w:rsidRPr="0071294B" w14:paraId="0B49084B" w14:textId="77777777" w:rsidTr="009C7DC6">
        <w:trPr>
          <w:trHeight w:val="320"/>
        </w:trPr>
        <w:tc>
          <w:tcPr>
            <w:tcW w:w="1383" w:type="dxa"/>
            <w:noWrap/>
            <w:vAlign w:val="center"/>
            <w:hideMark/>
          </w:tcPr>
          <w:p w14:paraId="415B60CE"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Q9UQE7</w:t>
            </w:r>
          </w:p>
        </w:tc>
        <w:tc>
          <w:tcPr>
            <w:tcW w:w="5362" w:type="dxa"/>
            <w:noWrap/>
            <w:vAlign w:val="center"/>
            <w:hideMark/>
          </w:tcPr>
          <w:p w14:paraId="699D9633"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Structural maintenance of chromosomes protein 3</w:t>
            </w:r>
          </w:p>
        </w:tc>
        <w:tc>
          <w:tcPr>
            <w:tcW w:w="1440" w:type="dxa"/>
            <w:noWrap/>
            <w:vAlign w:val="center"/>
            <w:hideMark/>
          </w:tcPr>
          <w:p w14:paraId="5D981AC9"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SMC3</w:t>
            </w:r>
          </w:p>
        </w:tc>
        <w:tc>
          <w:tcPr>
            <w:tcW w:w="1170" w:type="dxa"/>
            <w:noWrap/>
            <w:vAlign w:val="center"/>
            <w:hideMark/>
          </w:tcPr>
          <w:p w14:paraId="2F487F51"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4E-01</w:t>
            </w:r>
          </w:p>
        </w:tc>
      </w:tr>
      <w:tr w:rsidR="00E74CF4" w:rsidRPr="0071294B" w14:paraId="362521E6" w14:textId="77777777" w:rsidTr="009C7DC6">
        <w:trPr>
          <w:trHeight w:val="320"/>
        </w:trPr>
        <w:tc>
          <w:tcPr>
            <w:tcW w:w="1383" w:type="dxa"/>
            <w:noWrap/>
            <w:vAlign w:val="center"/>
            <w:hideMark/>
          </w:tcPr>
          <w:p w14:paraId="0BCFCBC3"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O95347</w:t>
            </w:r>
          </w:p>
        </w:tc>
        <w:tc>
          <w:tcPr>
            <w:tcW w:w="5362" w:type="dxa"/>
            <w:noWrap/>
            <w:vAlign w:val="center"/>
            <w:hideMark/>
          </w:tcPr>
          <w:p w14:paraId="3DC8B941"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Structural maintenance of chromosomes protein 2</w:t>
            </w:r>
          </w:p>
        </w:tc>
        <w:tc>
          <w:tcPr>
            <w:tcW w:w="1440" w:type="dxa"/>
            <w:noWrap/>
            <w:vAlign w:val="center"/>
            <w:hideMark/>
          </w:tcPr>
          <w:p w14:paraId="5877BC0B"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SMC2</w:t>
            </w:r>
          </w:p>
        </w:tc>
        <w:tc>
          <w:tcPr>
            <w:tcW w:w="1170" w:type="dxa"/>
            <w:noWrap/>
            <w:vAlign w:val="center"/>
            <w:hideMark/>
          </w:tcPr>
          <w:p w14:paraId="0475CC24"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5E-01</w:t>
            </w:r>
          </w:p>
        </w:tc>
      </w:tr>
      <w:tr w:rsidR="00E74CF4" w:rsidRPr="0071294B" w14:paraId="2B72D0C3" w14:textId="77777777" w:rsidTr="009C7DC6">
        <w:trPr>
          <w:trHeight w:val="320"/>
        </w:trPr>
        <w:tc>
          <w:tcPr>
            <w:tcW w:w="1383" w:type="dxa"/>
            <w:tcBorders>
              <w:bottom w:val="single" w:sz="4" w:space="0" w:color="FFFFFF" w:themeColor="background1"/>
            </w:tcBorders>
            <w:noWrap/>
            <w:vAlign w:val="center"/>
            <w:hideMark/>
          </w:tcPr>
          <w:p w14:paraId="49923D76"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Q8N357</w:t>
            </w:r>
          </w:p>
        </w:tc>
        <w:tc>
          <w:tcPr>
            <w:tcW w:w="5362" w:type="dxa"/>
            <w:tcBorders>
              <w:bottom w:val="single" w:sz="4" w:space="0" w:color="FFFFFF" w:themeColor="background1"/>
            </w:tcBorders>
            <w:noWrap/>
            <w:vAlign w:val="center"/>
            <w:hideMark/>
          </w:tcPr>
          <w:p w14:paraId="0A4CA798"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Solute carrier family 35 member F6</w:t>
            </w:r>
          </w:p>
        </w:tc>
        <w:tc>
          <w:tcPr>
            <w:tcW w:w="1440" w:type="dxa"/>
            <w:tcBorders>
              <w:bottom w:val="single" w:sz="4" w:space="0" w:color="FFFFFF" w:themeColor="background1"/>
            </w:tcBorders>
            <w:noWrap/>
            <w:vAlign w:val="center"/>
            <w:hideMark/>
          </w:tcPr>
          <w:p w14:paraId="39C62FE3"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SLC35F6</w:t>
            </w:r>
          </w:p>
        </w:tc>
        <w:tc>
          <w:tcPr>
            <w:tcW w:w="1170" w:type="dxa"/>
            <w:tcBorders>
              <w:bottom w:val="single" w:sz="4" w:space="0" w:color="FFFFFF" w:themeColor="background1"/>
            </w:tcBorders>
            <w:noWrap/>
            <w:vAlign w:val="center"/>
            <w:hideMark/>
          </w:tcPr>
          <w:p w14:paraId="0327DDC0"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3E-01</w:t>
            </w:r>
          </w:p>
        </w:tc>
      </w:tr>
      <w:tr w:rsidR="00E74CF4" w:rsidRPr="0071294B" w14:paraId="49381294" w14:textId="77777777" w:rsidTr="009C7DC6">
        <w:trPr>
          <w:trHeight w:val="320"/>
        </w:trPr>
        <w:tc>
          <w:tcPr>
            <w:tcW w:w="1383" w:type="dxa"/>
            <w:tcBorders>
              <w:top w:val="single" w:sz="4" w:space="0" w:color="FFFFFF" w:themeColor="background1"/>
            </w:tcBorders>
            <w:noWrap/>
            <w:vAlign w:val="center"/>
            <w:hideMark/>
          </w:tcPr>
          <w:p w14:paraId="6EBFA3A7"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Q16181</w:t>
            </w:r>
          </w:p>
        </w:tc>
        <w:tc>
          <w:tcPr>
            <w:tcW w:w="5362" w:type="dxa"/>
            <w:tcBorders>
              <w:top w:val="single" w:sz="4" w:space="0" w:color="FFFFFF" w:themeColor="background1"/>
            </w:tcBorders>
            <w:noWrap/>
            <w:vAlign w:val="center"/>
            <w:hideMark/>
          </w:tcPr>
          <w:p w14:paraId="48F63434"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Septin-7</w:t>
            </w:r>
          </w:p>
        </w:tc>
        <w:tc>
          <w:tcPr>
            <w:tcW w:w="1440" w:type="dxa"/>
            <w:tcBorders>
              <w:top w:val="single" w:sz="4" w:space="0" w:color="FFFFFF" w:themeColor="background1"/>
            </w:tcBorders>
            <w:noWrap/>
            <w:vAlign w:val="center"/>
            <w:hideMark/>
          </w:tcPr>
          <w:p w14:paraId="283D9685"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SEPTIN7</w:t>
            </w:r>
          </w:p>
        </w:tc>
        <w:tc>
          <w:tcPr>
            <w:tcW w:w="1170" w:type="dxa"/>
            <w:tcBorders>
              <w:top w:val="single" w:sz="4" w:space="0" w:color="FFFFFF" w:themeColor="background1"/>
            </w:tcBorders>
            <w:noWrap/>
            <w:vAlign w:val="center"/>
            <w:hideMark/>
          </w:tcPr>
          <w:p w14:paraId="5DC427CF"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3E-01</w:t>
            </w:r>
          </w:p>
        </w:tc>
      </w:tr>
      <w:tr w:rsidR="00E74CF4" w:rsidRPr="0071294B" w14:paraId="67F82356" w14:textId="77777777" w:rsidTr="009C7DC6">
        <w:trPr>
          <w:trHeight w:val="320"/>
        </w:trPr>
        <w:tc>
          <w:tcPr>
            <w:tcW w:w="1383" w:type="dxa"/>
            <w:noWrap/>
            <w:vAlign w:val="center"/>
            <w:hideMark/>
          </w:tcPr>
          <w:p w14:paraId="072DA491"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P62917</w:t>
            </w:r>
          </w:p>
        </w:tc>
        <w:tc>
          <w:tcPr>
            <w:tcW w:w="5362" w:type="dxa"/>
            <w:noWrap/>
            <w:vAlign w:val="center"/>
            <w:hideMark/>
          </w:tcPr>
          <w:p w14:paraId="7D0EF842"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Large ribosomal subunit protein uL2</w:t>
            </w:r>
          </w:p>
        </w:tc>
        <w:tc>
          <w:tcPr>
            <w:tcW w:w="1440" w:type="dxa"/>
            <w:noWrap/>
            <w:vAlign w:val="center"/>
            <w:hideMark/>
          </w:tcPr>
          <w:p w14:paraId="4256F4E9"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RPL8</w:t>
            </w:r>
          </w:p>
        </w:tc>
        <w:tc>
          <w:tcPr>
            <w:tcW w:w="1170" w:type="dxa"/>
            <w:noWrap/>
            <w:vAlign w:val="center"/>
            <w:hideMark/>
          </w:tcPr>
          <w:p w14:paraId="1CFE6F14"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4E-01</w:t>
            </w:r>
          </w:p>
        </w:tc>
      </w:tr>
      <w:tr w:rsidR="00E74CF4" w:rsidRPr="0071294B" w14:paraId="1D1E09F3" w14:textId="77777777" w:rsidTr="009C7DC6">
        <w:trPr>
          <w:trHeight w:val="320"/>
        </w:trPr>
        <w:tc>
          <w:tcPr>
            <w:tcW w:w="1383" w:type="dxa"/>
            <w:noWrap/>
            <w:vAlign w:val="center"/>
            <w:hideMark/>
          </w:tcPr>
          <w:p w14:paraId="3570889D"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Q96D15</w:t>
            </w:r>
          </w:p>
        </w:tc>
        <w:tc>
          <w:tcPr>
            <w:tcW w:w="5362" w:type="dxa"/>
            <w:noWrap/>
            <w:vAlign w:val="center"/>
            <w:hideMark/>
          </w:tcPr>
          <w:p w14:paraId="3935B7DE"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Reticulocalbin-3</w:t>
            </w:r>
          </w:p>
        </w:tc>
        <w:tc>
          <w:tcPr>
            <w:tcW w:w="1440" w:type="dxa"/>
            <w:noWrap/>
            <w:vAlign w:val="center"/>
            <w:hideMark/>
          </w:tcPr>
          <w:p w14:paraId="5CDB8867"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RCN3</w:t>
            </w:r>
          </w:p>
        </w:tc>
        <w:tc>
          <w:tcPr>
            <w:tcW w:w="1170" w:type="dxa"/>
            <w:noWrap/>
            <w:vAlign w:val="center"/>
            <w:hideMark/>
          </w:tcPr>
          <w:p w14:paraId="6D0CBF91"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3E-01</w:t>
            </w:r>
          </w:p>
        </w:tc>
      </w:tr>
      <w:tr w:rsidR="00E74CF4" w:rsidRPr="0071294B" w14:paraId="2C7C2C90" w14:textId="77777777" w:rsidTr="009C7DC6">
        <w:trPr>
          <w:trHeight w:val="320"/>
        </w:trPr>
        <w:tc>
          <w:tcPr>
            <w:tcW w:w="1383" w:type="dxa"/>
            <w:noWrap/>
            <w:vAlign w:val="center"/>
            <w:hideMark/>
          </w:tcPr>
          <w:p w14:paraId="247074E3"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A0A075B767</w:t>
            </w:r>
          </w:p>
        </w:tc>
        <w:tc>
          <w:tcPr>
            <w:tcW w:w="5362" w:type="dxa"/>
            <w:noWrap/>
            <w:vAlign w:val="center"/>
            <w:hideMark/>
          </w:tcPr>
          <w:p w14:paraId="0940F87E"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Peptidyl-prolyl cis-trans isomerase A-like 4H</w:t>
            </w:r>
          </w:p>
        </w:tc>
        <w:tc>
          <w:tcPr>
            <w:tcW w:w="1440" w:type="dxa"/>
            <w:noWrap/>
            <w:vAlign w:val="center"/>
            <w:hideMark/>
          </w:tcPr>
          <w:p w14:paraId="1C89ACF4"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PPIAL4H</w:t>
            </w:r>
          </w:p>
        </w:tc>
        <w:tc>
          <w:tcPr>
            <w:tcW w:w="1170" w:type="dxa"/>
            <w:noWrap/>
            <w:vAlign w:val="center"/>
            <w:hideMark/>
          </w:tcPr>
          <w:p w14:paraId="68BCC270"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5E-05</w:t>
            </w:r>
          </w:p>
        </w:tc>
      </w:tr>
      <w:tr w:rsidR="00E74CF4" w:rsidRPr="0071294B" w14:paraId="61792FB4" w14:textId="77777777" w:rsidTr="009C7DC6">
        <w:trPr>
          <w:trHeight w:val="320"/>
        </w:trPr>
        <w:tc>
          <w:tcPr>
            <w:tcW w:w="1383" w:type="dxa"/>
            <w:noWrap/>
            <w:vAlign w:val="center"/>
            <w:hideMark/>
          </w:tcPr>
          <w:p w14:paraId="32C65D0A"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P0DN37</w:t>
            </w:r>
          </w:p>
        </w:tc>
        <w:tc>
          <w:tcPr>
            <w:tcW w:w="5362" w:type="dxa"/>
            <w:noWrap/>
            <w:vAlign w:val="center"/>
            <w:hideMark/>
          </w:tcPr>
          <w:p w14:paraId="7EEC2278"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Peptidyl-prolyl cis-trans isomerase A-like 4G</w:t>
            </w:r>
          </w:p>
        </w:tc>
        <w:tc>
          <w:tcPr>
            <w:tcW w:w="1440" w:type="dxa"/>
            <w:noWrap/>
            <w:vAlign w:val="center"/>
            <w:hideMark/>
          </w:tcPr>
          <w:p w14:paraId="43F34DA1"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PPIAL4G</w:t>
            </w:r>
          </w:p>
        </w:tc>
        <w:tc>
          <w:tcPr>
            <w:tcW w:w="1170" w:type="dxa"/>
            <w:noWrap/>
            <w:vAlign w:val="center"/>
            <w:hideMark/>
          </w:tcPr>
          <w:p w14:paraId="67F5F307"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5E-05</w:t>
            </w:r>
          </w:p>
        </w:tc>
      </w:tr>
      <w:tr w:rsidR="00E74CF4" w:rsidRPr="0071294B" w14:paraId="189A96CA" w14:textId="77777777" w:rsidTr="009C7DC6">
        <w:trPr>
          <w:trHeight w:val="320"/>
        </w:trPr>
        <w:tc>
          <w:tcPr>
            <w:tcW w:w="1383" w:type="dxa"/>
            <w:noWrap/>
            <w:vAlign w:val="center"/>
            <w:hideMark/>
          </w:tcPr>
          <w:p w14:paraId="0127F645"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P0DN26</w:t>
            </w:r>
          </w:p>
        </w:tc>
        <w:tc>
          <w:tcPr>
            <w:tcW w:w="5362" w:type="dxa"/>
            <w:noWrap/>
            <w:vAlign w:val="center"/>
            <w:hideMark/>
          </w:tcPr>
          <w:p w14:paraId="751F5B6D"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Peptidyl-prolyl cis-trans isomerase A-like 4F</w:t>
            </w:r>
          </w:p>
        </w:tc>
        <w:tc>
          <w:tcPr>
            <w:tcW w:w="1440" w:type="dxa"/>
            <w:noWrap/>
            <w:vAlign w:val="center"/>
            <w:hideMark/>
          </w:tcPr>
          <w:p w14:paraId="4F0364CD"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PPIAL4F</w:t>
            </w:r>
          </w:p>
        </w:tc>
        <w:tc>
          <w:tcPr>
            <w:tcW w:w="1170" w:type="dxa"/>
            <w:noWrap/>
            <w:vAlign w:val="center"/>
            <w:hideMark/>
          </w:tcPr>
          <w:p w14:paraId="503EE9C2"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5E-05</w:t>
            </w:r>
          </w:p>
        </w:tc>
      </w:tr>
      <w:tr w:rsidR="00E74CF4" w:rsidRPr="0071294B" w14:paraId="7EEFE0F1" w14:textId="77777777" w:rsidTr="009C7DC6">
        <w:trPr>
          <w:trHeight w:val="320"/>
        </w:trPr>
        <w:tc>
          <w:tcPr>
            <w:tcW w:w="1383" w:type="dxa"/>
            <w:noWrap/>
            <w:vAlign w:val="center"/>
            <w:hideMark/>
          </w:tcPr>
          <w:p w14:paraId="7D9778A7"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F5H284</w:t>
            </w:r>
          </w:p>
        </w:tc>
        <w:tc>
          <w:tcPr>
            <w:tcW w:w="5362" w:type="dxa"/>
            <w:noWrap/>
            <w:vAlign w:val="center"/>
            <w:hideMark/>
          </w:tcPr>
          <w:p w14:paraId="36FCA47E"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Peptidyl-prolyl cis-trans isomerase A-like 4D</w:t>
            </w:r>
          </w:p>
        </w:tc>
        <w:tc>
          <w:tcPr>
            <w:tcW w:w="1440" w:type="dxa"/>
            <w:noWrap/>
            <w:vAlign w:val="center"/>
            <w:hideMark/>
          </w:tcPr>
          <w:p w14:paraId="153F3923"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PPIAL4D</w:t>
            </w:r>
          </w:p>
        </w:tc>
        <w:tc>
          <w:tcPr>
            <w:tcW w:w="1170" w:type="dxa"/>
            <w:noWrap/>
            <w:vAlign w:val="center"/>
            <w:hideMark/>
          </w:tcPr>
          <w:p w14:paraId="357FB281"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5E-05</w:t>
            </w:r>
          </w:p>
        </w:tc>
      </w:tr>
      <w:tr w:rsidR="00E74CF4" w:rsidRPr="0071294B" w14:paraId="1ED4835B" w14:textId="77777777" w:rsidTr="009C7DC6">
        <w:trPr>
          <w:trHeight w:val="320"/>
        </w:trPr>
        <w:tc>
          <w:tcPr>
            <w:tcW w:w="1383" w:type="dxa"/>
            <w:noWrap/>
            <w:vAlign w:val="center"/>
            <w:hideMark/>
          </w:tcPr>
          <w:p w14:paraId="539574D6"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A0A0B4J2A2</w:t>
            </w:r>
          </w:p>
        </w:tc>
        <w:tc>
          <w:tcPr>
            <w:tcW w:w="5362" w:type="dxa"/>
            <w:noWrap/>
            <w:vAlign w:val="center"/>
            <w:hideMark/>
          </w:tcPr>
          <w:p w14:paraId="27B0162D"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Peptidyl-prolyl cis-trans isomerase A-like 4C</w:t>
            </w:r>
          </w:p>
        </w:tc>
        <w:tc>
          <w:tcPr>
            <w:tcW w:w="1440" w:type="dxa"/>
            <w:noWrap/>
            <w:vAlign w:val="center"/>
            <w:hideMark/>
          </w:tcPr>
          <w:p w14:paraId="294F8D6C"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PPIAL4C</w:t>
            </w:r>
          </w:p>
        </w:tc>
        <w:tc>
          <w:tcPr>
            <w:tcW w:w="1170" w:type="dxa"/>
            <w:noWrap/>
            <w:vAlign w:val="center"/>
            <w:hideMark/>
          </w:tcPr>
          <w:p w14:paraId="6BF1303D"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5E-05</w:t>
            </w:r>
          </w:p>
        </w:tc>
      </w:tr>
      <w:tr w:rsidR="00E74CF4" w:rsidRPr="0071294B" w14:paraId="46A64757" w14:textId="77777777" w:rsidTr="009C7DC6">
        <w:trPr>
          <w:trHeight w:val="320"/>
        </w:trPr>
        <w:tc>
          <w:tcPr>
            <w:tcW w:w="1383" w:type="dxa"/>
            <w:noWrap/>
            <w:vAlign w:val="center"/>
            <w:hideMark/>
          </w:tcPr>
          <w:p w14:paraId="59C002D0"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Q9Y536</w:t>
            </w:r>
          </w:p>
        </w:tc>
        <w:tc>
          <w:tcPr>
            <w:tcW w:w="5362" w:type="dxa"/>
            <w:noWrap/>
            <w:vAlign w:val="center"/>
            <w:hideMark/>
          </w:tcPr>
          <w:p w14:paraId="3638CDB7"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Peptidyl-prolyl cis-trans isomerase A-like 4A</w:t>
            </w:r>
          </w:p>
        </w:tc>
        <w:tc>
          <w:tcPr>
            <w:tcW w:w="1440" w:type="dxa"/>
            <w:noWrap/>
            <w:vAlign w:val="center"/>
            <w:hideMark/>
          </w:tcPr>
          <w:p w14:paraId="3C38AB64"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PPIAL4A</w:t>
            </w:r>
          </w:p>
        </w:tc>
        <w:tc>
          <w:tcPr>
            <w:tcW w:w="1170" w:type="dxa"/>
            <w:noWrap/>
            <w:vAlign w:val="center"/>
            <w:hideMark/>
          </w:tcPr>
          <w:p w14:paraId="6513E0DC"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5E-05</w:t>
            </w:r>
          </w:p>
        </w:tc>
      </w:tr>
      <w:tr w:rsidR="00E74CF4" w:rsidRPr="0071294B" w14:paraId="08A1C96D" w14:textId="77777777" w:rsidTr="009C7DC6">
        <w:trPr>
          <w:trHeight w:val="320"/>
        </w:trPr>
        <w:tc>
          <w:tcPr>
            <w:tcW w:w="1383" w:type="dxa"/>
            <w:noWrap/>
            <w:vAlign w:val="center"/>
            <w:hideMark/>
          </w:tcPr>
          <w:p w14:paraId="740BB243"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P12268</w:t>
            </w:r>
          </w:p>
        </w:tc>
        <w:tc>
          <w:tcPr>
            <w:tcW w:w="5362" w:type="dxa"/>
            <w:noWrap/>
            <w:vAlign w:val="center"/>
            <w:hideMark/>
          </w:tcPr>
          <w:p w14:paraId="7FC2B67D"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Inosine-5'-monophosphate dehydrogenase 2</w:t>
            </w:r>
          </w:p>
        </w:tc>
        <w:tc>
          <w:tcPr>
            <w:tcW w:w="1440" w:type="dxa"/>
            <w:noWrap/>
            <w:vAlign w:val="center"/>
            <w:hideMark/>
          </w:tcPr>
          <w:p w14:paraId="6BDFC6E1"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IMPDH2</w:t>
            </w:r>
          </w:p>
        </w:tc>
        <w:tc>
          <w:tcPr>
            <w:tcW w:w="1170" w:type="dxa"/>
            <w:noWrap/>
            <w:vAlign w:val="center"/>
            <w:hideMark/>
          </w:tcPr>
          <w:p w14:paraId="02DD8E1E"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9E-05</w:t>
            </w:r>
          </w:p>
        </w:tc>
      </w:tr>
      <w:tr w:rsidR="00E74CF4" w:rsidRPr="0071294B" w14:paraId="2BE3BAF5" w14:textId="77777777" w:rsidTr="009C7DC6">
        <w:trPr>
          <w:trHeight w:val="320"/>
        </w:trPr>
        <w:tc>
          <w:tcPr>
            <w:tcW w:w="1383" w:type="dxa"/>
            <w:noWrap/>
            <w:vAlign w:val="center"/>
            <w:hideMark/>
          </w:tcPr>
          <w:p w14:paraId="41B91ABD"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P50395</w:t>
            </w:r>
          </w:p>
        </w:tc>
        <w:tc>
          <w:tcPr>
            <w:tcW w:w="5362" w:type="dxa"/>
            <w:noWrap/>
            <w:vAlign w:val="center"/>
            <w:hideMark/>
          </w:tcPr>
          <w:p w14:paraId="7543A1B5" w14:textId="77777777" w:rsidR="00E74CF4" w:rsidRPr="0071294B" w:rsidRDefault="00E74CF4" w:rsidP="009C7DC6">
            <w:pPr>
              <w:jc w:val="center"/>
              <w:rPr>
                <w:rFonts w:ascii="Times New Roman" w:hAnsi="Times New Roman" w:cs="Times New Roman"/>
                <w:color w:val="000000" w:themeColor="text1"/>
                <w:sz w:val="20"/>
                <w:szCs w:val="20"/>
              </w:rPr>
            </w:pPr>
            <w:proofErr w:type="spellStart"/>
            <w:r w:rsidRPr="0071294B">
              <w:rPr>
                <w:rFonts w:ascii="Times New Roman" w:hAnsi="Times New Roman" w:cs="Times New Roman"/>
                <w:color w:val="000000" w:themeColor="text1"/>
                <w:sz w:val="20"/>
                <w:szCs w:val="20"/>
              </w:rPr>
              <w:t>Rab</w:t>
            </w:r>
            <w:proofErr w:type="spellEnd"/>
            <w:r w:rsidRPr="0071294B">
              <w:rPr>
                <w:rFonts w:ascii="Times New Roman" w:hAnsi="Times New Roman" w:cs="Times New Roman"/>
                <w:color w:val="000000" w:themeColor="text1"/>
                <w:sz w:val="20"/>
                <w:szCs w:val="20"/>
              </w:rPr>
              <w:t xml:space="preserve"> GDP dissociation inhibitor beta</w:t>
            </w:r>
          </w:p>
        </w:tc>
        <w:tc>
          <w:tcPr>
            <w:tcW w:w="1440" w:type="dxa"/>
            <w:noWrap/>
            <w:vAlign w:val="center"/>
            <w:hideMark/>
          </w:tcPr>
          <w:p w14:paraId="3E9FA499"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GDI2</w:t>
            </w:r>
          </w:p>
        </w:tc>
        <w:tc>
          <w:tcPr>
            <w:tcW w:w="1170" w:type="dxa"/>
            <w:noWrap/>
            <w:vAlign w:val="center"/>
            <w:hideMark/>
          </w:tcPr>
          <w:p w14:paraId="0D7A6790"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7E-02</w:t>
            </w:r>
          </w:p>
        </w:tc>
      </w:tr>
      <w:tr w:rsidR="00E74CF4" w:rsidRPr="0071294B" w14:paraId="594B4ED0" w14:textId="77777777" w:rsidTr="009C7DC6">
        <w:trPr>
          <w:trHeight w:val="320"/>
        </w:trPr>
        <w:tc>
          <w:tcPr>
            <w:tcW w:w="1383" w:type="dxa"/>
            <w:noWrap/>
            <w:vAlign w:val="center"/>
            <w:hideMark/>
          </w:tcPr>
          <w:p w14:paraId="5A8812F5"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P31150</w:t>
            </w:r>
          </w:p>
        </w:tc>
        <w:tc>
          <w:tcPr>
            <w:tcW w:w="5362" w:type="dxa"/>
            <w:noWrap/>
            <w:vAlign w:val="center"/>
            <w:hideMark/>
          </w:tcPr>
          <w:p w14:paraId="314C258F" w14:textId="77777777" w:rsidR="00E74CF4" w:rsidRPr="0071294B" w:rsidRDefault="00E74CF4" w:rsidP="009C7DC6">
            <w:pPr>
              <w:jc w:val="center"/>
              <w:rPr>
                <w:rFonts w:ascii="Times New Roman" w:hAnsi="Times New Roman" w:cs="Times New Roman"/>
                <w:color w:val="000000" w:themeColor="text1"/>
                <w:sz w:val="20"/>
                <w:szCs w:val="20"/>
              </w:rPr>
            </w:pPr>
            <w:proofErr w:type="spellStart"/>
            <w:r w:rsidRPr="0071294B">
              <w:rPr>
                <w:rFonts w:ascii="Times New Roman" w:hAnsi="Times New Roman" w:cs="Times New Roman"/>
                <w:color w:val="000000" w:themeColor="text1"/>
                <w:sz w:val="20"/>
                <w:szCs w:val="20"/>
              </w:rPr>
              <w:t>Rab</w:t>
            </w:r>
            <w:proofErr w:type="spellEnd"/>
            <w:r w:rsidRPr="0071294B">
              <w:rPr>
                <w:rFonts w:ascii="Times New Roman" w:hAnsi="Times New Roman" w:cs="Times New Roman"/>
                <w:color w:val="000000" w:themeColor="text1"/>
                <w:sz w:val="20"/>
                <w:szCs w:val="20"/>
              </w:rPr>
              <w:t xml:space="preserve"> GDP dissociation inhibitor alpha</w:t>
            </w:r>
          </w:p>
        </w:tc>
        <w:tc>
          <w:tcPr>
            <w:tcW w:w="1440" w:type="dxa"/>
            <w:noWrap/>
            <w:vAlign w:val="center"/>
            <w:hideMark/>
          </w:tcPr>
          <w:p w14:paraId="5149AFA5"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GDI1</w:t>
            </w:r>
          </w:p>
        </w:tc>
        <w:tc>
          <w:tcPr>
            <w:tcW w:w="1170" w:type="dxa"/>
            <w:noWrap/>
            <w:vAlign w:val="center"/>
            <w:hideMark/>
          </w:tcPr>
          <w:p w14:paraId="12E43ED6"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7E-02</w:t>
            </w:r>
          </w:p>
        </w:tc>
      </w:tr>
      <w:tr w:rsidR="00E74CF4" w:rsidRPr="0071294B" w14:paraId="3E8A435C" w14:textId="77777777" w:rsidTr="009C7DC6">
        <w:trPr>
          <w:trHeight w:val="320"/>
        </w:trPr>
        <w:tc>
          <w:tcPr>
            <w:tcW w:w="1383" w:type="dxa"/>
            <w:noWrap/>
            <w:vAlign w:val="center"/>
            <w:hideMark/>
          </w:tcPr>
          <w:p w14:paraId="391B6ECF"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P22102</w:t>
            </w:r>
          </w:p>
        </w:tc>
        <w:tc>
          <w:tcPr>
            <w:tcW w:w="5362" w:type="dxa"/>
            <w:noWrap/>
            <w:vAlign w:val="center"/>
            <w:hideMark/>
          </w:tcPr>
          <w:p w14:paraId="6C76CE98"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 xml:space="preserve">Trifunctional purine biosynthetic protein </w:t>
            </w:r>
            <w:proofErr w:type="gramStart"/>
            <w:r w:rsidRPr="0071294B">
              <w:rPr>
                <w:rFonts w:ascii="Times New Roman" w:hAnsi="Times New Roman" w:cs="Times New Roman"/>
                <w:color w:val="000000" w:themeColor="text1"/>
                <w:sz w:val="20"/>
                <w:szCs w:val="20"/>
              </w:rPr>
              <w:t>adenosine-3</w:t>
            </w:r>
            <w:proofErr w:type="gramEnd"/>
          </w:p>
        </w:tc>
        <w:tc>
          <w:tcPr>
            <w:tcW w:w="1440" w:type="dxa"/>
            <w:noWrap/>
            <w:vAlign w:val="center"/>
            <w:hideMark/>
          </w:tcPr>
          <w:p w14:paraId="24E07D6E"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GART</w:t>
            </w:r>
          </w:p>
        </w:tc>
        <w:tc>
          <w:tcPr>
            <w:tcW w:w="1170" w:type="dxa"/>
            <w:noWrap/>
            <w:vAlign w:val="center"/>
            <w:hideMark/>
          </w:tcPr>
          <w:p w14:paraId="5338A121"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5E-01</w:t>
            </w:r>
          </w:p>
        </w:tc>
      </w:tr>
      <w:tr w:rsidR="00E74CF4" w:rsidRPr="0071294B" w14:paraId="7FCBFD19" w14:textId="77777777" w:rsidTr="009C7DC6">
        <w:trPr>
          <w:trHeight w:val="320"/>
        </w:trPr>
        <w:tc>
          <w:tcPr>
            <w:tcW w:w="1383" w:type="dxa"/>
            <w:noWrap/>
            <w:vAlign w:val="center"/>
            <w:hideMark/>
          </w:tcPr>
          <w:p w14:paraId="5946E821"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P24534</w:t>
            </w:r>
          </w:p>
        </w:tc>
        <w:tc>
          <w:tcPr>
            <w:tcW w:w="5362" w:type="dxa"/>
            <w:noWrap/>
            <w:vAlign w:val="center"/>
            <w:hideMark/>
          </w:tcPr>
          <w:p w14:paraId="10440D50"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Elongation factor 1-beta</w:t>
            </w:r>
          </w:p>
        </w:tc>
        <w:tc>
          <w:tcPr>
            <w:tcW w:w="1440" w:type="dxa"/>
            <w:noWrap/>
            <w:vAlign w:val="center"/>
            <w:hideMark/>
          </w:tcPr>
          <w:p w14:paraId="1DBF68F1"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EEF1B2</w:t>
            </w:r>
          </w:p>
        </w:tc>
        <w:tc>
          <w:tcPr>
            <w:tcW w:w="1170" w:type="dxa"/>
            <w:noWrap/>
            <w:vAlign w:val="center"/>
            <w:hideMark/>
          </w:tcPr>
          <w:p w14:paraId="5329A5D7"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4E-01</w:t>
            </w:r>
          </w:p>
        </w:tc>
      </w:tr>
      <w:tr w:rsidR="00E74CF4" w:rsidRPr="0071294B" w14:paraId="62B8046A" w14:textId="77777777" w:rsidTr="009C7DC6">
        <w:trPr>
          <w:trHeight w:val="320"/>
        </w:trPr>
        <w:tc>
          <w:tcPr>
            <w:tcW w:w="1383" w:type="dxa"/>
            <w:noWrap/>
            <w:vAlign w:val="center"/>
            <w:hideMark/>
          </w:tcPr>
          <w:p w14:paraId="4FB999AC"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P0DP23</w:t>
            </w:r>
          </w:p>
        </w:tc>
        <w:tc>
          <w:tcPr>
            <w:tcW w:w="5362" w:type="dxa"/>
            <w:noWrap/>
            <w:vAlign w:val="center"/>
            <w:hideMark/>
          </w:tcPr>
          <w:p w14:paraId="1E49436A"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Calmodulin-1</w:t>
            </w:r>
          </w:p>
        </w:tc>
        <w:tc>
          <w:tcPr>
            <w:tcW w:w="1440" w:type="dxa"/>
            <w:noWrap/>
            <w:vAlign w:val="center"/>
            <w:hideMark/>
          </w:tcPr>
          <w:p w14:paraId="7BABEA82"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CALM1</w:t>
            </w:r>
          </w:p>
        </w:tc>
        <w:tc>
          <w:tcPr>
            <w:tcW w:w="1170" w:type="dxa"/>
            <w:noWrap/>
            <w:vAlign w:val="center"/>
            <w:hideMark/>
          </w:tcPr>
          <w:p w14:paraId="0D50757D"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5E-01</w:t>
            </w:r>
          </w:p>
        </w:tc>
      </w:tr>
      <w:tr w:rsidR="00E74CF4" w:rsidRPr="0071294B" w14:paraId="028D5A87" w14:textId="77777777" w:rsidTr="009C7DC6">
        <w:trPr>
          <w:trHeight w:val="320"/>
        </w:trPr>
        <w:tc>
          <w:tcPr>
            <w:tcW w:w="1383" w:type="dxa"/>
            <w:noWrap/>
            <w:vAlign w:val="center"/>
            <w:hideMark/>
          </w:tcPr>
          <w:p w14:paraId="488E45B4"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O75947</w:t>
            </w:r>
          </w:p>
        </w:tc>
        <w:tc>
          <w:tcPr>
            <w:tcW w:w="5362" w:type="dxa"/>
            <w:noWrap/>
            <w:vAlign w:val="center"/>
            <w:hideMark/>
          </w:tcPr>
          <w:p w14:paraId="1514D326"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ATP synthase subunit d, mitochondrial</w:t>
            </w:r>
          </w:p>
        </w:tc>
        <w:tc>
          <w:tcPr>
            <w:tcW w:w="1440" w:type="dxa"/>
            <w:noWrap/>
            <w:vAlign w:val="center"/>
            <w:hideMark/>
          </w:tcPr>
          <w:p w14:paraId="5AF51A97"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ATP5PD</w:t>
            </w:r>
          </w:p>
        </w:tc>
        <w:tc>
          <w:tcPr>
            <w:tcW w:w="1170" w:type="dxa"/>
            <w:noWrap/>
            <w:vAlign w:val="center"/>
            <w:hideMark/>
          </w:tcPr>
          <w:p w14:paraId="0809FF21"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7E-02</w:t>
            </w:r>
          </w:p>
        </w:tc>
      </w:tr>
      <w:tr w:rsidR="00E74CF4" w:rsidRPr="0071294B" w14:paraId="4C2D86DF" w14:textId="77777777" w:rsidTr="009C7DC6">
        <w:trPr>
          <w:trHeight w:val="320"/>
        </w:trPr>
        <w:tc>
          <w:tcPr>
            <w:tcW w:w="1383" w:type="dxa"/>
            <w:noWrap/>
            <w:vAlign w:val="center"/>
            <w:hideMark/>
          </w:tcPr>
          <w:p w14:paraId="03D68FBD"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P04083</w:t>
            </w:r>
          </w:p>
        </w:tc>
        <w:tc>
          <w:tcPr>
            <w:tcW w:w="5362" w:type="dxa"/>
            <w:noWrap/>
            <w:vAlign w:val="center"/>
            <w:hideMark/>
          </w:tcPr>
          <w:p w14:paraId="5954FCF5"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Annexin A1</w:t>
            </w:r>
          </w:p>
        </w:tc>
        <w:tc>
          <w:tcPr>
            <w:tcW w:w="1440" w:type="dxa"/>
            <w:noWrap/>
            <w:vAlign w:val="center"/>
            <w:hideMark/>
          </w:tcPr>
          <w:p w14:paraId="2C7935C9" w14:textId="77777777" w:rsidR="00E74CF4" w:rsidRPr="0071294B" w:rsidRDefault="00E74CF4" w:rsidP="009C7DC6">
            <w:pPr>
              <w:jc w:val="center"/>
              <w:rPr>
                <w:rFonts w:ascii="Times New Roman" w:hAnsi="Times New Roman" w:cs="Times New Roman"/>
                <w:i/>
                <w:iCs/>
                <w:color w:val="000000" w:themeColor="text1"/>
                <w:sz w:val="20"/>
                <w:szCs w:val="20"/>
              </w:rPr>
            </w:pPr>
            <w:r w:rsidRPr="0071294B">
              <w:rPr>
                <w:rFonts w:ascii="Times New Roman" w:hAnsi="Times New Roman" w:cs="Times New Roman"/>
                <w:i/>
                <w:iCs/>
                <w:color w:val="000000" w:themeColor="text1"/>
                <w:sz w:val="20"/>
                <w:szCs w:val="20"/>
              </w:rPr>
              <w:t>ANXA1</w:t>
            </w:r>
          </w:p>
        </w:tc>
        <w:tc>
          <w:tcPr>
            <w:tcW w:w="1170" w:type="dxa"/>
            <w:noWrap/>
            <w:vAlign w:val="center"/>
            <w:hideMark/>
          </w:tcPr>
          <w:p w14:paraId="41113510" w14:textId="77777777" w:rsidR="00E74CF4" w:rsidRPr="0071294B" w:rsidRDefault="00E74CF4" w:rsidP="009C7DC6">
            <w:pPr>
              <w:jc w:val="center"/>
              <w:rPr>
                <w:rFonts w:ascii="Times New Roman" w:hAnsi="Times New Roman" w:cs="Times New Roman"/>
                <w:color w:val="000000" w:themeColor="text1"/>
                <w:sz w:val="20"/>
                <w:szCs w:val="20"/>
              </w:rPr>
            </w:pPr>
            <w:r w:rsidRPr="0071294B">
              <w:rPr>
                <w:rFonts w:ascii="Times New Roman" w:hAnsi="Times New Roman" w:cs="Times New Roman"/>
                <w:color w:val="000000" w:themeColor="text1"/>
                <w:sz w:val="20"/>
                <w:szCs w:val="20"/>
              </w:rPr>
              <w:t>2E-01</w:t>
            </w:r>
          </w:p>
        </w:tc>
      </w:tr>
    </w:tbl>
    <w:p w14:paraId="099BED9C" w14:textId="77777777" w:rsidR="00E74CF4" w:rsidRDefault="00E74CF4" w:rsidP="00E74CF4">
      <w:pPr>
        <w:jc w:val="both"/>
        <w:rPr>
          <w:b/>
          <w:bCs/>
        </w:rPr>
      </w:pPr>
    </w:p>
    <w:p w14:paraId="3DF72FEC" w14:textId="77777777" w:rsidR="00E74CF4" w:rsidRDefault="00E74CF4" w:rsidP="00E74CF4">
      <w:pPr>
        <w:jc w:val="both"/>
        <w:rPr>
          <w:b/>
          <w:bCs/>
        </w:rPr>
      </w:pPr>
    </w:p>
    <w:p w14:paraId="71A57B85" w14:textId="77777777" w:rsidR="00046CCE" w:rsidRPr="00046CCE" w:rsidRDefault="00046CCE" w:rsidP="00046CCE"/>
    <w:p w14:paraId="68981925" w14:textId="77777777" w:rsidR="00DD79DB" w:rsidRDefault="00DD79DB"/>
    <w:p w14:paraId="42114F5D" w14:textId="77777777" w:rsidR="00DD79DB" w:rsidRDefault="00DD79DB"/>
    <w:p w14:paraId="134D39D9" w14:textId="77777777" w:rsidR="00DD79DB" w:rsidRDefault="00DD79DB"/>
    <w:p w14:paraId="63FF90B0" w14:textId="77777777" w:rsidR="00DD79DB" w:rsidRDefault="00DD79DB"/>
    <w:p w14:paraId="6C99004C" w14:textId="77777777" w:rsidR="00DD79DB" w:rsidRDefault="00DD79DB"/>
    <w:p w14:paraId="49A76212" w14:textId="77777777" w:rsidR="00DD79DB" w:rsidRDefault="00DD79DB"/>
    <w:p w14:paraId="471528F7" w14:textId="77777777" w:rsidR="00DD79DB" w:rsidRDefault="00DD79DB"/>
    <w:p w14:paraId="2BD02594" w14:textId="77777777" w:rsidR="00DD79DB" w:rsidRDefault="00DD79DB"/>
    <w:p w14:paraId="566946B2" w14:textId="77777777" w:rsidR="00DD79DB" w:rsidRDefault="00DD79DB"/>
    <w:p w14:paraId="231FFA3E" w14:textId="77777777" w:rsidR="00DD79DB" w:rsidRDefault="00DD79DB"/>
    <w:p w14:paraId="6E0643AA" w14:textId="77777777" w:rsidR="00DD79DB" w:rsidRDefault="00DD79DB"/>
    <w:p w14:paraId="2DE4FAB8" w14:textId="77777777" w:rsidR="00DD79DB" w:rsidRDefault="00DD79DB"/>
    <w:p w14:paraId="11729CB2" w14:textId="77777777" w:rsidR="00DD79DB" w:rsidRDefault="00DD79DB"/>
    <w:p w14:paraId="043BB917" w14:textId="77777777" w:rsidR="00DD79DB" w:rsidRDefault="00DD79DB"/>
    <w:p w14:paraId="60B8B242" w14:textId="77777777" w:rsidR="00DD79DB" w:rsidRDefault="00DD79DB"/>
    <w:p w14:paraId="6FBC0E22" w14:textId="77777777" w:rsidR="00DD79DB" w:rsidRDefault="00DD79DB"/>
    <w:p w14:paraId="23672D94" w14:textId="77777777" w:rsidR="00DD79DB" w:rsidRDefault="00DD79DB"/>
    <w:p w14:paraId="32CA2703" w14:textId="77777777" w:rsidR="00DD79DB" w:rsidRDefault="00DD79DB"/>
    <w:p w14:paraId="1D97BC40" w14:textId="1DEC8E5F" w:rsidR="00DD79DB" w:rsidRPr="0071294B" w:rsidRDefault="00DD79DB">
      <w:pPr>
        <w:rPr>
          <w:rFonts w:ascii="Times New Roman" w:hAnsi="Times New Roman" w:cs="Times New Roman"/>
          <w:b/>
          <w:bCs/>
          <w:sz w:val="20"/>
          <w:szCs w:val="20"/>
        </w:rPr>
      </w:pPr>
      <w:r w:rsidRPr="0071294B">
        <w:rPr>
          <w:rFonts w:ascii="Times New Roman" w:hAnsi="Times New Roman" w:cs="Times New Roman"/>
          <w:b/>
          <w:bCs/>
          <w:sz w:val="20"/>
          <w:szCs w:val="20"/>
        </w:rPr>
        <w:lastRenderedPageBreak/>
        <w:t xml:space="preserve">References </w:t>
      </w:r>
    </w:p>
    <w:p w14:paraId="48771E3D" w14:textId="77777777" w:rsidR="00DD79DB" w:rsidRPr="0071294B" w:rsidRDefault="00DD79DB">
      <w:pPr>
        <w:rPr>
          <w:rFonts w:ascii="Times New Roman" w:hAnsi="Times New Roman" w:cs="Times New Roman"/>
          <w:sz w:val="20"/>
          <w:szCs w:val="20"/>
        </w:rPr>
      </w:pPr>
    </w:p>
    <w:p w14:paraId="04F32454" w14:textId="77777777" w:rsidR="00E54AC9" w:rsidRDefault="00DD79DB" w:rsidP="00E54AC9">
      <w:pPr>
        <w:pStyle w:val="EndNoteBibliography"/>
        <w:jc w:val="both"/>
        <w:rPr>
          <w:rFonts w:ascii="Times New Roman" w:hAnsi="Times New Roman" w:cs="Times New Roman"/>
          <w:noProof/>
          <w:sz w:val="20"/>
          <w:szCs w:val="20"/>
        </w:rPr>
      </w:pPr>
      <w:r w:rsidRPr="00E54AC9">
        <w:rPr>
          <w:rFonts w:ascii="Times New Roman" w:hAnsi="Times New Roman" w:cs="Times New Roman"/>
          <w:sz w:val="20"/>
          <w:szCs w:val="20"/>
        </w:rPr>
        <w:fldChar w:fldCharType="begin"/>
      </w:r>
      <w:r w:rsidRPr="00E54AC9">
        <w:rPr>
          <w:rFonts w:ascii="Times New Roman" w:hAnsi="Times New Roman" w:cs="Times New Roman"/>
          <w:sz w:val="20"/>
          <w:szCs w:val="20"/>
        </w:rPr>
        <w:instrText xml:space="preserve"> ADDIN EN.REFLIST </w:instrText>
      </w:r>
      <w:r w:rsidRPr="00E54AC9">
        <w:rPr>
          <w:rFonts w:ascii="Times New Roman" w:hAnsi="Times New Roman" w:cs="Times New Roman"/>
          <w:sz w:val="20"/>
          <w:szCs w:val="20"/>
        </w:rPr>
        <w:fldChar w:fldCharType="separate"/>
      </w:r>
      <w:r w:rsidR="00E54AC9" w:rsidRPr="00E54AC9">
        <w:rPr>
          <w:rFonts w:ascii="Times New Roman" w:hAnsi="Times New Roman" w:cs="Times New Roman"/>
          <w:noProof/>
          <w:sz w:val="20"/>
          <w:szCs w:val="20"/>
        </w:rPr>
        <w:t xml:space="preserve">Varnavides, G., Madern, M., Anrather, D., Hartl, N., Reiter, W. &amp; Hartl, M. (2022) In search of a universal method: a comparative survey of bottom-up proteomics sample preparation methods. </w:t>
      </w:r>
      <w:r w:rsidR="00E54AC9" w:rsidRPr="00E54AC9">
        <w:rPr>
          <w:rFonts w:ascii="Times New Roman" w:hAnsi="Times New Roman" w:cs="Times New Roman"/>
          <w:i/>
          <w:noProof/>
          <w:sz w:val="20"/>
          <w:szCs w:val="20"/>
        </w:rPr>
        <w:t>Journal of Proteome Research</w:t>
      </w:r>
      <w:r w:rsidR="00E54AC9" w:rsidRPr="00E54AC9">
        <w:rPr>
          <w:rFonts w:ascii="Times New Roman" w:hAnsi="Times New Roman" w:cs="Times New Roman"/>
          <w:noProof/>
          <w:sz w:val="20"/>
          <w:szCs w:val="20"/>
        </w:rPr>
        <w:t>, 21(10), 2397-2411.</w:t>
      </w:r>
    </w:p>
    <w:p w14:paraId="04EABBC3" w14:textId="77777777" w:rsidR="00E54AC9" w:rsidRPr="00E54AC9" w:rsidRDefault="00E54AC9" w:rsidP="00E54AC9">
      <w:pPr>
        <w:pStyle w:val="EndNoteBibliography"/>
        <w:jc w:val="both"/>
        <w:rPr>
          <w:rFonts w:ascii="Times New Roman" w:hAnsi="Times New Roman" w:cs="Times New Roman"/>
          <w:noProof/>
          <w:sz w:val="20"/>
          <w:szCs w:val="20"/>
        </w:rPr>
      </w:pPr>
    </w:p>
    <w:p w14:paraId="397E9054" w14:textId="77777777" w:rsidR="00E54AC9" w:rsidRPr="00E54AC9" w:rsidRDefault="00E54AC9" w:rsidP="00E54AC9">
      <w:pPr>
        <w:pStyle w:val="EndNoteBibliography"/>
        <w:jc w:val="both"/>
        <w:rPr>
          <w:rFonts w:ascii="Times New Roman" w:hAnsi="Times New Roman" w:cs="Times New Roman"/>
          <w:noProof/>
          <w:sz w:val="20"/>
          <w:szCs w:val="20"/>
        </w:rPr>
      </w:pPr>
      <w:r w:rsidRPr="00E54AC9">
        <w:rPr>
          <w:rFonts w:ascii="Times New Roman" w:hAnsi="Times New Roman" w:cs="Times New Roman"/>
          <w:noProof/>
          <w:sz w:val="20"/>
          <w:szCs w:val="20"/>
        </w:rPr>
        <w:t xml:space="preserve">Wu, D. &amp; Yotnda, P. (2011) Production and detection of reactive oxygen species (ROS) in cancers. </w:t>
      </w:r>
      <w:r w:rsidRPr="00E54AC9">
        <w:rPr>
          <w:rFonts w:ascii="Times New Roman" w:hAnsi="Times New Roman" w:cs="Times New Roman"/>
          <w:i/>
          <w:noProof/>
          <w:sz w:val="20"/>
          <w:szCs w:val="20"/>
        </w:rPr>
        <w:t>JoVE (Journal of Visualized Experiments)</w:t>
      </w:r>
      <w:r w:rsidRPr="00E54AC9">
        <w:rPr>
          <w:rFonts w:ascii="Times New Roman" w:hAnsi="Times New Roman" w:cs="Times New Roman"/>
          <w:noProof/>
          <w:sz w:val="20"/>
          <w:szCs w:val="20"/>
        </w:rPr>
        <w:t>(57), e3357.</w:t>
      </w:r>
    </w:p>
    <w:p w14:paraId="2D748062" w14:textId="749CABFA" w:rsidR="00DD79DB" w:rsidRPr="0071294B" w:rsidRDefault="00DD79DB" w:rsidP="00E54AC9">
      <w:pPr>
        <w:jc w:val="both"/>
        <w:rPr>
          <w:rFonts w:ascii="Times New Roman" w:hAnsi="Times New Roman" w:cs="Times New Roman"/>
          <w:sz w:val="20"/>
          <w:szCs w:val="20"/>
        </w:rPr>
      </w:pPr>
      <w:r w:rsidRPr="00E54AC9">
        <w:rPr>
          <w:rFonts w:ascii="Times New Roman" w:hAnsi="Times New Roman" w:cs="Times New Roman"/>
          <w:sz w:val="20"/>
          <w:szCs w:val="20"/>
        </w:rPr>
        <w:fldChar w:fldCharType="end"/>
      </w:r>
    </w:p>
    <w:p w14:paraId="2F0297EF" w14:textId="77777777" w:rsidR="00DD79DB" w:rsidRPr="0071294B" w:rsidRDefault="00DD79DB">
      <w:pPr>
        <w:rPr>
          <w:rFonts w:ascii="Times New Roman" w:hAnsi="Times New Roman" w:cs="Times New Roman"/>
          <w:sz w:val="20"/>
          <w:szCs w:val="20"/>
        </w:rPr>
      </w:pPr>
    </w:p>
    <w:p w14:paraId="6E8D3B1F" w14:textId="77777777" w:rsidR="00DD79DB" w:rsidRPr="0071294B" w:rsidRDefault="00DD79DB">
      <w:pPr>
        <w:rPr>
          <w:rFonts w:ascii="Times New Roman" w:hAnsi="Times New Roman" w:cs="Times New Roman"/>
          <w:sz w:val="20"/>
          <w:szCs w:val="20"/>
        </w:rPr>
      </w:pPr>
    </w:p>
    <w:p w14:paraId="22616E78" w14:textId="77777777" w:rsidR="00DD79DB" w:rsidRDefault="00DD79DB"/>
    <w:p w14:paraId="7CF86BE6" w14:textId="77777777" w:rsidR="00DD79DB" w:rsidRDefault="00DD79DB"/>
    <w:sectPr w:rsidR="00DD79DB" w:rsidSect="002620AE">
      <w:headerReference w:type="default" r:id="rId12"/>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67E46B" w14:textId="77777777" w:rsidR="002620AE" w:rsidRDefault="002620AE" w:rsidP="00E74CF4">
      <w:r>
        <w:separator/>
      </w:r>
    </w:p>
  </w:endnote>
  <w:endnote w:type="continuationSeparator" w:id="0">
    <w:p w14:paraId="1D18E3D5" w14:textId="77777777" w:rsidR="002620AE" w:rsidRDefault="002620AE" w:rsidP="00E74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E2C634" w14:textId="77777777" w:rsidR="002620AE" w:rsidRDefault="002620AE" w:rsidP="00E74CF4">
      <w:r>
        <w:separator/>
      </w:r>
    </w:p>
  </w:footnote>
  <w:footnote w:type="continuationSeparator" w:id="0">
    <w:p w14:paraId="614C72DD" w14:textId="77777777" w:rsidR="002620AE" w:rsidRDefault="002620AE" w:rsidP="00E74C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A9518" w14:textId="6FCF6674" w:rsidR="00E74CF4" w:rsidRPr="00E74CF4" w:rsidRDefault="00E74CF4">
    <w:pPr>
      <w:pStyle w:val="Header"/>
      <w:rPr>
        <w:rFonts w:ascii="Times New Roman" w:hAnsi="Times New Roman" w:cs="Times New Roman"/>
        <w:b/>
        <w:bCs/>
      </w:rPr>
    </w:pPr>
    <w:r w:rsidRPr="00E74CF4">
      <w:rPr>
        <w:rFonts w:ascii="Times New Roman" w:hAnsi="Times New Roman" w:cs="Times New Roman"/>
        <w:b/>
        <w:bCs/>
      </w:rPr>
      <w:t>Supplementary File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A77E1"/>
    <w:multiLevelType w:val="hybridMultilevel"/>
    <w:tmpl w:val="F7867F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D96AF4"/>
    <w:multiLevelType w:val="multilevel"/>
    <w:tmpl w:val="0C906D6E"/>
    <w:styleLink w:val="CurrentList1"/>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30B000E9"/>
    <w:multiLevelType w:val="hybridMultilevel"/>
    <w:tmpl w:val="0C906D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2717B7A"/>
    <w:multiLevelType w:val="hybridMultilevel"/>
    <w:tmpl w:val="77F0D608"/>
    <w:lvl w:ilvl="0" w:tplc="82DE16C8">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83D578C"/>
    <w:multiLevelType w:val="multilevel"/>
    <w:tmpl w:val="DED40B2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0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1871138815">
    <w:abstractNumId w:val="2"/>
  </w:num>
  <w:num w:numId="2" w16cid:durableId="870799251">
    <w:abstractNumId w:val="4"/>
  </w:num>
  <w:num w:numId="3" w16cid:durableId="1881550853">
    <w:abstractNumId w:val="1"/>
  </w:num>
  <w:num w:numId="4" w16cid:durableId="1020160789">
    <w:abstractNumId w:val="3"/>
  </w:num>
  <w:num w:numId="5" w16cid:durableId="10395472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Harvard Author Year (Hull)&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67643F"/>
    <w:rsid w:val="00001BC3"/>
    <w:rsid w:val="00004FD3"/>
    <w:rsid w:val="00007E99"/>
    <w:rsid w:val="0001287D"/>
    <w:rsid w:val="000133DF"/>
    <w:rsid w:val="000323F2"/>
    <w:rsid w:val="000342F6"/>
    <w:rsid w:val="00041492"/>
    <w:rsid w:val="00044A7F"/>
    <w:rsid w:val="0004509C"/>
    <w:rsid w:val="00046CCE"/>
    <w:rsid w:val="000A0D62"/>
    <w:rsid w:val="000A7120"/>
    <w:rsid w:val="000D2363"/>
    <w:rsid w:val="000D4B90"/>
    <w:rsid w:val="000E1D17"/>
    <w:rsid w:val="000E226B"/>
    <w:rsid w:val="000F4D0F"/>
    <w:rsid w:val="000F6FB5"/>
    <w:rsid w:val="00105DB4"/>
    <w:rsid w:val="00120400"/>
    <w:rsid w:val="0013267A"/>
    <w:rsid w:val="00132FD1"/>
    <w:rsid w:val="00153B5E"/>
    <w:rsid w:val="001614D6"/>
    <w:rsid w:val="001710C8"/>
    <w:rsid w:val="001717DE"/>
    <w:rsid w:val="00174039"/>
    <w:rsid w:val="00174474"/>
    <w:rsid w:val="00180651"/>
    <w:rsid w:val="00181D72"/>
    <w:rsid w:val="0018343C"/>
    <w:rsid w:val="00184349"/>
    <w:rsid w:val="001859EA"/>
    <w:rsid w:val="00195F3F"/>
    <w:rsid w:val="001A265E"/>
    <w:rsid w:val="001A3085"/>
    <w:rsid w:val="001B7EA5"/>
    <w:rsid w:val="001C0ED4"/>
    <w:rsid w:val="001C507C"/>
    <w:rsid w:val="001D33C6"/>
    <w:rsid w:val="001D5B72"/>
    <w:rsid w:val="001E379B"/>
    <w:rsid w:val="001E58CE"/>
    <w:rsid w:val="001F0302"/>
    <w:rsid w:val="002241FA"/>
    <w:rsid w:val="00225944"/>
    <w:rsid w:val="00246BBE"/>
    <w:rsid w:val="00260B05"/>
    <w:rsid w:val="002620AE"/>
    <w:rsid w:val="00262768"/>
    <w:rsid w:val="00262D2A"/>
    <w:rsid w:val="002722F6"/>
    <w:rsid w:val="0027306D"/>
    <w:rsid w:val="00273513"/>
    <w:rsid w:val="00282056"/>
    <w:rsid w:val="00291F1D"/>
    <w:rsid w:val="002920CD"/>
    <w:rsid w:val="002B4230"/>
    <w:rsid w:val="002B7E16"/>
    <w:rsid w:val="002C36F8"/>
    <w:rsid w:val="002D7C2C"/>
    <w:rsid w:val="002E36A9"/>
    <w:rsid w:val="002E6F76"/>
    <w:rsid w:val="002F4086"/>
    <w:rsid w:val="00305AFD"/>
    <w:rsid w:val="00311489"/>
    <w:rsid w:val="0032594F"/>
    <w:rsid w:val="0033370C"/>
    <w:rsid w:val="0036323A"/>
    <w:rsid w:val="003731AB"/>
    <w:rsid w:val="00377365"/>
    <w:rsid w:val="00393380"/>
    <w:rsid w:val="00395B9C"/>
    <w:rsid w:val="003963E2"/>
    <w:rsid w:val="003C4871"/>
    <w:rsid w:val="003C5845"/>
    <w:rsid w:val="003D4AD8"/>
    <w:rsid w:val="003E3826"/>
    <w:rsid w:val="003E5C14"/>
    <w:rsid w:val="003F06FE"/>
    <w:rsid w:val="003F1806"/>
    <w:rsid w:val="004074F9"/>
    <w:rsid w:val="00414515"/>
    <w:rsid w:val="00420F18"/>
    <w:rsid w:val="004212D3"/>
    <w:rsid w:val="004215E9"/>
    <w:rsid w:val="00424C5D"/>
    <w:rsid w:val="00440FAD"/>
    <w:rsid w:val="0044124E"/>
    <w:rsid w:val="00442E1A"/>
    <w:rsid w:val="00463499"/>
    <w:rsid w:val="00471996"/>
    <w:rsid w:val="004751BB"/>
    <w:rsid w:val="00475CFC"/>
    <w:rsid w:val="00490573"/>
    <w:rsid w:val="00493F44"/>
    <w:rsid w:val="004A6A60"/>
    <w:rsid w:val="004B47A1"/>
    <w:rsid w:val="004B4F8F"/>
    <w:rsid w:val="004B6F40"/>
    <w:rsid w:val="004C0F60"/>
    <w:rsid w:val="004C3883"/>
    <w:rsid w:val="004C428B"/>
    <w:rsid w:val="004C6187"/>
    <w:rsid w:val="004D4227"/>
    <w:rsid w:val="004D7958"/>
    <w:rsid w:val="004E024A"/>
    <w:rsid w:val="004E5AA7"/>
    <w:rsid w:val="004F4634"/>
    <w:rsid w:val="004F6636"/>
    <w:rsid w:val="004F7F78"/>
    <w:rsid w:val="00514152"/>
    <w:rsid w:val="0052363A"/>
    <w:rsid w:val="005259BC"/>
    <w:rsid w:val="0053133E"/>
    <w:rsid w:val="00534992"/>
    <w:rsid w:val="005458C9"/>
    <w:rsid w:val="005466E5"/>
    <w:rsid w:val="00550399"/>
    <w:rsid w:val="00555B4A"/>
    <w:rsid w:val="00570E4F"/>
    <w:rsid w:val="00574878"/>
    <w:rsid w:val="00575322"/>
    <w:rsid w:val="0059104D"/>
    <w:rsid w:val="005B058C"/>
    <w:rsid w:val="005B1F38"/>
    <w:rsid w:val="005C59E1"/>
    <w:rsid w:val="005C5CA7"/>
    <w:rsid w:val="005D2C2F"/>
    <w:rsid w:val="005D4EBF"/>
    <w:rsid w:val="005D5262"/>
    <w:rsid w:val="005D74AC"/>
    <w:rsid w:val="005E31E1"/>
    <w:rsid w:val="005E5AA1"/>
    <w:rsid w:val="005F03D4"/>
    <w:rsid w:val="005F79AA"/>
    <w:rsid w:val="00606FCB"/>
    <w:rsid w:val="00611E31"/>
    <w:rsid w:val="00612629"/>
    <w:rsid w:val="006155FE"/>
    <w:rsid w:val="00631106"/>
    <w:rsid w:val="00636F04"/>
    <w:rsid w:val="00642B80"/>
    <w:rsid w:val="0064343B"/>
    <w:rsid w:val="0067302A"/>
    <w:rsid w:val="0067643F"/>
    <w:rsid w:val="00686D1D"/>
    <w:rsid w:val="006941C8"/>
    <w:rsid w:val="006B6962"/>
    <w:rsid w:val="006C1F14"/>
    <w:rsid w:val="006D5E85"/>
    <w:rsid w:val="00710EAE"/>
    <w:rsid w:val="00711935"/>
    <w:rsid w:val="0071294B"/>
    <w:rsid w:val="00715835"/>
    <w:rsid w:val="007449F2"/>
    <w:rsid w:val="00756BD0"/>
    <w:rsid w:val="00763B1A"/>
    <w:rsid w:val="00771173"/>
    <w:rsid w:val="00774292"/>
    <w:rsid w:val="0077569E"/>
    <w:rsid w:val="007849CC"/>
    <w:rsid w:val="007946EB"/>
    <w:rsid w:val="007A6199"/>
    <w:rsid w:val="007A7212"/>
    <w:rsid w:val="007B5B57"/>
    <w:rsid w:val="007C7B69"/>
    <w:rsid w:val="007D29D6"/>
    <w:rsid w:val="007E434E"/>
    <w:rsid w:val="00830E58"/>
    <w:rsid w:val="00841F8F"/>
    <w:rsid w:val="00851EC9"/>
    <w:rsid w:val="00852677"/>
    <w:rsid w:val="00854A30"/>
    <w:rsid w:val="00860A1F"/>
    <w:rsid w:val="00861A99"/>
    <w:rsid w:val="00872506"/>
    <w:rsid w:val="00873A60"/>
    <w:rsid w:val="00874C79"/>
    <w:rsid w:val="00880CA4"/>
    <w:rsid w:val="0088593F"/>
    <w:rsid w:val="00890EC3"/>
    <w:rsid w:val="00893055"/>
    <w:rsid w:val="008A3850"/>
    <w:rsid w:val="008B409A"/>
    <w:rsid w:val="008B621E"/>
    <w:rsid w:val="008C5AA7"/>
    <w:rsid w:val="008D0B32"/>
    <w:rsid w:val="00903C25"/>
    <w:rsid w:val="00916001"/>
    <w:rsid w:val="00920869"/>
    <w:rsid w:val="009316B4"/>
    <w:rsid w:val="009324DE"/>
    <w:rsid w:val="00944EA1"/>
    <w:rsid w:val="00946AD0"/>
    <w:rsid w:val="00953CF4"/>
    <w:rsid w:val="00956B96"/>
    <w:rsid w:val="009644DF"/>
    <w:rsid w:val="00967E3C"/>
    <w:rsid w:val="009726A9"/>
    <w:rsid w:val="00976D2D"/>
    <w:rsid w:val="00980677"/>
    <w:rsid w:val="0098425E"/>
    <w:rsid w:val="00990C57"/>
    <w:rsid w:val="00991C7A"/>
    <w:rsid w:val="0099262D"/>
    <w:rsid w:val="00992C65"/>
    <w:rsid w:val="009A73C8"/>
    <w:rsid w:val="009B1224"/>
    <w:rsid w:val="009B40EE"/>
    <w:rsid w:val="009D6112"/>
    <w:rsid w:val="009E776C"/>
    <w:rsid w:val="009E7D2B"/>
    <w:rsid w:val="009F1477"/>
    <w:rsid w:val="00A048EA"/>
    <w:rsid w:val="00A05772"/>
    <w:rsid w:val="00A05A8D"/>
    <w:rsid w:val="00A22F2C"/>
    <w:rsid w:val="00A32237"/>
    <w:rsid w:val="00A34E82"/>
    <w:rsid w:val="00A405E7"/>
    <w:rsid w:val="00A54B07"/>
    <w:rsid w:val="00A56B0F"/>
    <w:rsid w:val="00A63098"/>
    <w:rsid w:val="00A74F0B"/>
    <w:rsid w:val="00A7514B"/>
    <w:rsid w:val="00A83B4F"/>
    <w:rsid w:val="00A916F6"/>
    <w:rsid w:val="00AB5D29"/>
    <w:rsid w:val="00AB6E75"/>
    <w:rsid w:val="00AC3876"/>
    <w:rsid w:val="00AD447B"/>
    <w:rsid w:val="00AE4245"/>
    <w:rsid w:val="00B00F8C"/>
    <w:rsid w:val="00B1566D"/>
    <w:rsid w:val="00B20088"/>
    <w:rsid w:val="00B3432F"/>
    <w:rsid w:val="00B37CAE"/>
    <w:rsid w:val="00B60625"/>
    <w:rsid w:val="00B6198C"/>
    <w:rsid w:val="00B6499A"/>
    <w:rsid w:val="00B71973"/>
    <w:rsid w:val="00B71C0C"/>
    <w:rsid w:val="00B954E7"/>
    <w:rsid w:val="00BA0E96"/>
    <w:rsid w:val="00BA38D2"/>
    <w:rsid w:val="00BC326E"/>
    <w:rsid w:val="00BD4413"/>
    <w:rsid w:val="00BE4A9F"/>
    <w:rsid w:val="00BF27C8"/>
    <w:rsid w:val="00C27FBB"/>
    <w:rsid w:val="00C36D1F"/>
    <w:rsid w:val="00C400C5"/>
    <w:rsid w:val="00C436B6"/>
    <w:rsid w:val="00C44FCB"/>
    <w:rsid w:val="00C74C8D"/>
    <w:rsid w:val="00CA1805"/>
    <w:rsid w:val="00CC26AA"/>
    <w:rsid w:val="00CC4BE2"/>
    <w:rsid w:val="00CD25F4"/>
    <w:rsid w:val="00CF3E29"/>
    <w:rsid w:val="00D12326"/>
    <w:rsid w:val="00D12A87"/>
    <w:rsid w:val="00D171A1"/>
    <w:rsid w:val="00D2544E"/>
    <w:rsid w:val="00D44C63"/>
    <w:rsid w:val="00D83F23"/>
    <w:rsid w:val="00D8455D"/>
    <w:rsid w:val="00D879DC"/>
    <w:rsid w:val="00D93DAB"/>
    <w:rsid w:val="00D95509"/>
    <w:rsid w:val="00DB4B31"/>
    <w:rsid w:val="00DB5379"/>
    <w:rsid w:val="00DB7CB3"/>
    <w:rsid w:val="00DC0765"/>
    <w:rsid w:val="00DC3AB7"/>
    <w:rsid w:val="00DC7B83"/>
    <w:rsid w:val="00DD79DB"/>
    <w:rsid w:val="00DE385E"/>
    <w:rsid w:val="00DE78D8"/>
    <w:rsid w:val="00DF038F"/>
    <w:rsid w:val="00E1385B"/>
    <w:rsid w:val="00E172AC"/>
    <w:rsid w:val="00E22773"/>
    <w:rsid w:val="00E41D4C"/>
    <w:rsid w:val="00E5076E"/>
    <w:rsid w:val="00E53438"/>
    <w:rsid w:val="00E54156"/>
    <w:rsid w:val="00E54AC9"/>
    <w:rsid w:val="00E563CE"/>
    <w:rsid w:val="00E714B7"/>
    <w:rsid w:val="00E746D5"/>
    <w:rsid w:val="00E74CF4"/>
    <w:rsid w:val="00E8728F"/>
    <w:rsid w:val="00E91DBD"/>
    <w:rsid w:val="00EA15B3"/>
    <w:rsid w:val="00EC0D2A"/>
    <w:rsid w:val="00EC71AF"/>
    <w:rsid w:val="00ED0BB6"/>
    <w:rsid w:val="00ED6B8A"/>
    <w:rsid w:val="00EE5962"/>
    <w:rsid w:val="00EE6E20"/>
    <w:rsid w:val="00EF4AF4"/>
    <w:rsid w:val="00F164DF"/>
    <w:rsid w:val="00F22E6D"/>
    <w:rsid w:val="00F22F2E"/>
    <w:rsid w:val="00F239BE"/>
    <w:rsid w:val="00F23B4C"/>
    <w:rsid w:val="00F32414"/>
    <w:rsid w:val="00F435E8"/>
    <w:rsid w:val="00F5651A"/>
    <w:rsid w:val="00F6434A"/>
    <w:rsid w:val="00F72467"/>
    <w:rsid w:val="00F852DB"/>
    <w:rsid w:val="00F92467"/>
    <w:rsid w:val="00F93159"/>
    <w:rsid w:val="00FA39CA"/>
    <w:rsid w:val="00FB6BBC"/>
    <w:rsid w:val="00FC4AFC"/>
    <w:rsid w:val="00FD2180"/>
    <w:rsid w:val="00FE0322"/>
    <w:rsid w:val="00FE1B40"/>
    <w:rsid w:val="00FE4A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F768B"/>
  <w15:chartTrackingRefBased/>
  <w15:docId w15:val="{23CEDD11-71F9-FA4E-A2E9-A1EAC7F0F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643F"/>
  </w:style>
  <w:style w:type="paragraph" w:styleId="Heading1">
    <w:name w:val="heading 1"/>
    <w:basedOn w:val="Normal"/>
    <w:next w:val="Normal"/>
    <w:link w:val="Heading1Char"/>
    <w:uiPriority w:val="9"/>
    <w:qFormat/>
    <w:rsid w:val="00046CCE"/>
    <w:pPr>
      <w:keepNext/>
      <w:keepLines/>
      <w:numPr>
        <w:numId w:val="2"/>
      </w:numPr>
      <w:spacing w:after="120" w:line="360" w:lineRule="auto"/>
      <w:jc w:val="both"/>
      <w:outlineLvl w:val="0"/>
    </w:pPr>
    <w:rPr>
      <w:rFonts w:ascii="Times New Roman" w:eastAsiaTheme="majorEastAsia" w:hAnsi="Times New Roman" w:cstheme="majorBidi"/>
      <w:b/>
      <w:color w:val="000000" w:themeColor="text1"/>
      <w:szCs w:val="40"/>
    </w:rPr>
  </w:style>
  <w:style w:type="paragraph" w:styleId="Heading2">
    <w:name w:val="heading 2"/>
    <w:basedOn w:val="Normal"/>
    <w:next w:val="Normal"/>
    <w:link w:val="Heading2Char"/>
    <w:uiPriority w:val="9"/>
    <w:unhideWhenUsed/>
    <w:qFormat/>
    <w:rsid w:val="00046CCE"/>
    <w:pPr>
      <w:keepNext/>
      <w:keepLines/>
      <w:numPr>
        <w:ilvl w:val="1"/>
        <w:numId w:val="2"/>
      </w:numPr>
      <w:spacing w:after="120" w:line="360" w:lineRule="auto"/>
      <w:jc w:val="both"/>
      <w:outlineLvl w:val="1"/>
    </w:pPr>
    <w:rPr>
      <w:rFonts w:ascii="Times New Roman" w:eastAsiaTheme="majorEastAsia" w:hAnsi="Times New Roman" w:cstheme="majorBidi"/>
      <w:color w:val="000000" w:themeColor="text1"/>
      <w:szCs w:val="32"/>
    </w:rPr>
  </w:style>
  <w:style w:type="paragraph" w:styleId="Heading3">
    <w:name w:val="heading 3"/>
    <w:basedOn w:val="Normal"/>
    <w:next w:val="Normal"/>
    <w:link w:val="Heading3Char"/>
    <w:uiPriority w:val="9"/>
    <w:unhideWhenUsed/>
    <w:qFormat/>
    <w:rsid w:val="00E53438"/>
    <w:pPr>
      <w:keepNext/>
      <w:keepLines/>
      <w:numPr>
        <w:ilvl w:val="2"/>
        <w:numId w:val="2"/>
      </w:numPr>
      <w:spacing w:after="120" w:line="360" w:lineRule="auto"/>
      <w:ind w:left="720"/>
      <w:jc w:val="both"/>
      <w:outlineLvl w:val="2"/>
    </w:pPr>
    <w:rPr>
      <w:rFonts w:ascii="Times New Roman" w:eastAsiaTheme="majorEastAsia" w:hAnsi="Times New Roman" w:cstheme="majorBidi"/>
      <w:b/>
      <w:color w:val="000000" w:themeColor="text1"/>
      <w:szCs w:val="28"/>
    </w:rPr>
  </w:style>
  <w:style w:type="paragraph" w:styleId="Heading4">
    <w:name w:val="heading 4"/>
    <w:basedOn w:val="Normal"/>
    <w:next w:val="Normal"/>
    <w:link w:val="Heading4Char"/>
    <w:uiPriority w:val="9"/>
    <w:semiHidden/>
    <w:unhideWhenUsed/>
    <w:qFormat/>
    <w:rsid w:val="00046CCE"/>
    <w:pPr>
      <w:keepNext/>
      <w:keepLines/>
      <w:numPr>
        <w:ilvl w:val="3"/>
        <w:numId w:val="2"/>
      </w:numPr>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6CCE"/>
    <w:pPr>
      <w:keepNext/>
      <w:keepLines/>
      <w:numPr>
        <w:ilvl w:val="4"/>
        <w:numId w:val="2"/>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6CCE"/>
    <w:pPr>
      <w:keepNext/>
      <w:keepLines/>
      <w:numPr>
        <w:ilvl w:val="5"/>
        <w:numId w:val="2"/>
      </w:numPr>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6CCE"/>
    <w:pPr>
      <w:keepNext/>
      <w:keepLines/>
      <w:numPr>
        <w:ilvl w:val="6"/>
        <w:numId w:val="2"/>
      </w:numPr>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6CCE"/>
    <w:pPr>
      <w:keepNext/>
      <w:keepLines/>
      <w:numPr>
        <w:ilvl w:val="7"/>
        <w:numId w:val="2"/>
      </w:numPr>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6CCE"/>
    <w:pPr>
      <w:keepNext/>
      <w:keepLines/>
      <w:numPr>
        <w:ilvl w:val="8"/>
        <w:numId w:val="2"/>
      </w:numPr>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6CCE"/>
    <w:rPr>
      <w:rFonts w:ascii="Times New Roman" w:eastAsiaTheme="majorEastAsia" w:hAnsi="Times New Roman" w:cstheme="majorBidi"/>
      <w:b/>
      <w:color w:val="000000" w:themeColor="text1"/>
      <w:szCs w:val="40"/>
    </w:rPr>
  </w:style>
  <w:style w:type="character" w:customStyle="1" w:styleId="Heading2Char">
    <w:name w:val="Heading 2 Char"/>
    <w:basedOn w:val="DefaultParagraphFont"/>
    <w:link w:val="Heading2"/>
    <w:uiPriority w:val="9"/>
    <w:semiHidden/>
    <w:rsid w:val="00046CCE"/>
    <w:rPr>
      <w:rFonts w:ascii="Times New Roman" w:eastAsiaTheme="majorEastAsia" w:hAnsi="Times New Roman" w:cstheme="majorBidi"/>
      <w:color w:val="000000" w:themeColor="text1"/>
      <w:szCs w:val="32"/>
    </w:rPr>
  </w:style>
  <w:style w:type="character" w:customStyle="1" w:styleId="Heading3Char">
    <w:name w:val="Heading 3 Char"/>
    <w:basedOn w:val="DefaultParagraphFont"/>
    <w:link w:val="Heading3"/>
    <w:uiPriority w:val="9"/>
    <w:rsid w:val="00E53438"/>
    <w:rPr>
      <w:rFonts w:ascii="Times New Roman" w:eastAsiaTheme="majorEastAsia" w:hAnsi="Times New Roman" w:cstheme="majorBidi"/>
      <w:b/>
      <w:color w:val="000000" w:themeColor="text1"/>
      <w:szCs w:val="28"/>
    </w:rPr>
  </w:style>
  <w:style w:type="character" w:customStyle="1" w:styleId="Heading4Char">
    <w:name w:val="Heading 4 Char"/>
    <w:basedOn w:val="DefaultParagraphFont"/>
    <w:link w:val="Heading4"/>
    <w:uiPriority w:val="9"/>
    <w:semiHidden/>
    <w:rsid w:val="006764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64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64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64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64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643F"/>
    <w:rPr>
      <w:rFonts w:eastAsiaTheme="majorEastAsia" w:cstheme="majorBidi"/>
      <w:color w:val="272727" w:themeColor="text1" w:themeTint="D8"/>
    </w:rPr>
  </w:style>
  <w:style w:type="paragraph" w:styleId="Title">
    <w:name w:val="Title"/>
    <w:basedOn w:val="Normal"/>
    <w:next w:val="Normal"/>
    <w:link w:val="TitleChar"/>
    <w:uiPriority w:val="10"/>
    <w:qFormat/>
    <w:rsid w:val="0067643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64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643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64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643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7643F"/>
    <w:rPr>
      <w:i/>
      <w:iCs/>
      <w:color w:val="404040" w:themeColor="text1" w:themeTint="BF"/>
    </w:rPr>
  </w:style>
  <w:style w:type="paragraph" w:styleId="ListParagraph">
    <w:name w:val="List Paragraph"/>
    <w:basedOn w:val="Normal"/>
    <w:uiPriority w:val="34"/>
    <w:qFormat/>
    <w:rsid w:val="0067643F"/>
    <w:pPr>
      <w:ind w:left="720"/>
      <w:contextualSpacing/>
    </w:pPr>
  </w:style>
  <w:style w:type="character" w:styleId="IntenseEmphasis">
    <w:name w:val="Intense Emphasis"/>
    <w:basedOn w:val="DefaultParagraphFont"/>
    <w:uiPriority w:val="21"/>
    <w:qFormat/>
    <w:rsid w:val="0067643F"/>
    <w:rPr>
      <w:i/>
      <w:iCs/>
      <w:color w:val="0F4761" w:themeColor="accent1" w:themeShade="BF"/>
    </w:rPr>
  </w:style>
  <w:style w:type="paragraph" w:styleId="IntenseQuote">
    <w:name w:val="Intense Quote"/>
    <w:basedOn w:val="Normal"/>
    <w:next w:val="Normal"/>
    <w:link w:val="IntenseQuoteChar"/>
    <w:uiPriority w:val="30"/>
    <w:qFormat/>
    <w:rsid w:val="006764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643F"/>
    <w:rPr>
      <w:i/>
      <w:iCs/>
      <w:color w:val="0F4761" w:themeColor="accent1" w:themeShade="BF"/>
    </w:rPr>
  </w:style>
  <w:style w:type="character" w:styleId="IntenseReference">
    <w:name w:val="Intense Reference"/>
    <w:basedOn w:val="DefaultParagraphFont"/>
    <w:uiPriority w:val="32"/>
    <w:qFormat/>
    <w:rsid w:val="0067643F"/>
    <w:rPr>
      <w:b/>
      <w:bCs/>
      <w:smallCaps/>
      <w:color w:val="0F4761" w:themeColor="accent1" w:themeShade="BF"/>
      <w:spacing w:val="5"/>
    </w:rPr>
  </w:style>
  <w:style w:type="paragraph" w:customStyle="1" w:styleId="MDPI13authornames">
    <w:name w:val="MDPI_1.3_authornames"/>
    <w:next w:val="Normal"/>
    <w:qFormat/>
    <w:rsid w:val="0067643F"/>
    <w:pPr>
      <w:adjustRightInd w:val="0"/>
      <w:snapToGrid w:val="0"/>
      <w:spacing w:after="360" w:line="260" w:lineRule="atLeast"/>
    </w:pPr>
    <w:rPr>
      <w:rFonts w:ascii="Palatino Linotype" w:eastAsia="Times New Roman" w:hAnsi="Palatino Linotype" w:cs="Times New Roman"/>
      <w:b/>
      <w:color w:val="000000"/>
      <w:sz w:val="20"/>
      <w:szCs w:val="22"/>
      <w:lang w:eastAsia="de-DE" w:bidi="en-US"/>
    </w:rPr>
  </w:style>
  <w:style w:type="character" w:styleId="Hyperlink">
    <w:name w:val="Hyperlink"/>
    <w:basedOn w:val="DefaultParagraphFont"/>
    <w:uiPriority w:val="99"/>
    <w:unhideWhenUsed/>
    <w:rsid w:val="0067643F"/>
    <w:rPr>
      <w:color w:val="0000FF"/>
      <w:u w:val="single"/>
    </w:rPr>
  </w:style>
  <w:style w:type="paragraph" w:customStyle="1" w:styleId="MDPI16affiliation">
    <w:name w:val="MDPI_1.6_affiliation"/>
    <w:qFormat/>
    <w:rsid w:val="0067643F"/>
    <w:pPr>
      <w:adjustRightInd w:val="0"/>
      <w:snapToGrid w:val="0"/>
      <w:spacing w:line="200" w:lineRule="atLeast"/>
      <w:ind w:left="2806" w:hanging="198"/>
    </w:pPr>
    <w:rPr>
      <w:rFonts w:ascii="Palatino Linotype" w:eastAsia="Times New Roman" w:hAnsi="Palatino Linotype" w:cs="Times New Roman"/>
      <w:color w:val="000000"/>
      <w:sz w:val="16"/>
      <w:szCs w:val="18"/>
      <w:lang w:eastAsia="de-DE" w:bidi="en-US"/>
    </w:rPr>
  </w:style>
  <w:style w:type="paragraph" w:customStyle="1" w:styleId="paragraph">
    <w:name w:val="paragraph"/>
    <w:basedOn w:val="Normal"/>
    <w:rsid w:val="00046CCE"/>
    <w:pPr>
      <w:spacing w:before="100" w:beforeAutospacing="1" w:after="100" w:afterAutospacing="1"/>
    </w:pPr>
    <w:rPr>
      <w:rFonts w:ascii="Times New Roman" w:eastAsia="Times New Roman" w:hAnsi="Times New Roman" w:cs="Times New Roman"/>
      <w:lang w:val="en-GB" w:eastAsia="en-GB"/>
    </w:rPr>
  </w:style>
  <w:style w:type="character" w:customStyle="1" w:styleId="normaltextrun">
    <w:name w:val="normaltextrun"/>
    <w:basedOn w:val="DefaultParagraphFont"/>
    <w:rsid w:val="00046CCE"/>
  </w:style>
  <w:style w:type="character" w:customStyle="1" w:styleId="eop">
    <w:name w:val="eop"/>
    <w:basedOn w:val="DefaultParagraphFont"/>
    <w:rsid w:val="00046CCE"/>
  </w:style>
  <w:style w:type="numbering" w:customStyle="1" w:styleId="CurrentList1">
    <w:name w:val="Current List1"/>
    <w:uiPriority w:val="99"/>
    <w:rsid w:val="00046CCE"/>
    <w:pPr>
      <w:numPr>
        <w:numId w:val="3"/>
      </w:numPr>
    </w:pPr>
  </w:style>
  <w:style w:type="table" w:styleId="TableGrid">
    <w:name w:val="Table Grid"/>
    <w:basedOn w:val="TableNormal"/>
    <w:uiPriority w:val="39"/>
    <w:rsid w:val="00E74C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74CF4"/>
    <w:pPr>
      <w:tabs>
        <w:tab w:val="center" w:pos="4680"/>
        <w:tab w:val="right" w:pos="9360"/>
      </w:tabs>
    </w:pPr>
  </w:style>
  <w:style w:type="character" w:customStyle="1" w:styleId="HeaderChar">
    <w:name w:val="Header Char"/>
    <w:basedOn w:val="DefaultParagraphFont"/>
    <w:link w:val="Header"/>
    <w:uiPriority w:val="99"/>
    <w:rsid w:val="00E74CF4"/>
  </w:style>
  <w:style w:type="paragraph" w:styleId="Footer">
    <w:name w:val="footer"/>
    <w:basedOn w:val="Normal"/>
    <w:link w:val="FooterChar"/>
    <w:uiPriority w:val="99"/>
    <w:unhideWhenUsed/>
    <w:rsid w:val="00E74CF4"/>
    <w:pPr>
      <w:tabs>
        <w:tab w:val="center" w:pos="4680"/>
        <w:tab w:val="right" w:pos="9360"/>
      </w:tabs>
    </w:pPr>
  </w:style>
  <w:style w:type="character" w:customStyle="1" w:styleId="FooterChar">
    <w:name w:val="Footer Char"/>
    <w:basedOn w:val="DefaultParagraphFont"/>
    <w:link w:val="Footer"/>
    <w:uiPriority w:val="99"/>
    <w:rsid w:val="00E74CF4"/>
  </w:style>
  <w:style w:type="paragraph" w:customStyle="1" w:styleId="EndNoteBibliographyTitle">
    <w:name w:val="EndNote Bibliography Title"/>
    <w:basedOn w:val="Normal"/>
    <w:link w:val="EndNoteBibliographyTitleChar"/>
    <w:rsid w:val="00DD79DB"/>
    <w:pPr>
      <w:jc w:val="center"/>
    </w:pPr>
    <w:rPr>
      <w:rFonts w:ascii="Aptos" w:hAnsi="Aptos"/>
    </w:rPr>
  </w:style>
  <w:style w:type="character" w:customStyle="1" w:styleId="EndNoteBibliographyTitleChar">
    <w:name w:val="EndNote Bibliography Title Char"/>
    <w:basedOn w:val="DefaultParagraphFont"/>
    <w:link w:val="EndNoteBibliographyTitle"/>
    <w:rsid w:val="00DD79DB"/>
    <w:rPr>
      <w:rFonts w:ascii="Aptos" w:hAnsi="Aptos"/>
    </w:rPr>
  </w:style>
  <w:style w:type="paragraph" w:customStyle="1" w:styleId="EndNoteBibliography">
    <w:name w:val="EndNote Bibliography"/>
    <w:basedOn w:val="Normal"/>
    <w:link w:val="EndNoteBibliographyChar"/>
    <w:rsid w:val="00DD79DB"/>
    <w:rPr>
      <w:rFonts w:ascii="Aptos" w:hAnsi="Aptos"/>
    </w:rPr>
  </w:style>
  <w:style w:type="character" w:customStyle="1" w:styleId="EndNoteBibliographyChar">
    <w:name w:val="EndNote Bibliography Char"/>
    <w:basedOn w:val="DefaultParagraphFont"/>
    <w:link w:val="EndNoteBibliography"/>
    <w:rsid w:val="00DD79DB"/>
    <w:rPr>
      <w:rFonts w:ascii="Aptos" w:hAnsi="Aptos"/>
    </w:rPr>
  </w:style>
  <w:style w:type="character" w:customStyle="1" w:styleId="xs2">
    <w:name w:val="x_s2"/>
    <w:basedOn w:val="DefaultParagraphFont"/>
    <w:rsid w:val="00DB5379"/>
  </w:style>
  <w:style w:type="paragraph" w:styleId="NormalWeb">
    <w:name w:val="Normal (Web)"/>
    <w:basedOn w:val="Normal"/>
    <w:uiPriority w:val="99"/>
    <w:unhideWhenUsed/>
    <w:rsid w:val="00E53438"/>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icholas.rattray@strath.ac.uk"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12</Pages>
  <Words>2859</Words>
  <Characters>16301</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Abdullah Alsultan</dc:creator>
  <cp:keywords/>
  <dc:description/>
  <cp:lastModifiedBy>Abdullah Alsultan</cp:lastModifiedBy>
  <cp:revision>28</cp:revision>
  <dcterms:created xsi:type="dcterms:W3CDTF">2024-02-18T23:26:00Z</dcterms:created>
  <dcterms:modified xsi:type="dcterms:W3CDTF">2024-02-28T16:46:00Z</dcterms:modified>
</cp:coreProperties>
</file>