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9772F0" w14:textId="77777777" w:rsidR="000819C5" w:rsidRDefault="000819C5" w:rsidP="000819C5">
      <w:pPr>
        <w:pStyle w:val="ListParagraph"/>
        <w:keepNext/>
        <w:bidi/>
        <w:spacing w:line="360" w:lineRule="auto"/>
        <w:ind w:left="0"/>
        <w:jc w:val="right"/>
        <w:rPr>
          <w:sz w:val="22"/>
          <w:szCs w:val="22"/>
          <w:lang w:bidi="fa-IR"/>
        </w:rPr>
      </w:pPr>
      <w:r w:rsidRPr="00A3039C">
        <w:rPr>
          <w:rFonts w:asciiTheme="majorBidi" w:eastAsiaTheme="minorHAnsi" w:hAnsiTheme="majorBidi" w:cstheme="majorBidi"/>
          <w:szCs w:val="20"/>
          <w:lang w:bidi="fa-IR"/>
        </w:rPr>
        <w:t>Table 1. Cr</w:t>
      </w:r>
      <w:r>
        <w:rPr>
          <w:rFonts w:asciiTheme="majorBidi" w:eastAsiaTheme="minorHAnsi" w:hAnsiTheme="majorBidi" w:cstheme="majorBidi"/>
          <w:szCs w:val="20"/>
          <w:lang w:bidi="fa-IR"/>
        </w:rPr>
        <w:t>i</w:t>
      </w:r>
      <w:r w:rsidRPr="00A3039C">
        <w:rPr>
          <w:rFonts w:asciiTheme="majorBidi" w:eastAsiaTheme="minorHAnsi" w:hAnsiTheme="majorBidi" w:cstheme="majorBidi"/>
          <w:szCs w:val="20"/>
          <w:lang w:bidi="fa-IR"/>
        </w:rPr>
        <w:t>sp values of TIS parameter</w:t>
      </w:r>
      <w:r>
        <w:rPr>
          <w:sz w:val="22"/>
          <w:szCs w:val="22"/>
          <w:lang w:bidi="fa-IR"/>
        </w:rPr>
        <w:t>.</w:t>
      </w:r>
    </w:p>
    <w:tbl>
      <w:tblPr>
        <w:tblStyle w:val="ListTable21"/>
        <w:bidiVisual/>
        <w:tblW w:w="9912" w:type="dxa"/>
        <w:jc w:val="center"/>
        <w:tblLayout w:type="fixed"/>
        <w:tblLook w:val="04A0" w:firstRow="1" w:lastRow="0" w:firstColumn="1" w:lastColumn="0" w:noHBand="0" w:noVBand="1"/>
      </w:tblPr>
      <w:tblGrid>
        <w:gridCol w:w="822"/>
        <w:gridCol w:w="1615"/>
        <w:gridCol w:w="545"/>
        <w:gridCol w:w="900"/>
        <w:gridCol w:w="540"/>
        <w:gridCol w:w="900"/>
        <w:gridCol w:w="540"/>
        <w:gridCol w:w="1530"/>
        <w:gridCol w:w="990"/>
        <w:gridCol w:w="630"/>
        <w:gridCol w:w="900"/>
      </w:tblGrid>
      <w:tr w:rsidR="000819C5" w:rsidRPr="002F67C2" w14:paraId="0F1D75EB" w14:textId="77777777" w:rsidTr="005F2E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322121DA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Reference</w:t>
            </w:r>
          </w:p>
        </w:tc>
        <w:tc>
          <w:tcPr>
            <w:tcW w:w="1615" w:type="dxa"/>
          </w:tcPr>
          <w:p w14:paraId="3C1C78AB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Biological Description</w:t>
            </w:r>
          </w:p>
        </w:tc>
        <w:tc>
          <w:tcPr>
            <w:tcW w:w="545" w:type="dxa"/>
          </w:tcPr>
          <w:p w14:paraId="2B4E151C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</w:pPr>
          </w:p>
        </w:tc>
        <w:tc>
          <w:tcPr>
            <w:tcW w:w="900" w:type="dxa"/>
          </w:tcPr>
          <w:p w14:paraId="6D8C969B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value</w:t>
            </w:r>
          </w:p>
        </w:tc>
        <w:tc>
          <w:tcPr>
            <w:tcW w:w="540" w:type="dxa"/>
          </w:tcPr>
          <w:p w14:paraId="457AA46E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Unit</w:t>
            </w:r>
          </w:p>
        </w:tc>
        <w:tc>
          <w:tcPr>
            <w:tcW w:w="900" w:type="dxa"/>
          </w:tcPr>
          <w:p w14:paraId="0D02EE00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Parameter</w:t>
            </w:r>
          </w:p>
        </w:tc>
        <w:tc>
          <w:tcPr>
            <w:tcW w:w="540" w:type="dxa"/>
          </w:tcPr>
          <w:p w14:paraId="447127E7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reference</w:t>
            </w:r>
          </w:p>
        </w:tc>
        <w:tc>
          <w:tcPr>
            <w:tcW w:w="1530" w:type="dxa"/>
          </w:tcPr>
          <w:p w14:paraId="4414A1B5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Biological Description</w:t>
            </w:r>
          </w:p>
        </w:tc>
        <w:tc>
          <w:tcPr>
            <w:tcW w:w="990" w:type="dxa"/>
          </w:tcPr>
          <w:p w14:paraId="668C7FF5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Value</w:t>
            </w:r>
          </w:p>
        </w:tc>
        <w:tc>
          <w:tcPr>
            <w:tcW w:w="630" w:type="dxa"/>
          </w:tcPr>
          <w:p w14:paraId="3715C6BA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Unit</w:t>
            </w:r>
          </w:p>
        </w:tc>
        <w:tc>
          <w:tcPr>
            <w:tcW w:w="900" w:type="dxa"/>
          </w:tcPr>
          <w:p w14:paraId="5975968D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Parameter</w:t>
            </w:r>
          </w:p>
        </w:tc>
      </w:tr>
      <w:tr w:rsidR="000819C5" w:rsidRPr="002F67C2" w14:paraId="21D81B48" w14:textId="77777777" w:rsidTr="005F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784171EA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begin" w:fldLock="1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01BC0B08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Exponential death rate of CTLs </w:t>
            </w:r>
          </w:p>
        </w:tc>
        <w:tc>
          <w:tcPr>
            <w:tcW w:w="545" w:type="dxa"/>
          </w:tcPr>
          <w:p w14:paraId="25FFF079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00" w:type="dxa"/>
          </w:tcPr>
          <w:p w14:paraId="66B91F22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2×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540" w:type="dxa"/>
          </w:tcPr>
          <w:p w14:paraId="66EC4FA3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12B81CD3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m</m:t>
                </m:r>
              </m:oMath>
            </m:oMathPara>
          </w:p>
        </w:tc>
        <w:tc>
          <w:tcPr>
            <w:tcW w:w="540" w:type="dxa"/>
          </w:tcPr>
          <w:p w14:paraId="3C3680C0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begin" w:fldLock="1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11F62523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El4-luc2 tumor growth rate in absence of treatment</w:t>
            </w:r>
          </w:p>
        </w:tc>
        <w:tc>
          <w:tcPr>
            <w:tcW w:w="990" w:type="dxa"/>
          </w:tcPr>
          <w:p w14:paraId="2AFB6BF5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1.45×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0A697158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0A2E008F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a</m:t>
                </m:r>
              </m:oMath>
            </m:oMathPara>
          </w:p>
        </w:tc>
      </w:tr>
      <w:tr w:rsidR="000819C5" w:rsidRPr="002F67C2" w14:paraId="5FFA5D27" w14:textId="77777777" w:rsidTr="005F2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7A9B6EDF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begin" w:fldLock="1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37F9596C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Maximum recruitment rate of CTLs</w:t>
            </w:r>
          </w:p>
        </w:tc>
        <w:tc>
          <w:tcPr>
            <w:tcW w:w="545" w:type="dxa"/>
          </w:tcPr>
          <w:p w14:paraId="73E85A2D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00" w:type="dxa"/>
          </w:tcPr>
          <w:p w14:paraId="33D8574D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1×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540" w:type="dxa"/>
          </w:tcPr>
          <w:p w14:paraId="0D99EEA1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65645F2B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j</m:t>
                </m:r>
              </m:oMath>
            </m:oMathPara>
          </w:p>
        </w:tc>
        <w:tc>
          <w:tcPr>
            <w:tcW w:w="540" w:type="dxa"/>
          </w:tcPr>
          <w:p w14:paraId="56A3D5CD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begin" w:fldLock="1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664E09DD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Tumor carrying capacity</w:t>
            </w:r>
          </w:p>
        </w:tc>
        <w:tc>
          <w:tcPr>
            <w:tcW w:w="990" w:type="dxa"/>
          </w:tcPr>
          <w:p w14:paraId="5ADD4ECE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1×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772527C6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cell</m:t>
                </m:r>
              </m:oMath>
            </m:oMathPara>
          </w:p>
        </w:tc>
        <w:tc>
          <w:tcPr>
            <w:tcW w:w="900" w:type="dxa"/>
          </w:tcPr>
          <w:p w14:paraId="6773C931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Cmax</m:t>
                </m:r>
              </m:oMath>
            </m:oMathPara>
          </w:p>
        </w:tc>
      </w:tr>
      <w:tr w:rsidR="000819C5" w:rsidRPr="002F67C2" w14:paraId="47AD35F1" w14:textId="77777777" w:rsidTr="005F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22D480C7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begin" w:fldLock="1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4D5D2371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Steepness coefficient of the CTL recruitment curve</w:t>
            </w:r>
          </w:p>
        </w:tc>
        <w:tc>
          <w:tcPr>
            <w:tcW w:w="545" w:type="dxa"/>
          </w:tcPr>
          <w:p w14:paraId="09257507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00" w:type="dxa"/>
          </w:tcPr>
          <w:p w14:paraId="7D075240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2.02×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7</m:t>
                    </m:r>
                  </m:sup>
                </m:sSup>
              </m:oMath>
            </m:oMathPara>
          </w:p>
        </w:tc>
        <w:tc>
          <w:tcPr>
            <w:tcW w:w="540" w:type="dxa"/>
          </w:tcPr>
          <w:p w14:paraId="1CEB50BF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cell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00" w:type="dxa"/>
          </w:tcPr>
          <w:p w14:paraId="0A856DA8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k</m:t>
                </m:r>
              </m:oMath>
            </m:oMathPara>
          </w:p>
        </w:tc>
        <w:tc>
          <w:tcPr>
            <w:tcW w:w="540" w:type="dxa"/>
          </w:tcPr>
          <w:p w14:paraId="3BCC7756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begin" w:fldLock="1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2E0AE5A6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NK-mediated tumor killing rate</w:t>
            </w:r>
          </w:p>
        </w:tc>
        <w:tc>
          <w:tcPr>
            <w:tcW w:w="990" w:type="dxa"/>
          </w:tcPr>
          <w:p w14:paraId="7318EF1D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3.23×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1E9A1543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cell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 xml:space="preserve"> ×</m:t>
                    </m:r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182E6A35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b</m:t>
                </m:r>
              </m:oMath>
            </m:oMathPara>
          </w:p>
        </w:tc>
      </w:tr>
      <w:tr w:rsidR="000819C5" w:rsidRPr="002F67C2" w14:paraId="5D3042D4" w14:textId="77777777" w:rsidTr="005F2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5AFB2B5A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begin" w:fldLock="1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70BAFC80" w14:textId="4B37DCD6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Stimulation rate of CTLs as a result of tumor and NK cell interactions</w:t>
            </w:r>
          </w:p>
        </w:tc>
        <w:tc>
          <w:tcPr>
            <w:tcW w:w="545" w:type="dxa"/>
          </w:tcPr>
          <w:p w14:paraId="5075AE6A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00" w:type="dxa"/>
          </w:tcPr>
          <w:p w14:paraId="4DB0F259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1.1×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40" w:type="dxa"/>
          </w:tcPr>
          <w:p w14:paraId="184E1202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cell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 xml:space="preserve"> ×</m:t>
                    </m:r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061589C2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r</m:t>
                </m:r>
              </m:oMath>
            </m:oMathPara>
          </w:p>
        </w:tc>
        <w:tc>
          <w:tcPr>
            <w:tcW w:w="540" w:type="dxa"/>
          </w:tcPr>
          <w:p w14:paraId="03527F58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begin" w:fldLock="1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0EEBF85C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CTL-mediated tumor killing rate</w:t>
            </w:r>
          </w:p>
        </w:tc>
        <w:tc>
          <w:tcPr>
            <w:tcW w:w="990" w:type="dxa"/>
          </w:tcPr>
          <w:p w14:paraId="0DA3AD68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1.1×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5B4019F0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cell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 xml:space="preserve"> ×</m:t>
                    </m:r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452FFE01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η</m:t>
                </m:r>
              </m:oMath>
            </m:oMathPara>
          </w:p>
        </w:tc>
      </w:tr>
      <w:tr w:rsidR="000819C5" w:rsidRPr="002F67C2" w14:paraId="00E5B9A1" w14:textId="77777777" w:rsidTr="005F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1F80B062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lastRenderedPageBreak/>
              <w:fldChar w:fldCharType="begin" w:fldLock="1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26FB72A0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Inactivation rate of CTLs after encounter with the tumor</w:t>
            </w:r>
          </w:p>
        </w:tc>
        <w:tc>
          <w:tcPr>
            <w:tcW w:w="545" w:type="dxa"/>
          </w:tcPr>
          <w:p w14:paraId="1769217E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00" w:type="dxa"/>
          </w:tcPr>
          <w:p w14:paraId="3736AF8C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1×</m:t>
                </m:r>
                <m:sSup>
                  <m:sSup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540" w:type="dxa"/>
          </w:tcPr>
          <w:p w14:paraId="47F9605B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cell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 xml:space="preserve"> ×</m:t>
                    </m:r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44F25C60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u</m:t>
                </m:r>
              </m:oMath>
            </m:oMathPara>
          </w:p>
        </w:tc>
        <w:tc>
          <w:tcPr>
            <w:tcW w:w="540" w:type="dxa"/>
          </w:tcPr>
          <w:p w14:paraId="20CE9622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begin" w:fldLock="1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separate"/>
            </w: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(Shariatpanahi et al., n.d.)</w:t>
            </w:r>
            <w:r w:rsidRPr="002F67C2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3062663A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F67C2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EL4-luc2 tumor apoptosis rate by low dose 5-FU treatment</w:t>
            </w:r>
          </w:p>
        </w:tc>
        <w:tc>
          <w:tcPr>
            <w:tcW w:w="990" w:type="dxa"/>
          </w:tcPr>
          <w:p w14:paraId="49F88AAC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0.7</m:t>
                </m:r>
              </m:oMath>
            </m:oMathPara>
          </w:p>
        </w:tc>
        <w:tc>
          <w:tcPr>
            <w:tcW w:w="630" w:type="dxa"/>
          </w:tcPr>
          <w:p w14:paraId="5EECCCE3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3D7D0997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lang w:bidi="fa-IR"/>
                  </w:rPr>
                  <m:t>d</m:t>
                </m:r>
              </m:oMath>
            </m:oMathPara>
          </w:p>
        </w:tc>
      </w:tr>
      <w:tr w:rsidR="000819C5" w:rsidRPr="002F67C2" w14:paraId="11DD240F" w14:textId="77777777" w:rsidTr="005F2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080F0BD1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{"citationItems":[{"id":"ITEM-1","itemData":{"DOI":"10.1007/s11538-012-9722-4","ISSN":"00928240","abstract":"TGF-β is an immunoregulatory protein that contributes to inadequate antitumor immune responses in cancer patients. Recent experimental data suggests that TGF-β inhibition alone, provides few clinical benefits, yet it can significantly amplify the anti-tumor immune response when combined with a tumor vaccine. We develop a mathematical model in order to gain insight into the cooperative interaction between anti-TGF-β and vaccine treatments. The mathematical model follows the dynamics of the tumor size, TGF-β concentration, activated cytotoxic effector cells, and regulatory T cells. Using numerical simulations and stability analysis, we study the following scenarios: a control case of no treatment, anti-TGF-β treatment, vaccine treatment, and combined anti-TGF-β vaccine treatments. We show that our model is capable of capturing the observed experimental results, and hence can be potentially used in designing future experiments involving this approach to immunotherapy. © 2012 Society for Mathematical Biology.","author":[{"dropping-particle":"","family":"Wilson","given":"Shelby","non-dropping-particle":"","parse-names":false,"suffix":""},{"dropping-particle":"","family":"Levy","given":"Doron","non-dropping-particle":"","parse-names":false,"suffix":""}],"container-title":"Bulletin of Mathematical Biology","id":"ITEM-1","issue":"7","issued":{"date-parts":[["2012","7","22"]]},"page":"1485-1500","publisher":"Springer","title":"A Mathematical Model of the Enhancement of Tumor Vaccine Efficacy by Immunotherapy","type":"article-journal","volume":"74"},"uris":["http://www.mendeley.com/documents/?uuid=df4cc077-1c9d-3958-bbf7-00db172f41a4"]}],"mendeley":{"formattedCitation":"(Wilson and Levy, 2012)","plainTextFormattedCitation":"(Wilson and Levy, 2012)","previouslyFormattedCitation":"(Wilson and Levy)"},"properties":{"noteIndex":0},"schema":"https://github.com/citation-style-language/schema/raw/master/csl-citation.json"}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b w:val="0"/>
                <w:noProof/>
                <w:sz w:val="18"/>
                <w:szCs w:val="18"/>
                <w:lang w:bidi="fa-IR"/>
              </w:rPr>
              <w:t>(Wilson and Levy, 2012)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4444F87D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Differentiation rate of CTL cells to other T cells</w:t>
            </w:r>
          </w:p>
        </w:tc>
        <w:tc>
          <w:tcPr>
            <w:tcW w:w="545" w:type="dxa"/>
          </w:tcPr>
          <w:p w14:paraId="24FDB528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  <w:tc>
          <w:tcPr>
            <w:tcW w:w="900" w:type="dxa"/>
          </w:tcPr>
          <w:p w14:paraId="341B8451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1×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540" w:type="dxa"/>
          </w:tcPr>
          <w:p w14:paraId="1EAFE787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5D51E030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v</m:t>
                </m:r>
              </m:oMath>
            </m:oMathPara>
          </w:p>
        </w:tc>
        <w:tc>
          <w:tcPr>
            <w:tcW w:w="540" w:type="dxa"/>
          </w:tcPr>
          <w:p w14:paraId="2912697B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42655792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Depth of access of immune cells to tumor cells</w:t>
            </w:r>
          </w:p>
        </w:tc>
        <w:tc>
          <w:tcPr>
            <w:tcW w:w="990" w:type="dxa"/>
          </w:tcPr>
          <w:p w14:paraId="44DD453E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100</m:t>
                </m:r>
              </m:oMath>
            </m:oMathPara>
          </w:p>
        </w:tc>
        <w:tc>
          <w:tcPr>
            <w:tcW w:w="630" w:type="dxa"/>
          </w:tcPr>
          <w:p w14:paraId="77B6471E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  <w:rtl/>
                <w:lang w:bidi="fa-IR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cell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  <w:lang w:bidi="fa-IR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8"/>
                            <w:szCs w:val="18"/>
                            <w:lang w:bidi="fa-IR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8"/>
                            <w:szCs w:val="18"/>
                            <w:lang w:bidi="fa-IR"/>
                          </w:rPr>
                          <m:t>3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900" w:type="dxa"/>
          </w:tcPr>
          <w:p w14:paraId="26D343CF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l</m:t>
                </m:r>
              </m:oMath>
            </m:oMathPara>
          </w:p>
        </w:tc>
      </w:tr>
      <w:tr w:rsidR="000819C5" w:rsidRPr="002F67C2" w14:paraId="15369991" w14:textId="77777777" w:rsidTr="005F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6BBD0E57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b w:val="0"/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4EDC16F7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Minimum CTL proliferation factor due to inhibition by MDSCs</w:t>
            </w:r>
          </w:p>
        </w:tc>
        <w:tc>
          <w:tcPr>
            <w:tcW w:w="545" w:type="dxa"/>
          </w:tcPr>
          <w:p w14:paraId="6C69E934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  <w:tc>
          <w:tcPr>
            <w:tcW w:w="900" w:type="dxa"/>
          </w:tcPr>
          <w:p w14:paraId="36246A2D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0.18</m:t>
                </m:r>
              </m:oMath>
            </m:oMathPara>
          </w:p>
        </w:tc>
        <w:tc>
          <w:tcPr>
            <w:tcW w:w="540" w:type="dxa"/>
          </w:tcPr>
          <w:p w14:paraId="2E0A049C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none</m:t>
                </m:r>
              </m:oMath>
            </m:oMathPara>
          </w:p>
        </w:tc>
        <w:tc>
          <w:tcPr>
            <w:tcW w:w="900" w:type="dxa"/>
          </w:tcPr>
          <w:p w14:paraId="515F9A5B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Smin</m:t>
                </m:r>
              </m:oMath>
            </m:oMathPara>
          </w:p>
        </w:tc>
        <w:tc>
          <w:tcPr>
            <w:tcW w:w="540" w:type="dxa"/>
          </w:tcPr>
          <w:p w14:paraId="5BB16C0D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408B0424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Constant influx rate of NK cells</w:t>
            </w:r>
          </w:p>
        </w:tc>
        <w:tc>
          <w:tcPr>
            <w:tcW w:w="990" w:type="dxa"/>
          </w:tcPr>
          <w:p w14:paraId="302AB59E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1.4×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71862E62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cell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43AE6A73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σ</m:t>
                </m:r>
              </m:oMath>
            </m:oMathPara>
          </w:p>
        </w:tc>
      </w:tr>
      <w:tr w:rsidR="000819C5" w:rsidRPr="002F67C2" w14:paraId="5DADF32E" w14:textId="77777777" w:rsidTr="005F2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6AAE16B5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b w:val="0"/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33A9FF16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Inhibition rate of CTL stimulation by MDSCs</w:t>
            </w:r>
          </w:p>
        </w:tc>
        <w:tc>
          <w:tcPr>
            <w:tcW w:w="545" w:type="dxa"/>
          </w:tcPr>
          <w:p w14:paraId="1BABC6F6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  <w:tc>
          <w:tcPr>
            <w:tcW w:w="900" w:type="dxa"/>
          </w:tcPr>
          <w:p w14:paraId="27FC8849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40" w:type="dxa"/>
          </w:tcPr>
          <w:p w14:paraId="1E0525D9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cell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900" w:type="dxa"/>
          </w:tcPr>
          <w:p w14:paraId="4689BAB1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γ</m:t>
                </m:r>
              </m:oMath>
            </m:oMathPara>
          </w:p>
        </w:tc>
        <w:tc>
          <w:tcPr>
            <w:tcW w:w="540" w:type="dxa"/>
          </w:tcPr>
          <w:p w14:paraId="2CCBEF5E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26AAC589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Exponential death rate of NK cells</w:t>
            </w:r>
          </w:p>
        </w:tc>
        <w:tc>
          <w:tcPr>
            <w:tcW w:w="990" w:type="dxa"/>
          </w:tcPr>
          <w:p w14:paraId="0068F130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4.12×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54F97ECD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02825971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f</m:t>
                </m:r>
              </m:oMath>
            </m:oMathPara>
          </w:p>
        </w:tc>
      </w:tr>
      <w:tr w:rsidR="000819C5" w:rsidRPr="002F67C2" w14:paraId="2407FF11" w14:textId="77777777" w:rsidTr="005F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75570F37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b w:val="0"/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27EFAA37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Normal number of MDSCs in C57/BL6 mice</w:t>
            </w:r>
          </w:p>
        </w:tc>
        <w:tc>
          <w:tcPr>
            <w:tcW w:w="545" w:type="dxa"/>
          </w:tcPr>
          <w:p w14:paraId="3061D5ED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  <w:tc>
          <w:tcPr>
            <w:tcW w:w="900" w:type="dxa"/>
          </w:tcPr>
          <w:p w14:paraId="3458A5B0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2.5×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540" w:type="dxa"/>
          </w:tcPr>
          <w:p w14:paraId="47D91A71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cell</m:t>
                </m:r>
              </m:oMath>
            </m:oMathPara>
          </w:p>
        </w:tc>
        <w:tc>
          <w:tcPr>
            <w:tcW w:w="900" w:type="dxa"/>
          </w:tcPr>
          <w:p w14:paraId="6ED84228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Mmin</m:t>
                </m:r>
              </m:oMath>
            </m:oMathPara>
          </w:p>
        </w:tc>
        <w:tc>
          <w:tcPr>
            <w:tcW w:w="540" w:type="dxa"/>
          </w:tcPr>
          <w:p w14:paraId="796EE1F4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noProof/>
                <w:sz w:val="18"/>
                <w:szCs w:val="18"/>
                <w:lang w:bidi="fa-IR"/>
              </w:rPr>
              <w:t xml:space="preserve">(Shariatpanahi et al., </w:t>
            </w:r>
            <w:r w:rsidRPr="002F67C2">
              <w:rPr>
                <w:noProof/>
                <w:sz w:val="18"/>
                <w:szCs w:val="18"/>
                <w:lang w:bidi="fa-IR"/>
              </w:rPr>
              <w:lastRenderedPageBreak/>
              <w:t>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2DDF3D5C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lastRenderedPageBreak/>
              <w:t>Maximum recruitment rate of NK cells</w:t>
            </w:r>
          </w:p>
        </w:tc>
        <w:tc>
          <w:tcPr>
            <w:tcW w:w="990" w:type="dxa"/>
          </w:tcPr>
          <w:p w14:paraId="6841C5AA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2.5×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3E490365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1213FE1B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g</m:t>
                </m:r>
              </m:oMath>
            </m:oMathPara>
          </w:p>
        </w:tc>
      </w:tr>
      <w:tr w:rsidR="000819C5" w:rsidRPr="002F67C2" w14:paraId="427C29F9" w14:textId="77777777" w:rsidTr="005F2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61D0FDEC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b w:val="0"/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29AA4344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Normal production rate of MDSCs</w:t>
            </w:r>
          </w:p>
        </w:tc>
        <w:tc>
          <w:tcPr>
            <w:tcW w:w="545" w:type="dxa"/>
          </w:tcPr>
          <w:p w14:paraId="03E35D33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  <w:tc>
          <w:tcPr>
            <w:tcW w:w="900" w:type="dxa"/>
          </w:tcPr>
          <w:p w14:paraId="447B2AAB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0.25×Mmin</m:t>
                </m:r>
              </m:oMath>
            </m:oMathPara>
          </w:p>
        </w:tc>
        <w:tc>
          <w:tcPr>
            <w:tcW w:w="540" w:type="dxa"/>
          </w:tcPr>
          <w:p w14:paraId="4420C45A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cell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38198F8E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ρ</m:t>
                </m:r>
              </m:oMath>
            </m:oMathPara>
          </w:p>
        </w:tc>
        <w:tc>
          <w:tcPr>
            <w:tcW w:w="540" w:type="dxa"/>
          </w:tcPr>
          <w:p w14:paraId="47A512C7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22CE2E1E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Steepness coefficient of the NK cell recruitment curve</w:t>
            </w:r>
          </w:p>
        </w:tc>
        <w:tc>
          <w:tcPr>
            <w:tcW w:w="990" w:type="dxa"/>
          </w:tcPr>
          <w:p w14:paraId="5ACBF5DC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2.02×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7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5DA3E544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cell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00" w:type="dxa"/>
          </w:tcPr>
          <w:p w14:paraId="739F5491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h</m:t>
                </m:r>
              </m:oMath>
            </m:oMathPara>
          </w:p>
        </w:tc>
      </w:tr>
      <w:tr w:rsidR="000819C5" w:rsidRPr="002F67C2" w14:paraId="68EA8E9E" w14:textId="77777777" w:rsidTr="005F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3063137E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b w:val="0"/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63EFA109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Exponential death rate of MDSCs</w:t>
            </w:r>
          </w:p>
        </w:tc>
        <w:tc>
          <w:tcPr>
            <w:tcW w:w="545" w:type="dxa"/>
          </w:tcPr>
          <w:p w14:paraId="7B01D56B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  <w:tc>
          <w:tcPr>
            <w:tcW w:w="900" w:type="dxa"/>
          </w:tcPr>
          <w:p w14:paraId="10657371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0.25</m:t>
                </m:r>
              </m:oMath>
            </m:oMathPara>
          </w:p>
        </w:tc>
        <w:tc>
          <w:tcPr>
            <w:tcW w:w="540" w:type="dxa"/>
          </w:tcPr>
          <w:p w14:paraId="1F0A7C69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7053911F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β</m:t>
                </m:r>
              </m:oMath>
            </m:oMathPara>
          </w:p>
        </w:tc>
        <w:tc>
          <w:tcPr>
            <w:tcW w:w="540" w:type="dxa"/>
          </w:tcPr>
          <w:p w14:paraId="50F34F51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2136B669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Inactivation rate of NK cells after encounter with the tumor</w:t>
            </w:r>
          </w:p>
        </w:tc>
        <w:tc>
          <w:tcPr>
            <w:tcW w:w="990" w:type="dxa"/>
          </w:tcPr>
          <w:p w14:paraId="4B00A7C5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1×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7331114C" w14:textId="77777777" w:rsidR="000819C5" w:rsidRPr="002F67C2" w:rsidRDefault="002F67C2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cell ×day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3C717D8E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p</m:t>
                </m:r>
              </m:oMath>
            </m:oMathPara>
          </w:p>
        </w:tc>
      </w:tr>
      <w:tr w:rsidR="000819C5" w:rsidRPr="002F67C2" w14:paraId="57AF350A" w14:textId="77777777" w:rsidTr="005F2E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dxa"/>
          </w:tcPr>
          <w:p w14:paraId="096E4208" w14:textId="77777777" w:rsidR="000819C5" w:rsidRPr="002F67C2" w:rsidRDefault="000819C5" w:rsidP="005F2E78">
            <w:pPr>
              <w:bidi/>
              <w:spacing w:line="360" w:lineRule="auto"/>
              <w:jc w:val="both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b w:val="0"/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615" w:type="dxa"/>
          </w:tcPr>
          <w:p w14:paraId="65E7DF55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MDSC expansion rate in EL4-luc2 tumor-bearing mice</w:t>
            </w:r>
          </w:p>
        </w:tc>
        <w:tc>
          <w:tcPr>
            <w:tcW w:w="545" w:type="dxa"/>
          </w:tcPr>
          <w:p w14:paraId="0B6FA316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  <w:tc>
          <w:tcPr>
            <w:tcW w:w="900" w:type="dxa"/>
          </w:tcPr>
          <w:p w14:paraId="54D04959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7×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540" w:type="dxa"/>
          </w:tcPr>
          <w:p w14:paraId="559ACAAD" w14:textId="77777777" w:rsidR="000819C5" w:rsidRPr="002F67C2" w:rsidRDefault="002F67C2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cell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day</m:t>
                    </m:r>
                  </m:den>
                </m:f>
              </m:oMath>
            </m:oMathPara>
          </w:p>
        </w:tc>
        <w:tc>
          <w:tcPr>
            <w:tcW w:w="900" w:type="dxa"/>
          </w:tcPr>
          <w:p w14:paraId="2E5E258B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α</m:t>
                </m:r>
              </m:oMath>
            </m:oMathPara>
          </w:p>
        </w:tc>
        <w:tc>
          <w:tcPr>
            <w:tcW w:w="540" w:type="dxa"/>
          </w:tcPr>
          <w:p w14:paraId="6CD2FF0A" w14:textId="77777777" w:rsidR="000819C5" w:rsidRPr="002F67C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rtl/>
                <w:lang w:bidi="fa-IR"/>
              </w:rPr>
              <w:fldChar w:fldCharType="begin" w:fldLock="1"/>
            </w:r>
            <w:r w:rsidRPr="002F67C2">
              <w:rPr>
                <w:sz w:val="18"/>
                <w:szCs w:val="18"/>
                <w:lang w:bidi="fa-IR"/>
              </w:rPr>
              <w:instrText>ADDIN CSL_CITATION {"citationItems":[{"id":"ITEM-1","itemData":{"author":[{"dropping-particle":"","family":"Shariatpanahi","given":"SP","non-dropping-particle":"","parse-names":false,"suffix":""},{"dropping-particle":"","family":"…","given":"SP Shariatpanahi - Journal of theoretical","non-dropping-particle":"","parse-names":false,"suffix":""},{"dropping-particle":"","family":"2018","given":"undefined","non-dropping-particle":"","parse-names":false,"suffix":""}],"container-title":"Elsevier","id":"ITEM-1","issued":{"date-parts":[["0"]]},"title":"Mathematical modeling of tumor-induced immunosuppression by myeloid-derived suppressor cells: Implications for therapeutic targeting strategies","type":"article-journal"},"uris":["http://www.mendeley.com/documents/?uuid=c5091937-332a-38ec-abf9-5264d2d6c00f"]}],"mendeley":{"formattedCitation":"(Shariatpanahi et al., n.d.)","plainTextFormattedCitation":"(Shariatpanahi et al., n.d.)","previouslyFormattedCitation":"(Shariatpanahi et al.)"},"properties":{"noteIndex":0},"schema":"https://github.com/citation-style-language/schema/raw/master/csl-citation.json"}</w:instrTex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separate"/>
            </w:r>
            <w:r w:rsidRPr="002F67C2">
              <w:rPr>
                <w:noProof/>
                <w:sz w:val="18"/>
                <w:szCs w:val="18"/>
                <w:lang w:bidi="fa-IR"/>
              </w:rPr>
              <w:t>(Shariatpanahi et al., n.d.)</w:t>
            </w:r>
            <w:r w:rsidRPr="002F67C2">
              <w:rPr>
                <w:sz w:val="18"/>
                <w:szCs w:val="18"/>
                <w:rtl/>
                <w:lang w:bidi="fa-IR"/>
              </w:rPr>
              <w:fldChar w:fldCharType="end"/>
            </w:r>
          </w:p>
        </w:tc>
        <w:tc>
          <w:tcPr>
            <w:tcW w:w="1530" w:type="dxa"/>
          </w:tcPr>
          <w:p w14:paraId="758F0FA7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2F67C2">
              <w:rPr>
                <w:sz w:val="18"/>
                <w:szCs w:val="18"/>
                <w:lang w:bidi="fa-IR"/>
              </w:rPr>
              <w:t>Steepness coefficient of the MDSCs production curve</w:t>
            </w:r>
          </w:p>
        </w:tc>
        <w:tc>
          <w:tcPr>
            <w:tcW w:w="990" w:type="dxa"/>
          </w:tcPr>
          <w:p w14:paraId="0C585E9A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1</m:t>
                </m:r>
                <m:r>
                  <w:rPr>
                    <w:rFonts w:ascii="Cambria Math" w:hAnsi="Cambria Math" w:hint="eastAsia"/>
                    <w:sz w:val="18"/>
                    <w:szCs w:val="18"/>
                    <w:lang w:bidi="fa-IR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sup>
                </m:sSup>
              </m:oMath>
            </m:oMathPara>
          </w:p>
        </w:tc>
        <w:tc>
          <w:tcPr>
            <w:tcW w:w="630" w:type="dxa"/>
          </w:tcPr>
          <w:p w14:paraId="3531E0D6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cell</m:t>
                </m:r>
              </m:oMath>
            </m:oMathPara>
          </w:p>
        </w:tc>
        <w:tc>
          <w:tcPr>
            <w:tcW w:w="900" w:type="dxa"/>
          </w:tcPr>
          <w:p w14:paraId="558B2FA2" w14:textId="77777777" w:rsidR="000819C5" w:rsidRPr="002F67C2" w:rsidRDefault="000819C5" w:rsidP="005F2E78">
            <w:pPr>
              <w:bidi/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sz w:val="18"/>
                <w:szCs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q</m:t>
                </m:r>
              </m:oMath>
            </m:oMathPara>
          </w:p>
        </w:tc>
      </w:tr>
    </w:tbl>
    <w:p w14:paraId="77929CA4" w14:textId="77777777" w:rsidR="000819C5" w:rsidRDefault="000819C5" w:rsidP="000819C5">
      <w:pPr>
        <w:pStyle w:val="ListParagraph"/>
        <w:keepNext/>
        <w:bidi/>
        <w:spacing w:line="360" w:lineRule="auto"/>
        <w:ind w:left="0"/>
        <w:jc w:val="right"/>
        <w:rPr>
          <w:sz w:val="22"/>
          <w:szCs w:val="22"/>
          <w:lang w:bidi="fa-IR"/>
        </w:rPr>
      </w:pPr>
    </w:p>
    <w:p w14:paraId="4E9041E1" w14:textId="77777777" w:rsidR="000819C5" w:rsidRDefault="000819C5" w:rsidP="000819C5">
      <w:pPr>
        <w:pStyle w:val="ListParagraph"/>
        <w:keepNext/>
        <w:bidi/>
        <w:spacing w:line="360" w:lineRule="auto"/>
        <w:ind w:left="0"/>
        <w:jc w:val="right"/>
        <w:rPr>
          <w:sz w:val="22"/>
          <w:szCs w:val="22"/>
          <w:rtl/>
          <w:lang w:bidi="fa-IR"/>
        </w:rPr>
      </w:pPr>
    </w:p>
    <w:p w14:paraId="0F3C29C9" w14:textId="77777777" w:rsidR="000819C5" w:rsidRPr="00E46237" w:rsidRDefault="000819C5" w:rsidP="000819C5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A3039C">
        <w:rPr>
          <w:rFonts w:asciiTheme="majorBidi" w:hAnsiTheme="majorBidi" w:cstheme="majorBidi"/>
          <w:sz w:val="20"/>
          <w:szCs w:val="20"/>
        </w:rPr>
        <w:t>Table 2. Fuzzy values of TIS parameters.</w:t>
      </w:r>
    </w:p>
    <w:tbl>
      <w:tblPr>
        <w:tblStyle w:val="ListTable6Colorful1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6678"/>
        <w:gridCol w:w="2682"/>
      </w:tblGrid>
      <w:tr w:rsidR="000819C5" w14:paraId="27A5B784" w14:textId="77777777" w:rsidTr="005F2E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4" w:type="dxa"/>
          </w:tcPr>
          <w:p w14:paraId="121BBDB8" w14:textId="77777777" w:rsidR="000819C5" w:rsidRPr="00D50B79" w:rsidRDefault="000819C5" w:rsidP="005F2E78">
            <w:pPr>
              <w:bidi/>
              <w:spacing w:line="360" w:lineRule="auto"/>
              <w:jc w:val="center"/>
              <w:rPr>
                <w:rFonts w:asciiTheme="majorBidi" w:eastAsiaTheme="minorEastAsia" w:hAnsiTheme="majorBidi"/>
                <w:sz w:val="18"/>
                <w:rtl/>
                <w:lang w:bidi="fa-IR"/>
              </w:rPr>
            </w:pPr>
            <w:r>
              <w:rPr>
                <w:rFonts w:asciiTheme="majorBidi" w:eastAsiaTheme="minorEastAsia" w:hAnsiTheme="majorBidi"/>
                <w:sz w:val="18"/>
                <w:lang w:bidi="fa-IR"/>
              </w:rPr>
              <w:t>Triangular fuzzy membership function parameters</w:t>
            </w:r>
          </w:p>
        </w:tc>
        <w:tc>
          <w:tcPr>
            <w:tcW w:w="2732" w:type="dxa"/>
          </w:tcPr>
          <w:p w14:paraId="4D49EA13" w14:textId="77777777" w:rsidR="000819C5" w:rsidRDefault="000819C5" w:rsidP="005F2E78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/>
                <w:color w:val="auto"/>
                <w:sz w:val="18"/>
                <w:rtl/>
                <w:lang w:bidi="fa-IR"/>
              </w:rPr>
            </w:pPr>
            <w:r>
              <w:rPr>
                <w:rFonts w:asciiTheme="majorBidi" w:eastAsiaTheme="minorEastAsia" w:hAnsiTheme="majorBidi"/>
                <w:sz w:val="18"/>
                <w:lang w:bidi="fa-IR"/>
              </w:rPr>
              <w:t>Parameter</w:t>
            </w:r>
          </w:p>
        </w:tc>
      </w:tr>
      <w:tr w:rsidR="000819C5" w14:paraId="6C3FCAD0" w14:textId="77777777" w:rsidTr="005F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4" w:type="dxa"/>
          </w:tcPr>
          <w:p w14:paraId="1B7E09EA" w14:textId="77777777" w:rsidR="000819C5" w:rsidRPr="00127149" w:rsidRDefault="000819C5" w:rsidP="005F2E78">
            <w:pPr>
              <w:bidi/>
              <w:spacing w:line="360" w:lineRule="auto"/>
              <w:jc w:val="center"/>
              <w:rPr>
                <w:rFonts w:asciiTheme="majorBidi" w:eastAsiaTheme="minorEastAsia" w:hAnsiTheme="majorBidi"/>
                <w:b w:val="0"/>
                <w:bCs w:val="0"/>
                <w:sz w:val="18"/>
                <w:rtl/>
                <w:lang w:bidi="fa-IR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18"/>
                    <w:lang w:bidi="fa-IR"/>
                  </w:rPr>
                  <m:t>(0.9, 1, 1.1)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×1.45×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2732" w:type="dxa"/>
          </w:tcPr>
          <w:p w14:paraId="4D4F0A02" w14:textId="77777777" w:rsidR="000819C5" w:rsidRPr="00E46237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/>
                <w:bCs/>
                <w:sz w:val="18"/>
                <w:lang w:bidi="fa-IR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18"/>
                    <w:lang w:bidi="fa-IR"/>
                  </w:rPr>
                  <m:t>a</m:t>
                </m:r>
              </m:oMath>
            </m:oMathPara>
          </w:p>
        </w:tc>
      </w:tr>
      <w:tr w:rsidR="000819C5" w14:paraId="4691D484" w14:textId="77777777" w:rsidTr="005F2E78">
        <w:trPr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4" w:type="dxa"/>
          </w:tcPr>
          <w:p w14:paraId="66547077" w14:textId="77777777" w:rsidR="000819C5" w:rsidRPr="00127149" w:rsidRDefault="000819C5" w:rsidP="005F2E78">
            <w:pPr>
              <w:bidi/>
              <w:spacing w:line="360" w:lineRule="auto"/>
              <w:jc w:val="center"/>
              <w:rPr>
                <w:rFonts w:asciiTheme="majorBidi" w:eastAsiaTheme="minorEastAsia" w:hAnsiTheme="majorBidi"/>
                <w:b w:val="0"/>
                <w:bCs w:val="0"/>
                <w:sz w:val="18"/>
                <w:rtl/>
                <w:lang w:bidi="fa-IR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18"/>
                    <w:lang w:bidi="fa-IR"/>
                  </w:rPr>
                  <m:t>(0.9, 1, 1.1)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× 4.12×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2732" w:type="dxa"/>
          </w:tcPr>
          <w:p w14:paraId="506B7C71" w14:textId="77777777" w:rsidR="000819C5" w:rsidRPr="004B16F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/>
                <w:bCs/>
                <w:sz w:val="18"/>
                <w:rtl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bidi="fa-IR"/>
                  </w:rPr>
                  <m:t>f</m:t>
                </m:r>
              </m:oMath>
            </m:oMathPara>
          </w:p>
        </w:tc>
      </w:tr>
      <w:tr w:rsidR="000819C5" w14:paraId="3CC6F30A" w14:textId="77777777" w:rsidTr="005F2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4" w:type="dxa"/>
          </w:tcPr>
          <w:p w14:paraId="6392A125" w14:textId="77777777" w:rsidR="000819C5" w:rsidRPr="00127149" w:rsidRDefault="000819C5" w:rsidP="005F2E78">
            <w:pPr>
              <w:bidi/>
              <w:spacing w:line="360" w:lineRule="auto"/>
              <w:jc w:val="center"/>
              <w:rPr>
                <w:b w:val="0"/>
                <w:bCs w:val="0"/>
                <w:sz w:val="18"/>
                <w:lang w:bidi="fa-IR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18"/>
                    <w:lang w:bidi="fa-IR"/>
                  </w:rPr>
                  <m:t>(0.9, 1, 1.1)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×2×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2732" w:type="dxa"/>
          </w:tcPr>
          <w:p w14:paraId="0B3CF671" w14:textId="77777777" w:rsidR="000819C5" w:rsidRPr="004B16F2" w:rsidRDefault="000819C5" w:rsidP="005F2E78">
            <w:pPr>
              <w:bidi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Cs/>
                <w:sz w:val="18"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bidi="fa-IR"/>
                  </w:rPr>
                  <m:t>m</m:t>
                </m:r>
              </m:oMath>
            </m:oMathPara>
          </w:p>
        </w:tc>
      </w:tr>
      <w:tr w:rsidR="000819C5" w14:paraId="701651BC" w14:textId="77777777" w:rsidTr="005F2E78">
        <w:trPr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4" w:type="dxa"/>
          </w:tcPr>
          <w:p w14:paraId="3766A3FF" w14:textId="77777777" w:rsidR="000819C5" w:rsidRPr="00127149" w:rsidRDefault="000819C5" w:rsidP="005F2E78">
            <w:pPr>
              <w:bidi/>
              <w:spacing w:line="360" w:lineRule="auto"/>
              <w:jc w:val="center"/>
              <w:rPr>
                <w:b w:val="0"/>
                <w:bCs w:val="0"/>
                <w:sz w:val="18"/>
                <w:lang w:bidi="fa-IR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18"/>
                    <w:lang w:bidi="fa-IR"/>
                  </w:rPr>
                  <m:t>(09, 1, 1.1)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×7×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18"/>
                        <w:szCs w:val="18"/>
                        <w:lang w:bidi="fa-IR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  <w:lang w:bidi="fa-IR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2732" w:type="dxa"/>
          </w:tcPr>
          <w:p w14:paraId="77AE2D8C" w14:textId="77777777" w:rsidR="000819C5" w:rsidRPr="004B16F2" w:rsidRDefault="000819C5" w:rsidP="005F2E78">
            <w:pPr>
              <w:bidi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/>
                <w:sz w:val="18"/>
                <w:lang w:bidi="fa-IR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  <w:lang w:bidi="fa-IR"/>
                  </w:rPr>
                  <m:t>α</m:t>
                </m:r>
              </m:oMath>
            </m:oMathPara>
          </w:p>
        </w:tc>
      </w:tr>
    </w:tbl>
    <w:p w14:paraId="3A299BBB" w14:textId="77777777" w:rsidR="00471053" w:rsidRDefault="00471053"/>
    <w:sectPr w:rsidR="004710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053"/>
    <w:rsid w:val="000819C5"/>
    <w:rsid w:val="002F67C2"/>
    <w:rsid w:val="0047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1A412B-D976-4F96-8DE5-A22D3FD43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819C5"/>
    <w:pPr>
      <w:spacing w:after="0" w:line="240" w:lineRule="auto"/>
      <w:ind w:left="720"/>
      <w:contextualSpacing/>
    </w:pPr>
    <w:rPr>
      <w:rFonts w:ascii="Times New Roman" w:eastAsia="Calibri" w:hAnsi="Times New Roman" w:cs="B Nazanin"/>
      <w:sz w:val="20"/>
      <w:szCs w:val="24"/>
      <w:lang w:bidi="en-US"/>
    </w:rPr>
  </w:style>
  <w:style w:type="character" w:customStyle="1" w:styleId="ListParagraphChar">
    <w:name w:val="List Paragraph Char"/>
    <w:link w:val="ListParagraph"/>
    <w:uiPriority w:val="34"/>
    <w:rsid w:val="000819C5"/>
    <w:rPr>
      <w:rFonts w:ascii="Times New Roman" w:eastAsia="Calibri" w:hAnsi="Times New Roman" w:cs="B Nazanin"/>
      <w:sz w:val="20"/>
      <w:szCs w:val="24"/>
      <w:lang w:bidi="en-US"/>
    </w:rPr>
  </w:style>
  <w:style w:type="table" w:customStyle="1" w:styleId="ListTable6Colorful1">
    <w:name w:val="List Table 6 Colorful1"/>
    <w:basedOn w:val="TableNormal"/>
    <w:uiPriority w:val="51"/>
    <w:rsid w:val="000819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1">
    <w:name w:val="List Table 21"/>
    <w:basedOn w:val="TableNormal"/>
    <w:uiPriority w:val="47"/>
    <w:rsid w:val="000819C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4547</Words>
  <Characters>25924</Characters>
  <Application>Microsoft Office Word</Application>
  <DocSecurity>0</DocSecurity>
  <Lines>216</Lines>
  <Paragraphs>60</Paragraphs>
  <ScaleCrop>false</ScaleCrop>
  <Company/>
  <LinksUpToDate>false</LinksUpToDate>
  <CharactersWithSpaces>30411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Sajjad</dc:creator>
  <cp:keywords/>
  <dc:description/>
  <cp:lastModifiedBy>Sajjad</cp:lastModifiedBy>
  <cp:revision>3</cp:revision>
  <dcterms:created xsi:type="dcterms:W3CDTF">2020-06-27T11:18:00Z</dcterms:created>
  <dcterms:modified xsi:type="dcterms:W3CDTF">2020-06-27T19:45:00Z</dcterms:modified>
</cp:coreProperties>
</file>