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textAlignment w:val="auto"/>
        <w:rPr>
          <w:rFonts w:ascii="Times New Roman" w:hAnsi="Times New Roman" w:eastAsia="新宋体" w:cs="Times New Roman"/>
          <w:b/>
          <w:sz w:val="22"/>
          <w:szCs w:val="22"/>
        </w:rPr>
      </w:pPr>
      <w:r>
        <w:rPr>
          <w:rFonts w:ascii="Times New Roman" w:hAnsi="Times New Roman" w:eastAsia="宋体" w:cs="Times New Roman"/>
          <w:b/>
          <w:sz w:val="22"/>
          <w:szCs w:val="22"/>
          <w:lang w:bidi="ar"/>
        </w:rPr>
        <w:t>T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he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T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riglyceride-glucose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I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>ndex</w:t>
      </w:r>
      <w:r>
        <w:rPr>
          <w:rFonts w:ascii="Times New Roman" w:hAnsi="Times New Roman" w:eastAsia="宋体" w:cs="Times New Roman"/>
          <w:bCs/>
          <w:sz w:val="22"/>
          <w:szCs w:val="22"/>
          <w:lang w:bidi="ar"/>
        </w:rPr>
        <w:t xml:space="preserve"> </w:t>
      </w:r>
      <w:r>
        <w:rPr>
          <w:rFonts w:ascii="Times New Roman" w:hAnsi="Times New Roman" w:eastAsia="宋体" w:cs="Times New Roman"/>
          <w:b/>
          <w:sz w:val="22"/>
          <w:szCs w:val="22"/>
          <w:lang w:bidi="ar"/>
        </w:rPr>
        <w:t xml:space="preserve">and Acute Kidney Injury Risk in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C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ritically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I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ll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P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atients with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C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oronary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A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 xml:space="preserve">rtery 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>D</w:t>
      </w: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>isease</w:t>
      </w:r>
      <w:r>
        <w:rPr>
          <w:rFonts w:hint="eastAsia" w:ascii="Times New Roman" w:hAnsi="Times New Roman" w:eastAsia="新宋体" w:cs="Times New Roman"/>
          <w:b/>
          <w:sz w:val="22"/>
          <w:szCs w:val="22"/>
          <w:lang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bCs/>
          <w:sz w:val="22"/>
          <w:szCs w:val="22"/>
        </w:rPr>
      </w:pPr>
      <w:r>
        <w:rPr>
          <w:rFonts w:ascii="Times New Roman" w:hAnsi="Times New Roman" w:eastAsia="新宋体" w:cs="Times New Roman"/>
          <w:b/>
          <w:sz w:val="22"/>
          <w:szCs w:val="22"/>
          <w:lang w:bidi="ar"/>
        </w:rPr>
        <w:t>Running head</w:t>
      </w:r>
      <w:r>
        <w:rPr>
          <w:rFonts w:ascii="Times New Roman" w:hAnsi="Times New Roman" w:eastAsia="等线" w:cs="Times New Roman"/>
          <w:sz w:val="22"/>
          <w:szCs w:val="22"/>
          <w:lang w:bidi="ar"/>
        </w:rPr>
        <w:t xml:space="preserve">: </w:t>
      </w:r>
      <w:r>
        <w:rPr>
          <w:rFonts w:ascii="Times New Roman" w:hAnsi="Times New Roman" w:eastAsia="宋体" w:cs="Times New Roman"/>
          <w:bCs/>
          <w:sz w:val="22"/>
          <w:szCs w:val="22"/>
          <w:lang w:bidi="ar"/>
        </w:rPr>
        <w:t>TyG Index and AKI Risk in CAD Patients.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</w:rPr>
        <w:t>Yi Zhang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*, MD</w:t>
      </w:r>
      <w:r>
        <w:rPr>
          <w:rFonts w:hint="eastAsia" w:ascii="Times New Roman" w:hAnsi="Times New Roman" w:eastAsia="宋体" w:cs="Times New Roman"/>
          <w:color w:val="0F0F0F"/>
          <w:sz w:val="22"/>
          <w:szCs w:val="22"/>
        </w:rPr>
        <w:t>;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 xml:space="preserve"> Gang Li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*, MD; Junjie Li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2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*, MD; Bohao Jian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, MD; Keke Wang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2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, MD, Ph.D; Jiantao Chen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, MD, Ph.D; Jian Hou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, Ph.D; Jianbo Liao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, MD; Zhuoming Zhou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†, MD; Zhongkai Wu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†</w:t>
      </w:r>
      <w:bookmarkStart w:id="0" w:name="OLE_LINK66"/>
      <w:r>
        <w:rPr>
          <w:rFonts w:ascii="Times New Roman" w:hAnsi="Times New Roman" w:eastAsia="宋体" w:cs="Times New Roman"/>
          <w:color w:val="0F0F0F"/>
          <w:sz w:val="22"/>
          <w:szCs w:val="22"/>
        </w:rPr>
        <w:t>, MD, Ph.D</w:t>
      </w:r>
      <w:bookmarkEnd w:id="0"/>
      <w:r>
        <w:rPr>
          <w:rFonts w:ascii="Times New Roman" w:hAnsi="Times New Roman" w:eastAsia="宋体" w:cs="Times New Roman"/>
          <w:color w:val="0F0F0F"/>
          <w:sz w:val="22"/>
          <w:szCs w:val="22"/>
        </w:rPr>
        <w:t>; Mengya Liang</w:t>
      </w: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</w:rPr>
        <w:t>†, MD, Ph.D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 Department of Cardiac Surgery, The First Affiliated Hospital of Sun Yat-Sen University, Guangzhou,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vertAlign w:val="superscript"/>
          <w:lang w:bidi="ar"/>
        </w:rPr>
        <w:t>2</w:t>
      </w: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 Department of Emergency, The First Affiliated Hospital of Sun Yat-Sen University, Guangzhou,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* Yi Zhang, Gang Li, and Junjie Li contributed equally to this work.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† Mengya Liang, Zhongkai Wu, and Zhuoming Zhou are the corresponding authors.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Corresponding Authors: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Zhuoming Zhou, MD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Department of Cardiac Surgery, the First Affiliated Hospital, Sun Yat-Sen University,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58 Zhongshan II Road, Guangzhou 510080, China.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E-Mail: zhouzhm5@mail2.sysu.edu.cn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Zhongkai Wu, MD, Ph.D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Department of Cardiac Surgery, the First Affiliated Hospital, Sun Yat-Sen University,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58 Zhongshan II Road, Guangzhou 510080, China.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E-Mail: wuzhk@mail.sysu.edu.cn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Mengya Liang, MD, Ph.D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Department of Cardiac Surgery, the First Affiliated Hospital, Sun Yat-Sen University,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58 Zhongshan II Road, Guangzhou 510080, China.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E-Mail: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"mailto:liangmya@mail.sysu.edu.cn"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>liangmya@mail.sysu.edu.cn</w:t>
      </w: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fldChar w:fldCharType="end"/>
      </w: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F0F0F"/>
          <w:sz w:val="22"/>
          <w:szCs w:val="22"/>
        </w:rPr>
      </w:pPr>
      <w:r>
        <w:rPr>
          <w:rFonts w:ascii="Times New Roman" w:hAnsi="Times New Roman" w:eastAsia="宋体" w:cs="Times New Roman"/>
          <w:color w:val="0F0F0F"/>
          <w:sz w:val="22"/>
          <w:szCs w:val="22"/>
          <w:lang w:bidi="ar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jc w:val="center"/>
        <w:textAlignment w:val="auto"/>
        <w:rPr>
          <w:rFonts w:ascii="Times New Roman" w:hAnsi="Times New Roman" w:eastAsia="新宋体" w:cs="Times New Roman"/>
          <w:b/>
          <w:sz w:val="22"/>
          <w:szCs w:val="22"/>
        </w:rPr>
      </w:pPr>
      <w:r>
        <w:rPr>
          <w:rFonts w:ascii="Times New Roman" w:hAnsi="Times New Roman" w:eastAsia="新宋体" w:cs="Times New Roman"/>
          <w:b/>
          <w:sz w:val="22"/>
          <w:szCs w:val="22"/>
        </w:rPr>
        <w:t>Supplemental materials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textAlignment w:val="auto"/>
        <w:rPr>
          <w:rFonts w:ascii="Times New Roman" w:hAnsi="Times New Roman" w:eastAsia="新宋体" w:cs="Times New Roman"/>
          <w:sz w:val="22"/>
          <w:szCs w:val="22"/>
        </w:rPr>
      </w:pPr>
      <w:r>
        <w:rPr>
          <w:rFonts w:hint="eastAsia" w:ascii="Times New Roman" w:hAnsi="Times New Roman" w:eastAsia="新宋体" w:cs="Times New Roman"/>
          <w:b/>
          <w:bCs/>
          <w:sz w:val="22"/>
          <w:szCs w:val="22"/>
        </w:rPr>
        <w:t>F</w:t>
      </w:r>
      <w:r>
        <w:rPr>
          <w:rFonts w:ascii="Times New Roman" w:hAnsi="Times New Roman" w:eastAsia="新宋体" w:cs="Times New Roman"/>
          <w:b/>
          <w:bCs/>
          <w:sz w:val="22"/>
          <w:szCs w:val="22"/>
        </w:rPr>
        <w:t>ig S1.</w:t>
      </w:r>
      <w:r>
        <w:rPr>
          <w:rFonts w:ascii="Times New Roman" w:hAnsi="Times New Roman" w:eastAsia="新宋体" w:cs="Times New Roman"/>
          <w:sz w:val="22"/>
          <w:szCs w:val="22"/>
        </w:rPr>
        <w:t xml:space="preserve"> Flowchart of patient inclusion.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textAlignment w:val="auto"/>
        <w:rPr>
          <w:rFonts w:ascii="Times New Roman" w:hAnsi="Times New Roman" w:eastAsia="新宋体" w:cs="Times New Roman"/>
          <w:sz w:val="22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textAlignment w:val="auto"/>
        <w:rPr>
          <w:rFonts w:ascii="Times New Roman" w:hAnsi="Times New Roman" w:eastAsia="宋体" w:cs="Times New Roman"/>
          <w:sz w:val="22"/>
          <w:szCs w:val="22"/>
        </w:rPr>
      </w:pPr>
      <w:r>
        <w:rPr>
          <w:rFonts w:hint="eastAsia" w:ascii="Times New Roman" w:hAnsi="Times New Roman" w:eastAsia="新宋体" w:cs="Times New Roman"/>
          <w:sz w:val="22"/>
          <w:szCs w:val="22"/>
        </w:rPr>
        <w:drawing>
          <wp:inline distT="0" distB="0" distL="114300" distR="114300">
            <wp:extent cx="3938905" cy="2800985"/>
            <wp:effectExtent l="0" t="0" r="0" b="0"/>
            <wp:docPr id="1" name="图片 1" descr="flow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low chart"/>
                    <pic:cNvPicPr>
                      <a:picLocks noChangeAspect="1"/>
                    </pic:cNvPicPr>
                  </pic:nvPicPr>
                  <pic:blipFill>
                    <a:blip r:embed="rId4"/>
                    <a:srcRect l="2820" t="4931" b="33806"/>
                    <a:stretch>
                      <a:fillRect/>
                    </a:stretch>
                  </pic:blipFill>
                  <pic:spPr>
                    <a:xfrm>
                      <a:off x="0" y="0"/>
                      <a:ext cx="393890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2"/>
          <w:szCs w:val="22"/>
        </w:rPr>
        <w:br w:type="page"/>
      </w:r>
    </w:p>
    <w:p>
      <w:pPr>
        <w:keepNext w:val="0"/>
        <w:keepLines w:val="0"/>
        <w:pageBreakBefore w:val="0"/>
        <w:tabs>
          <w:tab w:val="left" w:pos="41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宋体" w:cs="Times New Roman"/>
          <w:b/>
          <w:bCs/>
          <w:sz w:val="22"/>
          <w:szCs w:val="22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</w:rPr>
        <w:t>S1</w:t>
      </w:r>
      <w:r>
        <w:rPr>
          <w:rFonts w:ascii="Times New Roman" w:hAnsi="Times New Roman" w:eastAsia="宋体" w:cs="Times New Roman"/>
          <w:b/>
          <w:bCs/>
          <w:sz w:val="22"/>
          <w:szCs w:val="22"/>
        </w:rPr>
        <w:t>.</w:t>
      </w:r>
      <w:r>
        <w:rPr>
          <w:rFonts w:ascii="Times New Roman" w:hAnsi="Times New Roman" w:eastAsia="宋体" w:cs="Times New Roman"/>
          <w:sz w:val="22"/>
          <w:szCs w:val="22"/>
        </w:rPr>
        <w:t xml:space="preserve"> Multivariate logistic regression analyses of TyG index and </w:t>
      </w:r>
      <w:r>
        <w:rPr>
          <w:rFonts w:hint="eastAsia" w:ascii="Times New Roman" w:hAnsi="Times New Roman" w:eastAsia="宋体" w:cs="Times New Roman"/>
          <w:sz w:val="22"/>
          <w:szCs w:val="22"/>
        </w:rPr>
        <w:t>the use of RRT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3"/>
        <w:gridCol w:w="2630"/>
        <w:gridCol w:w="1695"/>
        <w:gridCol w:w="878"/>
        <w:gridCol w:w="222"/>
        <w:gridCol w:w="1695"/>
        <w:gridCol w:w="878"/>
        <w:gridCol w:w="222"/>
        <w:gridCol w:w="1695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No. of Events/ Patients (%)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Model 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Model 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Model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</w:rPr>
              <w:t xml:space="preserve">P </w:t>
            </w:r>
            <w:r>
              <w:rPr>
                <w:rFonts w:ascii="Times New Roman" w:hAnsi="Times New Roman" w:eastAsia="宋体" w:cs="Times New Roman"/>
                <w:sz w:val="22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</w:rPr>
              <w:t xml:space="preserve">P </w:t>
            </w:r>
            <w:r>
              <w:rPr>
                <w:rFonts w:ascii="Times New Roman" w:hAnsi="Times New Roman" w:eastAsia="宋体" w:cs="Times New Roman"/>
                <w:sz w:val="22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</w:rPr>
              <w:t>P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RRT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utilization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Continuous variable per 1 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22/1501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8.13</w:t>
            </w:r>
            <w:r>
              <w:rPr>
                <w:rFonts w:ascii="Times New Roman" w:hAnsi="Times New Roman" w:eastAsia="宋体" w:cs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1.96 (1.56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2.4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1.84 (1.46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1.73 (1.35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Quartiles </w:t>
            </w:r>
            <w:r>
              <w:rPr>
                <w:rFonts w:ascii="Times New Roman" w:hAnsi="Times New Roman" w:eastAsia="宋体" w:cs="Times New Roman"/>
                <w:sz w:val="36"/>
                <w:szCs w:val="4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ind w:firstLine="220" w:firstLineChars="100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22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/1501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5.88</w:t>
            </w:r>
            <w:r>
              <w:rPr>
                <w:rFonts w:ascii="Times New Roman" w:hAnsi="Times New Roman" w:eastAsia="宋体" w:cs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1.00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2"/>
              </w:rPr>
              <w:t>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ind w:firstLine="220" w:firstLineChars="100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10/1501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2.65</w:t>
            </w:r>
            <w:r>
              <w:rPr>
                <w:rFonts w:ascii="Times New Roman" w:hAnsi="Times New Roman" w:eastAsia="宋体" w:cs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0.44 (0.20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0.44 (0.20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0.47 (0.22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ind w:firstLine="220" w:firstLineChars="100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31/1501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8.16</w:t>
            </w:r>
            <w:r>
              <w:rPr>
                <w:rFonts w:ascii="Times New Roman" w:hAnsi="Times New Roman" w:eastAsia="宋体" w:cs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1.42 (0.81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1.35 (0.77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1.37 (0.76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0.296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ind w:firstLine="220" w:firstLineChars="100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59/1501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15.95</w:t>
            </w:r>
            <w:r>
              <w:rPr>
                <w:rFonts w:ascii="Times New Roman" w:hAnsi="Times New Roman" w:eastAsia="宋体" w:cs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3.04 (1.82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5.07)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2.72 (1.62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2.67 (1.51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</w:rPr>
              <w:t>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ind w:firstLine="220" w:firstLineChars="100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2"/>
              </w:rPr>
              <w:t>P</w:t>
            </w:r>
            <w:r>
              <w:rPr>
                <w:rFonts w:ascii="Times New Roman" w:hAnsi="Times New Roman" w:eastAsia="宋体" w:cs="Times New Roman"/>
                <w:sz w:val="22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327"/>
              </w:tabs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0" w:afterAutospacing="0" w:line="36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Model 1 was unadjusted;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Model 2 was adjusted for</w:t>
      </w:r>
      <w:bookmarkStart w:id="1" w:name="OLE_LINK35"/>
      <w:bookmarkStart w:id="2" w:name="OLE_LINK34"/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</w:t>
      </w:r>
      <w:bookmarkEnd w:id="1"/>
      <w:bookmarkEnd w:id="2"/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age, gender;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strike/>
          <w:dstrike w:val="0"/>
          <w:color w:val="000000"/>
          <w:sz w:val="22"/>
          <w:szCs w:val="2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Model 3 was adjusted for the variables in Model 2 plus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h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yperlipide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mia, h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ypertension, d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iabetes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c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ongestive heart failure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a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trial fibrillation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stroke, c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hronic obstructive pulmonary disease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c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hronic kidney disease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CABG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, and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PCI.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Abbreviations: CABG, coronary artery bypass grafting;</w:t>
      </w:r>
      <w:r>
        <w:rPr>
          <w:rFonts w:hint="eastAsia" w:ascii="Times New Roman" w:hAnsi="Times New Roman" w:eastAsia="宋体" w:cs="Times New Roman"/>
          <w:sz w:val="22"/>
          <w:szCs w:val="22"/>
        </w:rPr>
        <w:t xml:space="preserve"> </w:t>
      </w:r>
      <w:r>
        <w:rPr>
          <w:rFonts w:ascii="Times New Roman" w:hAnsi="Times New Roman" w:eastAsia="宋体" w:cs="Times New Roman"/>
          <w:sz w:val="22"/>
          <w:szCs w:val="22"/>
        </w:rPr>
        <w:t xml:space="preserve">CI, confidence interval; </w:t>
      </w:r>
      <w:r>
        <w:rPr>
          <w:rFonts w:hint="eastAsia" w:ascii="Times New Roman" w:hAnsi="Times New Roman" w:eastAsia="宋体" w:cs="Times New Roman"/>
          <w:sz w:val="22"/>
          <w:szCs w:val="22"/>
        </w:rPr>
        <w:t>O</w:t>
      </w:r>
      <w:r>
        <w:rPr>
          <w:rFonts w:ascii="Times New Roman" w:hAnsi="Times New Roman" w:eastAsia="宋体" w:cs="Times New Roman"/>
          <w:sz w:val="22"/>
          <w:szCs w:val="22"/>
        </w:rPr>
        <w:t xml:space="preserve">R, </w:t>
      </w:r>
      <w:r>
        <w:rPr>
          <w:rFonts w:ascii="Times New Roman" w:hAnsi="Times New Roman" w:eastAsia="宋体" w:cs="Times New Roman"/>
          <w:bCs/>
          <w:sz w:val="22"/>
          <w:szCs w:val="22"/>
          <w:lang w:bidi="ar"/>
        </w:rPr>
        <w:t>odds ratio</w:t>
      </w:r>
      <w:r>
        <w:rPr>
          <w:rFonts w:hint="eastAsia" w:ascii="Times New Roman" w:hAnsi="Times New Roman" w:eastAsia="宋体" w:cs="Times New Roman"/>
          <w:bCs/>
          <w:sz w:val="22"/>
          <w:szCs w:val="22"/>
          <w:lang w:bidi="ar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PCI, percutaneous coronary intervention;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 xml:space="preserve">RRT, renal replacement therapy;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TyG index, triglyceride glucose index.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宋体" w:cs="Times New Roman"/>
          <w:sz w:val="36"/>
          <w:szCs w:val="48"/>
          <w:vertAlign w:val="superscript"/>
        </w:rPr>
        <w:t>a</w:t>
      </w:r>
      <w:r>
        <w:rPr>
          <w:rFonts w:ascii="Times New Roman" w:hAnsi="Times New Roman" w:eastAsia="宋体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TyG index: Q1: 3.98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-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8.63; Q2: 8.63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-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9.05; Q3: 9.05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-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9.55; Q4: 9.55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-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12.49.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48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480" w:lineRule="auto"/>
        <w:textAlignment w:val="auto"/>
        <w:rPr>
          <w:rFonts w:ascii="Times New Roman" w:hAnsi="Times New Roman" w:eastAsia="宋体" w:cs="Times New Roman"/>
          <w:sz w:val="22"/>
          <w:szCs w:val="22"/>
          <w:highlight w:val="yellow"/>
        </w:rPr>
      </w:pPr>
    </w:p>
    <w:sectPr>
      <w:pgSz w:w="16838" w:h="11906" w:orient="landscape"/>
      <w:pgMar w:top="1800" w:right="1440" w:bottom="1800" w:left="15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OWY0OGY0ZTRkZDY2Yjc0ZDQ4NzZlMjhjN2RjNTQifQ=="/>
  </w:docVars>
  <w:rsids>
    <w:rsidRoot w:val="00FE7438"/>
    <w:rsid w:val="00150FF8"/>
    <w:rsid w:val="001F7122"/>
    <w:rsid w:val="00201DBB"/>
    <w:rsid w:val="002E0DD6"/>
    <w:rsid w:val="009548B8"/>
    <w:rsid w:val="00B546F0"/>
    <w:rsid w:val="00D07B39"/>
    <w:rsid w:val="00E371FE"/>
    <w:rsid w:val="00EB4D0A"/>
    <w:rsid w:val="00ED7DEC"/>
    <w:rsid w:val="00FE7438"/>
    <w:rsid w:val="033E4BBF"/>
    <w:rsid w:val="03C84489"/>
    <w:rsid w:val="03EE01C8"/>
    <w:rsid w:val="04351B1E"/>
    <w:rsid w:val="04BD5D42"/>
    <w:rsid w:val="04FA68C4"/>
    <w:rsid w:val="050E236F"/>
    <w:rsid w:val="06230D18"/>
    <w:rsid w:val="07F341CA"/>
    <w:rsid w:val="08B82D1E"/>
    <w:rsid w:val="0B630CF1"/>
    <w:rsid w:val="0DE93979"/>
    <w:rsid w:val="0F4E7F38"/>
    <w:rsid w:val="11052878"/>
    <w:rsid w:val="11254CC9"/>
    <w:rsid w:val="113373E5"/>
    <w:rsid w:val="127A5093"/>
    <w:rsid w:val="167D1103"/>
    <w:rsid w:val="192C3FE3"/>
    <w:rsid w:val="1C676ADD"/>
    <w:rsid w:val="1EE75CB3"/>
    <w:rsid w:val="1F4B4494"/>
    <w:rsid w:val="2099122F"/>
    <w:rsid w:val="21DC5877"/>
    <w:rsid w:val="228F6446"/>
    <w:rsid w:val="246B6A3F"/>
    <w:rsid w:val="2B3758CC"/>
    <w:rsid w:val="2D6A3D37"/>
    <w:rsid w:val="2E2B796A"/>
    <w:rsid w:val="2F9652B7"/>
    <w:rsid w:val="308E5F8F"/>
    <w:rsid w:val="327F0285"/>
    <w:rsid w:val="341208C4"/>
    <w:rsid w:val="365D08DD"/>
    <w:rsid w:val="3689371F"/>
    <w:rsid w:val="3C3C0F95"/>
    <w:rsid w:val="3E111FAD"/>
    <w:rsid w:val="3E5D65ED"/>
    <w:rsid w:val="411424E0"/>
    <w:rsid w:val="447514E8"/>
    <w:rsid w:val="4A5742E8"/>
    <w:rsid w:val="4B1B26BD"/>
    <w:rsid w:val="4B8C09A3"/>
    <w:rsid w:val="4C7E2F03"/>
    <w:rsid w:val="4C9B3AB5"/>
    <w:rsid w:val="4E8F65E3"/>
    <w:rsid w:val="4EEB0AE7"/>
    <w:rsid w:val="50593A6B"/>
    <w:rsid w:val="52214A5D"/>
    <w:rsid w:val="523A167B"/>
    <w:rsid w:val="52BB0A0D"/>
    <w:rsid w:val="574D1E50"/>
    <w:rsid w:val="57FD3876"/>
    <w:rsid w:val="5CCD4C68"/>
    <w:rsid w:val="5ED55BE2"/>
    <w:rsid w:val="5EDA221B"/>
    <w:rsid w:val="5EFC28FD"/>
    <w:rsid w:val="5FD41D01"/>
    <w:rsid w:val="68E85E7D"/>
    <w:rsid w:val="6A372C18"/>
    <w:rsid w:val="6E5F3432"/>
    <w:rsid w:val="72E75DED"/>
    <w:rsid w:val="75CB4B5C"/>
    <w:rsid w:val="760360A4"/>
    <w:rsid w:val="76AA4771"/>
    <w:rsid w:val="76B15B00"/>
    <w:rsid w:val="76EC5F61"/>
    <w:rsid w:val="78DD2BDC"/>
    <w:rsid w:val="78F16688"/>
    <w:rsid w:val="796432FD"/>
    <w:rsid w:val="7C3C40BE"/>
    <w:rsid w:val="7CEA5A85"/>
    <w:rsid w:val="7EA85A3A"/>
    <w:rsid w:val="7EE84089"/>
    <w:rsid w:val="7F1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qFormat/>
    <w:uiPriority w:val="0"/>
    <w:rPr>
      <w:color w:val="954F72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417</Words>
  <Characters>2396</Characters>
  <Lines>140</Lines>
  <Paragraphs>100</Paragraphs>
  <TotalTime>0</TotalTime>
  <ScaleCrop>false</ScaleCrop>
  <LinksUpToDate>false</LinksUpToDate>
  <CharactersWithSpaces>2713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2024-01-07T08:12:00Z</dcterms:created>
  <dc:creator>Zoey</dc:creator>
  <cp:lastModifiedBy>Zoey.</cp:lastModifiedBy>
  <dcterms:modified xsi:type="dcterms:W3CDTF">2024-02-29T04:56:14Z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A0AB8C43072D44E5BB64413B48C1AFB0_12</vt:lpwstr>
  </property>
  <property fmtid="{D5CDD505-2E9C-101B-9397-08002B2CF9AE}" pid="4" name="GrammarlyDocumentId">
    <vt:lpwstr>00a370445b277ac7821f85a388502cd432af464bd7115e259f0ba20c66e2c059</vt:lpwstr>
  </property>
</Properties>
</file>