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7537F" w14:textId="77777777" w:rsidR="00EF10B5" w:rsidRDefault="00EF10B5" w:rsidP="00EF10B5">
      <w:pPr>
        <w:spacing w:beforeLines="100" w:before="240" w:afterLines="50" w:after="120" w:line="480" w:lineRule="auto"/>
        <w:jc w:val="center"/>
        <w:rPr>
          <w:rFonts w:ascii="Times New Roman" w:hAnsi="Times New Roman" w:cs="Times New Roman"/>
          <w:b/>
          <w:sz w:val="28"/>
          <w:szCs w:val="28"/>
        </w:rPr>
      </w:pPr>
      <w:r w:rsidRPr="00674DEC">
        <w:rPr>
          <w:rFonts w:ascii="Times New Roman" w:hAnsi="Times New Roman" w:cs="Times New Roman" w:hint="eastAsia"/>
          <w:b/>
          <w:sz w:val="28"/>
          <w:szCs w:val="28"/>
        </w:rPr>
        <w:t>Array</w:t>
      </w:r>
      <w:r w:rsidRPr="00674DEC">
        <w:rPr>
          <w:rFonts w:ascii="Times New Roman" w:hAnsi="Times New Roman" w:cs="Times New Roman"/>
          <w:b/>
          <w:sz w:val="28"/>
          <w:szCs w:val="28"/>
        </w:rPr>
        <w:t>-based</w:t>
      </w:r>
      <w:r>
        <w:rPr>
          <w:rFonts w:ascii="Times New Roman" w:hAnsi="Times New Roman" w:cs="Times New Roman"/>
          <w:b/>
          <w:sz w:val="28"/>
          <w:szCs w:val="28"/>
        </w:rPr>
        <w:t xml:space="preserve"> </w:t>
      </w:r>
      <w:r>
        <w:rPr>
          <w:rFonts w:ascii="Times New Roman" w:hAnsi="Times New Roman" w:cs="Times New Roman" w:hint="eastAsia"/>
          <w:b/>
          <w:sz w:val="28"/>
          <w:szCs w:val="28"/>
        </w:rPr>
        <w:t>specific</w:t>
      </w:r>
      <w:r w:rsidRPr="00674DEC">
        <w:rPr>
          <w:rFonts w:ascii="Times New Roman" w:hAnsi="Times New Roman" w:cs="Times New Roman"/>
          <w:b/>
          <w:sz w:val="28"/>
          <w:szCs w:val="28"/>
        </w:rPr>
        <w:t xml:space="preserve"> classification of bacterial species via the redox </w:t>
      </w:r>
      <w:r w:rsidRPr="00674DEC">
        <w:rPr>
          <w:rFonts w:ascii="Times New Roman" w:hAnsi="Times New Roman" w:cs="Times New Roman" w:hint="eastAsia"/>
          <w:b/>
          <w:sz w:val="28"/>
          <w:szCs w:val="28"/>
        </w:rPr>
        <w:t>state</w:t>
      </w:r>
      <w:r w:rsidRPr="00674DEC">
        <w:rPr>
          <w:rFonts w:ascii="Times New Roman" w:hAnsi="Times New Roman" w:cs="Times New Roman"/>
          <w:b/>
          <w:sz w:val="28"/>
          <w:szCs w:val="28"/>
        </w:rPr>
        <w:t xml:space="preserve"> transition of riboflavin</w:t>
      </w:r>
    </w:p>
    <w:p w14:paraId="3BAAF8A4" w14:textId="77777777" w:rsidR="00EF10B5" w:rsidRPr="00395218" w:rsidRDefault="00EF10B5" w:rsidP="00EF10B5">
      <w:pPr>
        <w:spacing w:beforeLines="50" w:before="120" w:afterLines="50" w:after="120" w:line="480" w:lineRule="auto"/>
        <w:jc w:val="center"/>
        <w:rPr>
          <w:rFonts w:ascii="Times New Roman" w:hAnsi="Times New Roman" w:cs="Times New Roman"/>
          <w:b/>
          <w:sz w:val="28"/>
        </w:rPr>
      </w:pPr>
      <w:r>
        <w:rPr>
          <w:rFonts w:ascii="Times New Roman" w:hAnsi="Times New Roman" w:cs="Times New Roman"/>
          <w:b/>
          <w:sz w:val="28"/>
        </w:rPr>
        <w:t>(</w:t>
      </w:r>
      <w:r w:rsidRPr="00AD1FD3">
        <w:rPr>
          <w:rFonts w:ascii="Times New Roman" w:hAnsi="Times New Roman" w:cs="Times New Roman"/>
          <w:b/>
          <w:sz w:val="28"/>
        </w:rPr>
        <w:t>For T</w:t>
      </w:r>
      <w:r w:rsidRPr="00AD1FD3">
        <w:rPr>
          <w:rFonts w:ascii="Times New Roman" w:hAnsi="Times New Roman" w:cs="Times New Roman" w:hint="eastAsia"/>
          <w:b/>
          <w:sz w:val="28"/>
        </w:rPr>
        <w:t>able</w:t>
      </w:r>
      <w:r w:rsidRPr="00AD1FD3">
        <w:rPr>
          <w:rFonts w:ascii="Times New Roman" w:hAnsi="Times New Roman" w:cs="Times New Roman"/>
          <w:b/>
          <w:sz w:val="28"/>
        </w:rPr>
        <w:t xml:space="preserve"> of Content Only</w:t>
      </w:r>
      <w:r>
        <w:rPr>
          <w:rFonts w:ascii="Times New Roman" w:hAnsi="Times New Roman" w:cs="Times New Roman"/>
          <w:b/>
          <w:sz w:val="28"/>
        </w:rPr>
        <w:t>)</w:t>
      </w:r>
    </w:p>
    <w:p w14:paraId="29118CB0" w14:textId="77777777" w:rsidR="00EF10B5" w:rsidRDefault="00EF10B5" w:rsidP="00EF10B5">
      <w:pPr>
        <w:spacing w:beforeLines="50" w:before="120" w:line="480" w:lineRule="auto"/>
        <w:jc w:val="center"/>
        <w:rPr>
          <w:rFonts w:ascii="Times New Roman" w:hAnsi="Times New Roman" w:cs="Times New Roman"/>
          <w:b/>
          <w:sz w:val="28"/>
        </w:rPr>
      </w:pPr>
      <w:r w:rsidRPr="0016038D">
        <w:rPr>
          <w:rFonts w:ascii="Times New Roman" w:hAnsi="Times New Roman" w:cs="Times New Roman"/>
          <w:b/>
          <w:noProof/>
          <w:sz w:val="28"/>
        </w:rPr>
        <w:drawing>
          <wp:inline distT="0" distB="0" distL="0" distR="0" wp14:anchorId="6E996C47" wp14:editId="0EDBD25D">
            <wp:extent cx="3600000" cy="2631684"/>
            <wp:effectExtent l="0" t="0" r="635" b="0"/>
            <wp:docPr id="17" name="图片 17" descr="E:\RF的PCET重写intro\all files\T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RF的PCET重写intro\all files\TOC.jpg"/>
                    <pic:cNvPicPr>
                      <a:picLocks noChangeAspect="1" noChangeArrowheads="1"/>
                    </pic:cNvPicPr>
                  </pic:nvPicPr>
                  <pic:blipFill>
                    <a:blip r:embed="rId4" cstate="hqprint">
                      <a:extLst>
                        <a:ext uri="{28A0092B-C50C-407E-A947-70E740481C1C}">
                          <a14:useLocalDpi xmlns:a14="http://schemas.microsoft.com/office/drawing/2010/main"/>
                        </a:ext>
                      </a:extLst>
                    </a:blip>
                    <a:srcRect/>
                    <a:stretch>
                      <a:fillRect/>
                    </a:stretch>
                  </pic:blipFill>
                  <pic:spPr bwMode="auto">
                    <a:xfrm>
                      <a:off x="0" y="0"/>
                      <a:ext cx="3600000" cy="2631684"/>
                    </a:xfrm>
                    <a:prstGeom prst="rect">
                      <a:avLst/>
                    </a:prstGeom>
                    <a:noFill/>
                    <a:ln>
                      <a:noFill/>
                    </a:ln>
                  </pic:spPr>
                </pic:pic>
              </a:graphicData>
            </a:graphic>
          </wp:inline>
        </w:drawing>
      </w:r>
    </w:p>
    <w:p w14:paraId="214EFF00" w14:textId="77777777" w:rsidR="00EF10B5" w:rsidRPr="00AD1FD3" w:rsidRDefault="00EF10B5" w:rsidP="00EF10B5">
      <w:pPr>
        <w:spacing w:afterLines="50" w:after="120" w:line="480" w:lineRule="auto"/>
        <w:rPr>
          <w:rFonts w:ascii="Times New Roman" w:hAnsi="Times New Roman" w:cs="Times New Roman"/>
          <w:bCs/>
          <w:sz w:val="20"/>
          <w:szCs w:val="16"/>
        </w:rPr>
      </w:pPr>
      <w:r w:rsidRPr="00AD1FD3">
        <w:rPr>
          <w:rFonts w:ascii="Times New Roman" w:hAnsi="Times New Roman" w:cs="Times New Roman"/>
          <w:bCs/>
          <w:sz w:val="20"/>
          <w:szCs w:val="16"/>
        </w:rPr>
        <w:t xml:space="preserve">Schematic diagram of the </w:t>
      </w:r>
      <w:r w:rsidRPr="00AD1FD3">
        <w:rPr>
          <w:rFonts w:ascii="Times New Roman" w:hAnsi="Times New Roman" w:cs="Times New Roman" w:hint="eastAsia"/>
          <w:bCs/>
          <w:sz w:val="20"/>
          <w:szCs w:val="16"/>
        </w:rPr>
        <w:t>d</w:t>
      </w:r>
      <w:r w:rsidRPr="00AD1FD3">
        <w:rPr>
          <w:rFonts w:ascii="Times New Roman" w:hAnsi="Times New Roman" w:cs="Times New Roman"/>
          <w:bCs/>
          <w:sz w:val="20"/>
          <w:szCs w:val="16"/>
        </w:rPr>
        <w:t>ual-mode sensor array based on the redox state transition of Rf in the presence of G- or G+ bacteria. Due to the PCET reaction, Rf was converted to an oxidized or reduced state, leading to the exact opposite color change after reacting with AgNTs. The color change of AgNTs would be the colorimetric mode for the classification of G- or G+ bacteria species while the fluorescence variation of Rf would be th</w:t>
      </w:r>
      <w:r>
        <w:rPr>
          <w:rFonts w:ascii="Times New Roman" w:hAnsi="Times New Roman" w:cs="Times New Roman"/>
          <w:bCs/>
          <w:sz w:val="20"/>
          <w:szCs w:val="16"/>
        </w:rPr>
        <w:t>e fluorometric</w:t>
      </w:r>
      <w:r w:rsidRPr="00AD1FD3">
        <w:rPr>
          <w:rFonts w:ascii="Times New Roman" w:hAnsi="Times New Roman" w:cs="Times New Roman"/>
          <w:bCs/>
          <w:sz w:val="20"/>
          <w:szCs w:val="16"/>
        </w:rPr>
        <w:t xml:space="preserve"> mode for individual bacterial discrimination.</w:t>
      </w:r>
    </w:p>
    <w:p w14:paraId="303AD56D"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B5"/>
    <w:rsid w:val="000C30FD"/>
    <w:rsid w:val="000D4074"/>
    <w:rsid w:val="001E4B73"/>
    <w:rsid w:val="005314AC"/>
    <w:rsid w:val="009B53F0"/>
    <w:rsid w:val="00EF1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37F9F"/>
  <w15:chartTrackingRefBased/>
  <w15:docId w15:val="{E60E5D2A-020B-41AC-A300-8F48B929B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0B5"/>
    <w:pPr>
      <w:widowControl w:val="0"/>
      <w:spacing w:after="0" w:line="240" w:lineRule="auto"/>
      <w:jc w:val="both"/>
    </w:pPr>
    <w:rPr>
      <w:rFonts w:eastAsiaTheme="minorEastAsia"/>
      <w:sz w:val="21"/>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534</Characters>
  <Application>Microsoft Office Word</Application>
  <DocSecurity>0</DocSecurity>
  <Lines>4</Lines>
  <Paragraphs>1</Paragraphs>
  <ScaleCrop>false</ScaleCrop>
  <Company>Springer Nature</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2024-03-05T13:16:00Z</dcterms:created>
  <dcterms:modified xsi:type="dcterms:W3CDTF">2024-03-05T13:16:00Z</dcterms:modified>
</cp:coreProperties>
</file>