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A50FE" w14:textId="7AFDD525" w:rsidR="009E2E6A" w:rsidRPr="0020163C" w:rsidRDefault="009E2E6A" w:rsidP="0023691A">
      <w:pPr>
        <w:keepNext/>
        <w:keepLines/>
        <w:spacing w:before="400" w:after="40" w:line="360" w:lineRule="auto"/>
        <w:jc w:val="both"/>
        <w:outlineLvl w:val="0"/>
        <w:rPr>
          <w:rFonts w:ascii="Calibri Light" w:eastAsia="Times New Roman" w:hAnsi="Calibri Light" w:cs="Times New Roman"/>
          <w:sz w:val="36"/>
          <w:szCs w:val="36"/>
        </w:rPr>
      </w:pPr>
      <w:r w:rsidRPr="00A86DB5">
        <w:rPr>
          <w:rStyle w:val="TitleChar"/>
        </w:rPr>
        <w:t>Supp</w:t>
      </w:r>
      <w:r w:rsidR="0023691A">
        <w:rPr>
          <w:rStyle w:val="TitleChar"/>
        </w:rPr>
        <w:t>lementary</w:t>
      </w:r>
      <w:r w:rsidRPr="00A86DB5">
        <w:rPr>
          <w:rStyle w:val="TitleChar"/>
        </w:rPr>
        <w:t xml:space="preserve"> information</w:t>
      </w:r>
      <w:r w:rsidRPr="0020163C">
        <w:rPr>
          <w:rFonts w:ascii="Calibri Light" w:eastAsia="Times New Roman" w:hAnsi="Calibri Light" w:cs="Times New Roman"/>
          <w:sz w:val="36"/>
          <w:szCs w:val="36"/>
        </w:rPr>
        <w:t>:</w:t>
      </w:r>
    </w:p>
    <w:p w14:paraId="2F61CC8F" w14:textId="081DAB3F" w:rsidR="009E2E6A" w:rsidRDefault="009E2E6A" w:rsidP="0023691A">
      <w:pPr>
        <w:jc w:val="both"/>
      </w:pPr>
      <w:r>
        <w:t>The rheological properties of the synthesised agar-hyaluronic acid hydrogels were characterized using an</w:t>
      </w:r>
      <w:r w:rsidRPr="00A87B23">
        <w:t xml:space="preserve"> Anton Paar Modular Compact Rheometer </w:t>
      </w:r>
      <w:r>
        <w:t>(</w:t>
      </w:r>
      <w:r w:rsidRPr="00A87B23">
        <w:t>MCR 302</w:t>
      </w:r>
      <w:r>
        <w:t>)</w:t>
      </w:r>
      <w:r w:rsidRPr="00A87B23">
        <w:t xml:space="preserve"> with a stationary</w:t>
      </w:r>
      <w:r>
        <w:t xml:space="preserve"> lower</w:t>
      </w:r>
      <w:r w:rsidRPr="00A87B23">
        <w:t xml:space="preserve"> plate</w:t>
      </w:r>
      <w:r>
        <w:t>. D</w:t>
      </w:r>
      <w:r w:rsidRPr="002F1FB9">
        <w:t xml:space="preserve">ue to the gel-like nature of the vitreous humour and the hydrogels, a parallel measuring geometry 40 mm </w:t>
      </w:r>
      <w:r>
        <w:t>in</w:t>
      </w:r>
      <w:r w:rsidRPr="002F1FB9">
        <w:t xml:space="preserve"> diameter with a rough surface was used. </w:t>
      </w:r>
      <w:r>
        <w:t>The temperature was set at 34</w:t>
      </w:r>
      <w:r>
        <w:rPr>
          <w:rFonts w:cstheme="minorHAnsi"/>
        </w:rPr>
        <w:t>˚</w:t>
      </w:r>
      <w:r>
        <w:t>C and the samples were incubated for 10 minutes to ensure homogeneous temperature. T</w:t>
      </w:r>
      <w:r w:rsidRPr="002F1FB9">
        <w:t xml:space="preserve">o eliminate solvent loss </w:t>
      </w:r>
      <w:r>
        <w:t xml:space="preserve">during </w:t>
      </w:r>
      <w:r w:rsidRPr="002F1FB9">
        <w:t>the analysis of the samples, a solvent trap was used to create a thermally stable vapour barrier</w:t>
      </w:r>
      <w:r>
        <w:t>.</w:t>
      </w:r>
    </w:p>
    <w:p w14:paraId="55F14AD7" w14:textId="4FC6E1A9" w:rsidR="009E2E6A" w:rsidRDefault="009E2E6A" w:rsidP="0023691A">
      <w:pPr>
        <w:spacing w:before="240"/>
        <w:jc w:val="both"/>
      </w:pPr>
      <w:r>
        <w:t>First, an oscillatory frequency sweep was performed to ensure correct synthesis comparing the results with those obtained by Thakur et al</w:t>
      </w:r>
      <w:r w:rsidR="0039660E">
        <w:t>.</w:t>
      </w:r>
      <w:r w:rsidR="0039660E">
        <w:fldChar w:fldCharType="begin" w:fldLock="1"/>
      </w:r>
      <w:r w:rsidR="0039660E">
        <w:instrText>ADDIN CSL_CITATION {"citationItems":[{"id":"ITEM-1","itemData":{"DOI":"10.1016/j.ejpb.2020.01.008","ISSN":"18733441","PMID":"31981693","abstract":"Artificial vitreous humor holds immense potential for use in in vitro intravitreal drug delivery assays. In this study, we investigated rheological properties and drug or nanoparticle migration in hyaluronic acid (HA) – agar based hydrogels and compared these characteristics with bovine vitreous humor. Gel compositions identified in literature containing HA (0.7–5.0 mg/ml) and agar (0.95–4.0 mg/ml) were classified as either high (VH), medium (VM) or low (VL) polymer load. Viscoelastic behavior was evaluated using oscillatory rheology, and migration of differently sized and charged polystyrene nanoparticles (NPs) through the different gels was determined via multiple particle tracking. Comparable rheological behaviour was observed between VL and bovine vitreous. Tracking evaluations revealed that increasing particle size and gel viscosity slowed NP migration. Additionally, 100 nm anionic NPs migrated slower than neutral NPs in VL and VM, while cationic NPs were immobile in all gels. Finally, distribution and clearance of sodium fluorescein was used to model drug mobility through the gels using a custom-built eye model. Flow and angular movement only influenced drug migration in VL and VM, but not VH. Finally, VL and VM demonstrated to have the most similar sodium fluorescein clearance to that of bovine vitreous humor. Together, these evaluations demonstrate that low viscosity HA-agar gels can be used to approximate nanoparticle and drug migration through biological vitreous humor.","author":[{"dropping-particle":"","family":"Thakur","given":"Sachin S.","non-dropping-particle":"","parse-names":false,"suffix":""},{"dropping-particle":"","family":"Shenoy","given":"Siddharth K.","non-dropping-particle":"","parse-names":false,"suffix":""},{"dropping-particle":"","family":"Suk","given":"Jung Soo","non-dropping-particle":"","parse-names":false,"suffix":""},{"dropping-particle":"","family":"Hanes","given":"Justin S.","non-dropping-particle":"","parse-names":false,"suffix":""},{"dropping-particle":"","family":"Rupenthal","given":"Ilva D.","non-dropping-particle":"","parse-names":false,"suffix":""}],"container-title":"European Journal of Pharmaceutics and Biopharmaceutics","id":"ITEM-1","issue":"January","issued":{"date-parts":[["2020"]]},"page":"118-125","publisher":"Elsevier","title":"Validation of hyaluronic acid-agar-based hydrogels as vitreous humor mimetics for in vitro drug and particle migration evaluations","type":"article-journal","volume":"148"},"uris":["http://www.mendeley.com/documents/?uuid=ce1687a3-7d5c-42e7-b0af-935bae50c57d"]}],"mendeley":{"formattedCitation":"&lt;sup&gt;1&lt;/sup&gt;","plainTextFormattedCitation":"1"},"properties":{"noteIndex":0},"schema":"https://github.com/citation-style-language/schema/raw/master/csl-citation.json"}</w:instrText>
      </w:r>
      <w:r w:rsidR="0039660E">
        <w:fldChar w:fldCharType="separate"/>
      </w:r>
      <w:r w:rsidR="0039660E" w:rsidRPr="0039660E">
        <w:rPr>
          <w:noProof/>
          <w:vertAlign w:val="superscript"/>
        </w:rPr>
        <w:t>1</w:t>
      </w:r>
      <w:r w:rsidR="0039660E">
        <w:fldChar w:fldCharType="end"/>
      </w:r>
      <w:r w:rsidR="0039660E">
        <w:t xml:space="preserve">, </w:t>
      </w:r>
      <w:r>
        <w:t>and to compare to vitreous humour extracted from porcine eyes, the results are shown in Fig. S1</w:t>
      </w:r>
      <w:r w:rsidR="007B05DB">
        <w:t>, as a mean of 3 tests, where the error bars represent the standard deviation</w:t>
      </w:r>
      <w:r>
        <w:t>. These sweeps were performed at angular frequency values ranging from 0.1 to 100 rad s</w:t>
      </w:r>
      <w:r>
        <w:rPr>
          <w:vertAlign w:val="superscript"/>
        </w:rPr>
        <w:t xml:space="preserve">-1 </w:t>
      </w:r>
      <w:r>
        <w:t>and a constant shear strain of 3%.</w:t>
      </w:r>
    </w:p>
    <w:p w14:paraId="7E98C32E" w14:textId="1900CD75" w:rsidR="009E2E6A" w:rsidRDefault="007B05DB" w:rsidP="007B05DB">
      <w:pPr>
        <w:jc w:val="both"/>
      </w:pPr>
      <w:r w:rsidRPr="00C5397C">
        <w:rPr>
          <w:noProof/>
        </w:rPr>
        <w:drawing>
          <wp:anchor distT="0" distB="0" distL="114300" distR="114300" simplePos="0" relativeHeight="251658240" behindDoc="0" locked="0" layoutInCell="1" allowOverlap="1" wp14:anchorId="7F63C3BD" wp14:editId="53551C91">
            <wp:simplePos x="0" y="0"/>
            <wp:positionH relativeFrom="margin">
              <wp:align>right</wp:align>
            </wp:positionH>
            <wp:positionV relativeFrom="paragraph">
              <wp:posOffset>879597</wp:posOffset>
            </wp:positionV>
            <wp:extent cx="5731510" cy="4385880"/>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385880"/>
                    </a:xfrm>
                    <a:prstGeom prst="rect">
                      <a:avLst/>
                    </a:prstGeom>
                    <a:noFill/>
                    <a:ln>
                      <a:noFill/>
                    </a:ln>
                  </pic:spPr>
                </pic:pic>
              </a:graphicData>
            </a:graphic>
            <wp14:sizeRelH relativeFrom="page">
              <wp14:pctWidth>0</wp14:pctWidth>
            </wp14:sizeRelH>
            <wp14:sizeRelV relativeFrom="page">
              <wp14:pctHeight>0</wp14:pctHeight>
            </wp14:sizeRelV>
          </wp:anchor>
        </w:drawing>
      </w:r>
      <w:r w:rsidR="009E2E6A">
        <w:t>Second, we performed a viscosity shear rate sweep, with shear rate values ranging from 0.01 to 100 s</w:t>
      </w:r>
      <w:r w:rsidR="009E2E6A">
        <w:rPr>
          <w:vertAlign w:val="superscript"/>
        </w:rPr>
        <w:t>-1</w:t>
      </w:r>
      <w:r w:rsidR="009E2E6A">
        <w:t>. Viscosity values</w:t>
      </w:r>
      <w:r>
        <w:t xml:space="preserve"> of 3 samples (error bars representing the standard deviation from the mean)</w:t>
      </w:r>
      <w:r w:rsidR="009E2E6A">
        <w:t xml:space="preserve"> were analysed and fitted with the </w:t>
      </w:r>
      <w:r w:rsidR="009E2E6A" w:rsidRPr="00904E33">
        <w:t>Carreau-Yasuda</w:t>
      </w:r>
      <w:r w:rsidR="009E2E6A">
        <w:t xml:space="preserve"> model to obtain static values of viscosity Fig. S2. (used as the bulk viscosity values for the hydrogels in the tracking process).</w:t>
      </w:r>
    </w:p>
    <w:p w14:paraId="4584A775" w14:textId="7CA26BA3" w:rsidR="009E2E6A" w:rsidRPr="0020163C" w:rsidRDefault="004A6B0F" w:rsidP="009E2E6A">
      <w:pPr>
        <w:pStyle w:val="Caption"/>
        <w:rPr>
          <w:color w:val="7F7F7F" w:themeColor="text1" w:themeTint="80"/>
        </w:rPr>
      </w:pPr>
      <w:r>
        <w:rPr>
          <w:b/>
          <w:color w:val="7F7F7F" w:themeColor="text1" w:themeTint="80"/>
        </w:rPr>
        <w:t xml:space="preserve">Supplementary </w:t>
      </w:r>
      <w:r w:rsidR="009E2E6A" w:rsidRPr="0020163C">
        <w:rPr>
          <w:b/>
          <w:color w:val="7F7F7F" w:themeColor="text1" w:themeTint="80"/>
        </w:rPr>
        <w:t xml:space="preserve">Figure </w:t>
      </w:r>
      <w:r w:rsidR="009E2E6A" w:rsidRPr="0020163C">
        <w:rPr>
          <w:b/>
          <w:color w:val="7F7F7F" w:themeColor="text1" w:themeTint="80"/>
        </w:rPr>
        <w:fldChar w:fldCharType="begin"/>
      </w:r>
      <w:r w:rsidR="009E2E6A" w:rsidRPr="0020163C">
        <w:rPr>
          <w:b/>
          <w:color w:val="7F7F7F" w:themeColor="text1" w:themeTint="80"/>
        </w:rPr>
        <w:instrText xml:space="preserve"> SEQ Figure_S \* ARABIC </w:instrText>
      </w:r>
      <w:r w:rsidR="009E2E6A" w:rsidRPr="0020163C">
        <w:rPr>
          <w:b/>
          <w:color w:val="7F7F7F" w:themeColor="text1" w:themeTint="80"/>
        </w:rPr>
        <w:fldChar w:fldCharType="separate"/>
      </w:r>
      <w:r w:rsidR="0039660E">
        <w:rPr>
          <w:b/>
          <w:noProof/>
          <w:color w:val="7F7F7F" w:themeColor="text1" w:themeTint="80"/>
        </w:rPr>
        <w:t>1</w:t>
      </w:r>
      <w:r w:rsidR="009E2E6A" w:rsidRPr="0020163C">
        <w:rPr>
          <w:b/>
          <w:color w:val="7F7F7F" w:themeColor="text1" w:themeTint="80"/>
        </w:rPr>
        <w:fldChar w:fldCharType="end"/>
      </w:r>
      <w:r w:rsidR="009E2E6A" w:rsidRPr="0020163C">
        <w:rPr>
          <w:color w:val="7F7F7F" w:themeColor="text1" w:themeTint="80"/>
        </w:rPr>
        <w:t xml:space="preserve">: Oscillatory frequency sweep of hydrogels and porcine vitreous humour at 34°C. </w:t>
      </w:r>
      <w:r w:rsidR="009E2E6A">
        <w:rPr>
          <w:color w:val="7F7F7F" w:themeColor="text1" w:themeTint="80"/>
        </w:rPr>
        <w:t>The s</w:t>
      </w:r>
      <w:r w:rsidR="009E2E6A" w:rsidRPr="0020163C">
        <w:rPr>
          <w:color w:val="7F7F7F" w:themeColor="text1" w:themeTint="80"/>
        </w:rPr>
        <w:t>torage</w:t>
      </w:r>
      <w:r w:rsidR="009E2E6A">
        <w:rPr>
          <w:color w:val="7F7F7F" w:themeColor="text1" w:themeTint="80"/>
        </w:rPr>
        <w:t xml:space="preserve"> (G’)</w:t>
      </w:r>
      <w:r w:rsidR="009E2E6A" w:rsidRPr="0020163C">
        <w:rPr>
          <w:color w:val="7F7F7F" w:themeColor="text1" w:themeTint="80"/>
        </w:rPr>
        <w:t xml:space="preserve"> and Loss</w:t>
      </w:r>
      <w:r w:rsidR="009E2E6A">
        <w:rPr>
          <w:color w:val="7F7F7F" w:themeColor="text1" w:themeTint="80"/>
        </w:rPr>
        <w:t xml:space="preserve"> (G’’) </w:t>
      </w:r>
      <w:r w:rsidR="009E2E6A" w:rsidRPr="0020163C">
        <w:rPr>
          <w:color w:val="7F7F7F" w:themeColor="text1" w:themeTint="80"/>
        </w:rPr>
        <w:t xml:space="preserve">modulus of high viscous (HV, red), medium viscous (MV, orange), low viscous (LV, blue) hydrogels, and porcine vitreous humour (VH, green) are compared. G’ and G’’ SD values over 40 rad/s are excluded due to poor resistance to high frequencies.  </w:t>
      </w:r>
    </w:p>
    <w:p w14:paraId="0D191524" w14:textId="77777777" w:rsidR="009E2E6A" w:rsidRDefault="009E2E6A" w:rsidP="009E2E6A"/>
    <w:p w14:paraId="164CAD32" w14:textId="77777777" w:rsidR="009E2E6A" w:rsidRDefault="009E2E6A" w:rsidP="009E2E6A">
      <w:pPr>
        <w:keepNext/>
      </w:pPr>
      <w:r w:rsidRPr="00C5397C">
        <w:rPr>
          <w:noProof/>
        </w:rPr>
        <w:drawing>
          <wp:inline distT="0" distB="0" distL="0" distR="0" wp14:anchorId="44B074B8" wp14:editId="407A91CF">
            <wp:extent cx="5731510" cy="43858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385880"/>
                    </a:xfrm>
                    <a:prstGeom prst="rect">
                      <a:avLst/>
                    </a:prstGeom>
                    <a:noFill/>
                    <a:ln>
                      <a:noFill/>
                    </a:ln>
                  </pic:spPr>
                </pic:pic>
              </a:graphicData>
            </a:graphic>
          </wp:inline>
        </w:drawing>
      </w:r>
    </w:p>
    <w:p w14:paraId="169D0399" w14:textId="0C9D1A2F" w:rsidR="009E2E6A" w:rsidRPr="0020163C" w:rsidRDefault="004A6B0F" w:rsidP="009E2E6A">
      <w:pPr>
        <w:pStyle w:val="Caption"/>
        <w:rPr>
          <w:color w:val="7F7F7F" w:themeColor="text1" w:themeTint="80"/>
        </w:rPr>
      </w:pPr>
      <w:r>
        <w:rPr>
          <w:b/>
          <w:color w:val="7F7F7F" w:themeColor="text1" w:themeTint="80"/>
        </w:rPr>
        <w:t xml:space="preserve">Supplementary </w:t>
      </w:r>
      <w:r w:rsidR="009E2E6A" w:rsidRPr="0020163C">
        <w:rPr>
          <w:b/>
          <w:color w:val="7F7F7F" w:themeColor="text1" w:themeTint="80"/>
        </w:rPr>
        <w:t xml:space="preserve">Figure </w:t>
      </w:r>
      <w:r w:rsidR="009E2E6A" w:rsidRPr="0020163C">
        <w:rPr>
          <w:b/>
          <w:color w:val="7F7F7F" w:themeColor="text1" w:themeTint="80"/>
        </w:rPr>
        <w:fldChar w:fldCharType="begin"/>
      </w:r>
      <w:r w:rsidR="009E2E6A" w:rsidRPr="0020163C">
        <w:rPr>
          <w:b/>
          <w:color w:val="7F7F7F" w:themeColor="text1" w:themeTint="80"/>
        </w:rPr>
        <w:instrText xml:space="preserve"> SEQ Figure_S \* ARABIC </w:instrText>
      </w:r>
      <w:r w:rsidR="009E2E6A" w:rsidRPr="0020163C">
        <w:rPr>
          <w:b/>
          <w:color w:val="7F7F7F" w:themeColor="text1" w:themeTint="80"/>
        </w:rPr>
        <w:fldChar w:fldCharType="separate"/>
      </w:r>
      <w:r w:rsidR="0039660E">
        <w:rPr>
          <w:b/>
          <w:noProof/>
          <w:color w:val="7F7F7F" w:themeColor="text1" w:themeTint="80"/>
        </w:rPr>
        <w:t>2</w:t>
      </w:r>
      <w:r w:rsidR="009E2E6A" w:rsidRPr="0020163C">
        <w:rPr>
          <w:b/>
          <w:color w:val="7F7F7F" w:themeColor="text1" w:themeTint="80"/>
        </w:rPr>
        <w:fldChar w:fldCharType="end"/>
      </w:r>
      <w:r w:rsidR="009E2E6A" w:rsidRPr="0020163C">
        <w:rPr>
          <w:color w:val="7F7F7F" w:themeColor="text1" w:themeTint="80"/>
        </w:rPr>
        <w:t>: Agar-hyaluronic acid hydrogels (LV- low viscous; MV-medium viscous; HV-high viscous) viscosity values measured at 34°C, fitted to</w:t>
      </w:r>
      <w:r w:rsidR="009E2E6A">
        <w:rPr>
          <w:color w:val="7F7F7F" w:themeColor="text1" w:themeTint="80"/>
        </w:rPr>
        <w:t xml:space="preserve"> the</w:t>
      </w:r>
      <w:r w:rsidR="009E2E6A" w:rsidRPr="0020163C">
        <w:rPr>
          <w:color w:val="7F7F7F" w:themeColor="text1" w:themeTint="80"/>
        </w:rPr>
        <w:t xml:space="preserve"> Carreau- Yasuda model to obtain static values of viscosity.</w:t>
      </w:r>
    </w:p>
    <w:p w14:paraId="209FD369" w14:textId="77777777" w:rsidR="009E2E6A" w:rsidRDefault="009E2E6A" w:rsidP="009E2E6A"/>
    <w:p w14:paraId="2E7E19EB" w14:textId="77777777" w:rsidR="009E2E6A" w:rsidRDefault="009E2E6A" w:rsidP="009E2E6A">
      <w:r>
        <w:t>Link to videos of nanoparticles in different media:</w:t>
      </w:r>
    </w:p>
    <w:p w14:paraId="5355E005" w14:textId="33082257" w:rsidR="00E21DB8" w:rsidRDefault="000E4185" w:rsidP="009E2E6A">
      <w:pPr>
        <w:rPr>
          <w:rFonts w:cstheme="minorHAnsi"/>
        </w:rPr>
      </w:pPr>
      <w:hyperlink r:id="rId9" w:history="1">
        <w:r w:rsidRPr="00791E10">
          <w:rPr>
            <w:rStyle w:val="Hyperlink"/>
            <w:rFonts w:cstheme="minorHAnsi"/>
          </w:rPr>
          <w:t>https://doi.org/10.17638/datacat.liverpool.ac.uk%2F2603</w:t>
        </w:r>
      </w:hyperlink>
    </w:p>
    <w:p w14:paraId="51C40EDA" w14:textId="77777777" w:rsidR="000E4185" w:rsidRDefault="000E4185" w:rsidP="009E2E6A">
      <w:pPr>
        <w:rPr>
          <w:rFonts w:cstheme="minorHAnsi"/>
        </w:rPr>
      </w:pPr>
      <w:bookmarkStart w:id="0" w:name="_GoBack"/>
      <w:bookmarkEnd w:id="0"/>
    </w:p>
    <w:p w14:paraId="5DC1B408" w14:textId="6B2472B1" w:rsidR="0039660E" w:rsidRDefault="0039660E" w:rsidP="009E2E6A">
      <w:pPr>
        <w:rPr>
          <w:rFonts w:cstheme="minorHAnsi"/>
        </w:rPr>
      </w:pPr>
      <w:r>
        <w:rPr>
          <w:rFonts w:cstheme="minorHAnsi"/>
        </w:rPr>
        <w:t>Reference:</w:t>
      </w:r>
    </w:p>
    <w:p w14:paraId="2DDC44F3" w14:textId="24CD6FC2" w:rsidR="0039660E" w:rsidRPr="0039660E" w:rsidRDefault="0039660E" w:rsidP="0039660E">
      <w:pPr>
        <w:widowControl w:val="0"/>
        <w:autoSpaceDE w:val="0"/>
        <w:autoSpaceDN w:val="0"/>
        <w:adjustRightInd w:val="0"/>
        <w:spacing w:line="240" w:lineRule="auto"/>
        <w:ind w:left="640" w:hanging="640"/>
        <w:rPr>
          <w:rFonts w:ascii="Calibri" w:hAnsi="Calibri" w:cs="Calibri"/>
          <w:noProof/>
        </w:rPr>
      </w:pPr>
      <w:r>
        <w:fldChar w:fldCharType="begin" w:fldLock="1"/>
      </w:r>
      <w:r>
        <w:instrText xml:space="preserve">ADDIN Mendeley Bibliography CSL_BIBLIOGRAPHY </w:instrText>
      </w:r>
      <w:r>
        <w:fldChar w:fldCharType="separate"/>
      </w:r>
      <w:r w:rsidRPr="0039660E">
        <w:rPr>
          <w:rFonts w:ascii="Calibri" w:hAnsi="Calibri" w:cs="Calibri"/>
          <w:noProof/>
          <w:szCs w:val="24"/>
        </w:rPr>
        <w:t>1.</w:t>
      </w:r>
      <w:r w:rsidRPr="0039660E">
        <w:rPr>
          <w:rFonts w:ascii="Calibri" w:hAnsi="Calibri" w:cs="Calibri"/>
          <w:noProof/>
          <w:szCs w:val="24"/>
        </w:rPr>
        <w:tab/>
        <w:t xml:space="preserve">Thakur, S. S., Shenoy, S. K., Suk, J. S., Hanes, J. S. &amp; Rupenthal, I. D. Validation of hyaluronic acid-agar-based hydrogels as vitreous humor mimetics for in vitro drug and particle migration evaluations. </w:t>
      </w:r>
      <w:r w:rsidRPr="0039660E">
        <w:rPr>
          <w:rFonts w:ascii="Calibri" w:hAnsi="Calibri" w:cs="Calibri"/>
          <w:i/>
          <w:iCs/>
          <w:noProof/>
          <w:szCs w:val="24"/>
        </w:rPr>
        <w:t>Eur. J. Pharm. Biopharm.</w:t>
      </w:r>
      <w:r w:rsidRPr="0039660E">
        <w:rPr>
          <w:rFonts w:ascii="Calibri" w:hAnsi="Calibri" w:cs="Calibri"/>
          <w:noProof/>
          <w:szCs w:val="24"/>
        </w:rPr>
        <w:t xml:space="preserve"> </w:t>
      </w:r>
      <w:r w:rsidRPr="0039660E">
        <w:rPr>
          <w:rFonts w:ascii="Calibri" w:hAnsi="Calibri" w:cs="Calibri"/>
          <w:b/>
          <w:bCs/>
          <w:noProof/>
          <w:szCs w:val="24"/>
        </w:rPr>
        <w:t>148</w:t>
      </w:r>
      <w:r w:rsidRPr="0039660E">
        <w:rPr>
          <w:rFonts w:ascii="Calibri" w:hAnsi="Calibri" w:cs="Calibri"/>
          <w:noProof/>
          <w:szCs w:val="24"/>
        </w:rPr>
        <w:t>, 118–125 (2020).</w:t>
      </w:r>
    </w:p>
    <w:p w14:paraId="6A7AADA0" w14:textId="161FB47D" w:rsidR="009E2E6A" w:rsidRPr="007F2607" w:rsidRDefault="0039660E" w:rsidP="009E2E6A">
      <w:r>
        <w:fldChar w:fldCharType="end"/>
      </w:r>
    </w:p>
    <w:p w14:paraId="375F60C9" w14:textId="77777777" w:rsidR="00CE6ABE" w:rsidRDefault="00CE6ABE"/>
    <w:sectPr w:rsidR="00CE6ABE">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2A6BB8" w14:textId="77777777" w:rsidR="004C6FB0" w:rsidRDefault="0039660E">
      <w:pPr>
        <w:spacing w:after="0" w:line="240" w:lineRule="auto"/>
      </w:pPr>
      <w:r>
        <w:separator/>
      </w:r>
    </w:p>
  </w:endnote>
  <w:endnote w:type="continuationSeparator" w:id="0">
    <w:p w14:paraId="091125D2" w14:textId="77777777" w:rsidR="004C6FB0" w:rsidRDefault="003966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7766793"/>
      <w:docPartObj>
        <w:docPartGallery w:val="Page Numbers (Bottom of Page)"/>
        <w:docPartUnique/>
      </w:docPartObj>
    </w:sdtPr>
    <w:sdtEndPr>
      <w:rPr>
        <w:noProof/>
      </w:rPr>
    </w:sdtEndPr>
    <w:sdtContent>
      <w:p w14:paraId="3938794F" w14:textId="77777777" w:rsidR="006B5B64" w:rsidRDefault="009E2E6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928DA3" w14:textId="77777777" w:rsidR="006B5B64" w:rsidRDefault="000E41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362684" w14:textId="77777777" w:rsidR="004C6FB0" w:rsidRDefault="0039660E">
      <w:pPr>
        <w:spacing w:after="0" w:line="240" w:lineRule="auto"/>
      </w:pPr>
      <w:r>
        <w:separator/>
      </w:r>
    </w:p>
  </w:footnote>
  <w:footnote w:type="continuationSeparator" w:id="0">
    <w:p w14:paraId="2569061B" w14:textId="77777777" w:rsidR="004C6FB0" w:rsidRDefault="0039660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CD1"/>
    <w:rsid w:val="0001171B"/>
    <w:rsid w:val="00026EFE"/>
    <w:rsid w:val="00047519"/>
    <w:rsid w:val="00077E26"/>
    <w:rsid w:val="000804C8"/>
    <w:rsid w:val="000817C2"/>
    <w:rsid w:val="000836AC"/>
    <w:rsid w:val="000866BC"/>
    <w:rsid w:val="000C0475"/>
    <w:rsid w:val="000E2B3A"/>
    <w:rsid w:val="000E4185"/>
    <w:rsid w:val="00105CD1"/>
    <w:rsid w:val="00124FC1"/>
    <w:rsid w:val="0015037D"/>
    <w:rsid w:val="00160D6C"/>
    <w:rsid w:val="00162D06"/>
    <w:rsid w:val="001B068A"/>
    <w:rsid w:val="001E2C14"/>
    <w:rsid w:val="002003E1"/>
    <w:rsid w:val="00202270"/>
    <w:rsid w:val="0022732F"/>
    <w:rsid w:val="00235F23"/>
    <w:rsid w:val="0023691A"/>
    <w:rsid w:val="0024677E"/>
    <w:rsid w:val="00247D0D"/>
    <w:rsid w:val="002F5BDA"/>
    <w:rsid w:val="00304F2E"/>
    <w:rsid w:val="003100F4"/>
    <w:rsid w:val="00311E5D"/>
    <w:rsid w:val="00324CE0"/>
    <w:rsid w:val="00332A60"/>
    <w:rsid w:val="003438EE"/>
    <w:rsid w:val="0039660E"/>
    <w:rsid w:val="00397B61"/>
    <w:rsid w:val="003A75D2"/>
    <w:rsid w:val="003C37F2"/>
    <w:rsid w:val="00416A97"/>
    <w:rsid w:val="00421AC6"/>
    <w:rsid w:val="00422DBB"/>
    <w:rsid w:val="00441011"/>
    <w:rsid w:val="00454FAF"/>
    <w:rsid w:val="00470914"/>
    <w:rsid w:val="00482438"/>
    <w:rsid w:val="004938BB"/>
    <w:rsid w:val="004A01C3"/>
    <w:rsid w:val="004A6B0F"/>
    <w:rsid w:val="004B0FA5"/>
    <w:rsid w:val="004C6FB0"/>
    <w:rsid w:val="00513C6E"/>
    <w:rsid w:val="00530914"/>
    <w:rsid w:val="00545E71"/>
    <w:rsid w:val="00567048"/>
    <w:rsid w:val="00567215"/>
    <w:rsid w:val="00583352"/>
    <w:rsid w:val="005834F2"/>
    <w:rsid w:val="00590C43"/>
    <w:rsid w:val="005A4E5C"/>
    <w:rsid w:val="005D4084"/>
    <w:rsid w:val="006152D1"/>
    <w:rsid w:val="00645A97"/>
    <w:rsid w:val="00652294"/>
    <w:rsid w:val="00676AC6"/>
    <w:rsid w:val="00682A3D"/>
    <w:rsid w:val="00697899"/>
    <w:rsid w:val="006A6EB4"/>
    <w:rsid w:val="006B4676"/>
    <w:rsid w:val="006F2DB9"/>
    <w:rsid w:val="0070433F"/>
    <w:rsid w:val="00705928"/>
    <w:rsid w:val="00781337"/>
    <w:rsid w:val="0079006A"/>
    <w:rsid w:val="007B05DB"/>
    <w:rsid w:val="007D1C44"/>
    <w:rsid w:val="007D7EAE"/>
    <w:rsid w:val="007F0607"/>
    <w:rsid w:val="007F1AC8"/>
    <w:rsid w:val="008058D8"/>
    <w:rsid w:val="008151A4"/>
    <w:rsid w:val="008369BC"/>
    <w:rsid w:val="00853A15"/>
    <w:rsid w:val="008553A8"/>
    <w:rsid w:val="008662C6"/>
    <w:rsid w:val="00872727"/>
    <w:rsid w:val="00876D22"/>
    <w:rsid w:val="00890EDB"/>
    <w:rsid w:val="00896DA4"/>
    <w:rsid w:val="008C763D"/>
    <w:rsid w:val="008D5999"/>
    <w:rsid w:val="008F7D9F"/>
    <w:rsid w:val="00906D76"/>
    <w:rsid w:val="00914903"/>
    <w:rsid w:val="00952200"/>
    <w:rsid w:val="00960801"/>
    <w:rsid w:val="0096374E"/>
    <w:rsid w:val="0096775C"/>
    <w:rsid w:val="0098553E"/>
    <w:rsid w:val="009C23BC"/>
    <w:rsid w:val="009D0525"/>
    <w:rsid w:val="009D0F23"/>
    <w:rsid w:val="009E2E6A"/>
    <w:rsid w:val="00A25F2F"/>
    <w:rsid w:val="00A46E6C"/>
    <w:rsid w:val="00A546EE"/>
    <w:rsid w:val="00A81FD9"/>
    <w:rsid w:val="00AE200E"/>
    <w:rsid w:val="00AF42D4"/>
    <w:rsid w:val="00B0654F"/>
    <w:rsid w:val="00B27924"/>
    <w:rsid w:val="00B30F9E"/>
    <w:rsid w:val="00B346A7"/>
    <w:rsid w:val="00B41C51"/>
    <w:rsid w:val="00B613FC"/>
    <w:rsid w:val="00B741FE"/>
    <w:rsid w:val="00B76F42"/>
    <w:rsid w:val="00B81CF2"/>
    <w:rsid w:val="00BA1AE8"/>
    <w:rsid w:val="00BC151C"/>
    <w:rsid w:val="00BD179E"/>
    <w:rsid w:val="00C218DE"/>
    <w:rsid w:val="00C41BBD"/>
    <w:rsid w:val="00C5330B"/>
    <w:rsid w:val="00C63F6E"/>
    <w:rsid w:val="00C658A5"/>
    <w:rsid w:val="00C809BE"/>
    <w:rsid w:val="00CB5202"/>
    <w:rsid w:val="00CC1BAE"/>
    <w:rsid w:val="00CD4727"/>
    <w:rsid w:val="00CD6F31"/>
    <w:rsid w:val="00CE6ABE"/>
    <w:rsid w:val="00CF079D"/>
    <w:rsid w:val="00D452FB"/>
    <w:rsid w:val="00D81722"/>
    <w:rsid w:val="00D84B1C"/>
    <w:rsid w:val="00DA72BC"/>
    <w:rsid w:val="00DB0428"/>
    <w:rsid w:val="00DC598C"/>
    <w:rsid w:val="00DE61AA"/>
    <w:rsid w:val="00DE7D9F"/>
    <w:rsid w:val="00E01E68"/>
    <w:rsid w:val="00E21DB8"/>
    <w:rsid w:val="00E325A1"/>
    <w:rsid w:val="00E36837"/>
    <w:rsid w:val="00E62943"/>
    <w:rsid w:val="00E90C95"/>
    <w:rsid w:val="00E93B2B"/>
    <w:rsid w:val="00EB23A0"/>
    <w:rsid w:val="00F01A31"/>
    <w:rsid w:val="00F21510"/>
    <w:rsid w:val="00F301C7"/>
    <w:rsid w:val="00F51A0B"/>
    <w:rsid w:val="00F640E5"/>
    <w:rsid w:val="00F6578A"/>
    <w:rsid w:val="00F67DFC"/>
    <w:rsid w:val="00FC2A8D"/>
    <w:rsid w:val="00FE4B8E"/>
    <w:rsid w:val="00FF3E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C7F8CD4"/>
  <w15:chartTrackingRefBased/>
  <w15:docId w15:val="{CC5D0728-3651-42C7-B6AF-6E190CF74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2E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2E6A"/>
    <w:rPr>
      <w:color w:val="0563C1" w:themeColor="hyperlink"/>
      <w:u w:val="single"/>
    </w:rPr>
  </w:style>
  <w:style w:type="paragraph" w:styleId="Caption">
    <w:name w:val="caption"/>
    <w:basedOn w:val="Normal"/>
    <w:next w:val="Normal"/>
    <w:uiPriority w:val="35"/>
    <w:unhideWhenUsed/>
    <w:qFormat/>
    <w:rsid w:val="009E2E6A"/>
    <w:pPr>
      <w:spacing w:after="200" w:line="240" w:lineRule="auto"/>
    </w:pPr>
    <w:rPr>
      <w:i/>
      <w:iCs/>
      <w:color w:val="44546A" w:themeColor="text2"/>
      <w:sz w:val="18"/>
      <w:szCs w:val="18"/>
    </w:rPr>
  </w:style>
  <w:style w:type="paragraph" w:styleId="Footer">
    <w:name w:val="footer"/>
    <w:basedOn w:val="Normal"/>
    <w:link w:val="FooterChar"/>
    <w:uiPriority w:val="99"/>
    <w:unhideWhenUsed/>
    <w:rsid w:val="009E2E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2E6A"/>
  </w:style>
  <w:style w:type="paragraph" w:styleId="Title">
    <w:name w:val="Title"/>
    <w:basedOn w:val="Normal"/>
    <w:next w:val="Normal"/>
    <w:link w:val="TitleChar"/>
    <w:uiPriority w:val="10"/>
    <w:qFormat/>
    <w:rsid w:val="009E2E6A"/>
    <w:pPr>
      <w:spacing w:after="0" w:line="360" w:lineRule="auto"/>
      <w:contextualSpacing/>
    </w:pPr>
    <w:rPr>
      <w:rFonts w:asciiTheme="majorHAnsi" w:eastAsiaTheme="majorEastAsia" w:hAnsiTheme="majorHAnsi" w:cstheme="majorBidi"/>
      <w:b/>
      <w:spacing w:val="-10"/>
      <w:kern w:val="28"/>
      <w:sz w:val="36"/>
      <w:szCs w:val="56"/>
    </w:rPr>
  </w:style>
  <w:style w:type="character" w:customStyle="1" w:styleId="TitleChar">
    <w:name w:val="Title Char"/>
    <w:basedOn w:val="DefaultParagraphFont"/>
    <w:link w:val="Title"/>
    <w:uiPriority w:val="10"/>
    <w:rsid w:val="009E2E6A"/>
    <w:rPr>
      <w:rFonts w:asciiTheme="majorHAnsi" w:eastAsiaTheme="majorEastAsia" w:hAnsiTheme="majorHAnsi" w:cstheme="majorBidi"/>
      <w:b/>
      <w:spacing w:val="-10"/>
      <w:kern w:val="28"/>
      <w:sz w:val="36"/>
      <w:szCs w:val="56"/>
    </w:rPr>
  </w:style>
  <w:style w:type="character" w:styleId="PlaceholderText">
    <w:name w:val="Placeholder Text"/>
    <w:basedOn w:val="DefaultParagraphFont"/>
    <w:uiPriority w:val="99"/>
    <w:semiHidden/>
    <w:rsid w:val="0039660E"/>
    <w:rPr>
      <w:color w:val="808080"/>
    </w:rPr>
  </w:style>
  <w:style w:type="character" w:styleId="UnresolvedMention">
    <w:name w:val="Unresolved Mention"/>
    <w:basedOn w:val="DefaultParagraphFont"/>
    <w:uiPriority w:val="99"/>
    <w:semiHidden/>
    <w:unhideWhenUsed/>
    <w:rsid w:val="000E41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doi.org/10.17638/datacat.liverpool.ac.uk%2F26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4C3D5CD-4EEC-415A-84F0-67A6C047D227}">
  <we:reference id="wa104382081" version="1.55.1.0" store="en-GB" storeType="OMEX"/>
  <we:alternateReferences>
    <we:reference id="wa104382081" version="1.55.1.0" store="" storeType="OMEX"/>
  </we:alternateReferences>
  <we:properties>
    <we:property name="MENDELEY_CITATIONS" value="[]"/>
    <we:property name="MENDELEY_CITATIONS_STYLE" value="{&quot;id&quot;:&quot;https://www.zotero.org/styles/nature&quot;,&quot;title&quot;:&quot;Nature&quot;,&quot;format&quot;:&quot;numeric&quot;,&quot;defaultLocale&quot;:&quot;en-GB&quot;,&quot;isLocaleCodeValid&quot;:true}"/>
    <we:property name="MENDELEY_CITATIONS_LOCALE_CODE" value="&quot;en-GB&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BA65BD-C795-41E2-ABD7-C67678E73A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821</Words>
  <Characters>4680</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López, Moira</dc:creator>
  <cp:keywords/>
  <dc:description/>
  <cp:lastModifiedBy>Lorenzo López, Moira</cp:lastModifiedBy>
  <cp:revision>8</cp:revision>
  <cp:lastPrinted>2024-02-12T12:34:00Z</cp:lastPrinted>
  <dcterms:created xsi:type="dcterms:W3CDTF">2024-02-12T12:30:00Z</dcterms:created>
  <dcterms:modified xsi:type="dcterms:W3CDTF">2024-02-28T17:20:00Z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11th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428dede8-eeef-33d8-9b8d-c130da2bd03f</vt:lpwstr>
  </property>
  <property fmtid="{D5CDD505-2E9C-101B-9397-08002B2CF9AE}" pid="24" name="Mendeley Citation Style_1">
    <vt:lpwstr>http://www.zotero.org/styles/nature</vt:lpwstr>
  </property>
</Properties>
</file>