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eastAsiaTheme="minorEastAsia"/>
          <w:lang w:eastAsia="zh-CN"/>
        </w:rPr>
        <w:drawing>
          <wp:inline distT="0" distB="0" distL="114300" distR="114300">
            <wp:extent cx="5257165" cy="1538605"/>
            <wp:effectExtent l="0" t="0" r="635" b="4445"/>
            <wp:docPr id="1" name="图片 1" descr="HPV18-鳞癌结果森林图_She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PV18-鳞癌结果森林图_Sheet1"/>
                    <pic:cNvPicPr>
                      <a:picLocks noChangeAspect="1"/>
                    </pic:cNvPicPr>
                  </pic:nvPicPr>
                  <pic:blipFill>
                    <a:blip r:embed="rId4"/>
                    <a:stretch>
                      <a:fillRect/>
                    </a:stretch>
                  </pic:blipFill>
                  <pic:spPr>
                    <a:xfrm>
                      <a:off x="0" y="0"/>
                      <a:ext cx="5257165" cy="1538605"/>
                    </a:xfrm>
                    <a:prstGeom prst="rect">
                      <a:avLst/>
                    </a:prstGeom>
                  </pic:spPr>
                </pic:pic>
              </a:graphicData>
            </a:graphic>
          </wp:inline>
        </w:drawing>
      </w:r>
    </w:p>
    <w:p>
      <w:pPr>
        <w:keepNext w:val="0"/>
        <w:keepLines w:val="0"/>
        <w:widowControl/>
        <w:suppressLineNumbers w:val="0"/>
        <w:spacing w:before="0" w:beforeAutospacing="0" w:after="0" w:afterAutospacing="0" w:line="360" w:lineRule="auto"/>
        <w:ind w:left="0" w:right="0"/>
        <w:jc w:val="both"/>
        <w:rPr>
          <w:rFonts w:hint="eastAsia" w:eastAsiaTheme="minorEastAsia"/>
          <w:lang w:eastAsia="zh-CN"/>
        </w:rPr>
      </w:pPr>
      <w:r>
        <w:rPr>
          <w:rFonts w:hint="default" w:ascii="Times New Roman Bold" w:hAnsi="Times New Roman Bold" w:eastAsia="宋体" w:cs="Times New Roman Bold"/>
          <w:b w:val="0"/>
          <w:bCs w:val="0"/>
          <w:sz w:val="21"/>
          <w:szCs w:val="21"/>
          <w:lang w:eastAsia="zh-Hans"/>
        </w:rPr>
        <w:t>Supplementary Figure S1</w:t>
      </w:r>
      <w:r>
        <w:rPr>
          <w:rFonts w:hint="eastAsia" w:ascii="Times New Roman Bold" w:hAnsi="Times New Roman Bold" w:eastAsia="宋体" w:cs="Times New Roman Bold"/>
          <w:b w:val="0"/>
          <w:bCs w:val="0"/>
          <w:sz w:val="21"/>
          <w:szCs w:val="21"/>
          <w:lang w:val="en-US" w:eastAsia="zh-CN"/>
        </w:rPr>
        <w:t>.</w:t>
      </w:r>
      <w:r>
        <w:rPr>
          <w:rFonts w:hint="eastAsia" w:ascii="Times New Roman Bold" w:hAnsi="Times New Roman Bold" w:eastAsia="宋体" w:cs="Times New Roman Bold"/>
          <w:b w:val="0"/>
          <w:bCs w:val="0"/>
          <w:sz w:val="18"/>
          <w:szCs w:val="18"/>
          <w:lang w:val="en-US" w:eastAsia="zh-CN"/>
        </w:rPr>
        <w:t>The estimated causal relationship between HPV (HPV-18 E7 protein) and squamous cell carcinoma (LUSC) is represented by the odds ratio (OR) and 95% confidence interval (CI). IVW: Inverse Variance Weighted.</w:t>
      </w:r>
    </w:p>
    <w:p>
      <w:pPr>
        <w:rPr>
          <w:rFonts w:hint="eastAsia" w:eastAsiaTheme="minorEastAsia"/>
          <w:lang w:eastAsia="zh-CN"/>
        </w:rPr>
      </w:pPr>
      <w:r>
        <w:rPr>
          <w:rFonts w:hint="eastAsia" w:eastAsiaTheme="minorEastAsia"/>
          <w:lang w:eastAsia="zh-CN"/>
        </w:rPr>
        <w:drawing>
          <wp:inline distT="0" distB="0" distL="114300" distR="114300">
            <wp:extent cx="5269230" cy="6652260"/>
            <wp:effectExtent l="0" t="0" r="7620" b="5715"/>
            <wp:docPr id="4" name="图片 4" descr="总肺癌-HPV16、18结果森林图_She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总肺癌-HPV16、18结果森林图_Sheet1"/>
                    <pic:cNvPicPr>
                      <a:picLocks noChangeAspect="1"/>
                    </pic:cNvPicPr>
                  </pic:nvPicPr>
                  <pic:blipFill>
                    <a:blip r:embed="rId5"/>
                    <a:stretch>
                      <a:fillRect/>
                    </a:stretch>
                  </pic:blipFill>
                  <pic:spPr>
                    <a:xfrm>
                      <a:off x="0" y="0"/>
                      <a:ext cx="5269230" cy="6652260"/>
                    </a:xfrm>
                    <a:prstGeom prst="rect">
                      <a:avLst/>
                    </a:prstGeom>
                  </pic:spPr>
                </pic:pic>
              </a:graphicData>
            </a:graphic>
          </wp:inline>
        </w:drawing>
      </w:r>
    </w:p>
    <w:p>
      <w:pPr>
        <w:rPr>
          <w:rFonts w:hint="eastAsia" w:ascii="Times New Roman" w:hAnsi="Times New Roman" w:eastAsia="宋体" w:cs="Times New Roman"/>
          <w:color w:val="212121"/>
          <w:kern w:val="2"/>
          <w:sz w:val="18"/>
          <w:szCs w:val="18"/>
          <w:shd w:val="clear" w:fill="FFFFFF"/>
          <w:lang w:val="en-US" w:eastAsia="zh-CN" w:bidi="ar"/>
        </w:rPr>
      </w:pPr>
      <w:r>
        <w:rPr>
          <w:rFonts w:hint="default" w:ascii="Times New Roman Bold" w:hAnsi="Times New Roman Bold" w:eastAsia="宋体" w:cs="Times New Roman Bold"/>
          <w:b w:val="0"/>
          <w:bCs w:val="0"/>
          <w:sz w:val="21"/>
          <w:szCs w:val="21"/>
          <w:lang w:eastAsia="zh-Hans"/>
        </w:rPr>
        <w:t>Supplementary Figure S</w:t>
      </w:r>
      <w:r>
        <w:rPr>
          <w:rFonts w:hint="eastAsia" w:ascii="Times New Roman Bold" w:hAnsi="Times New Roman Bold" w:eastAsia="宋体" w:cs="Times New Roman Bold"/>
          <w:b w:val="0"/>
          <w:bCs w:val="0"/>
          <w:sz w:val="21"/>
          <w:szCs w:val="21"/>
          <w:lang w:val="en-US" w:eastAsia="zh-CN"/>
        </w:rPr>
        <w:t>2.</w:t>
      </w:r>
      <w:r>
        <w:rPr>
          <w:rFonts w:hint="eastAsia" w:ascii="Times New Roman Bold" w:hAnsi="Times New Roman Bold" w:eastAsia="宋体" w:cs="Times New Roman Bold"/>
          <w:b w:val="0"/>
          <w:bCs w:val="0"/>
          <w:sz w:val="18"/>
          <w:szCs w:val="18"/>
          <w:lang w:val="en-US" w:eastAsia="zh-CN"/>
        </w:rPr>
        <w:t>The estimated causal relationship between lung cancer (LUCA) and its subtypes (squamous cell carcinoma (LUSC), adenocarcinoma (LUAD)) and HPV (HPV-16 E7 protein, HPV-18 E7 protein) is represented by the odds ratio (OR) and 95% confidence interval (CI). MR: Mendelian Randomization; IVW: Inverse Variance Weighted; LUCA, lung cancer; LUSC, squamous cell carcinoma; LUAD, adenocarcinoma.</w:t>
      </w:r>
    </w:p>
    <w:p>
      <w:pPr>
        <w:rPr>
          <w:rFonts w:hint="eastAsia" w:ascii="Times New Roman" w:hAnsi="Times New Roman" w:eastAsia="宋体" w:cs="Times New Roman"/>
          <w:color w:val="212121"/>
          <w:kern w:val="2"/>
          <w:sz w:val="18"/>
          <w:szCs w:val="18"/>
          <w:shd w:val="clear" w:fill="FFFFFF"/>
          <w:lang w:val="en-US" w:eastAsia="zh-CN" w:bidi="ar"/>
        </w:rPr>
      </w:pPr>
    </w:p>
    <w:p>
      <w:pPr>
        <w:rPr>
          <w:rFonts w:hint="eastAsia" w:ascii="Times New Roman" w:hAnsi="Times New Roman" w:eastAsia="宋体" w:cs="Times New Roman"/>
          <w:color w:val="212121"/>
          <w:kern w:val="2"/>
          <w:sz w:val="18"/>
          <w:szCs w:val="18"/>
          <w:shd w:val="clear" w:fill="FFFFFF"/>
          <w:lang w:val="en-US" w:eastAsia="zh-CN" w:bidi="ar"/>
        </w:rPr>
      </w:pPr>
      <w:r>
        <w:rPr>
          <w:rFonts w:hint="eastAsia" w:ascii="Times New Roman" w:hAnsi="Times New Roman" w:eastAsia="宋体" w:cs="Times New Roman"/>
          <w:color w:val="212121"/>
          <w:kern w:val="2"/>
          <w:sz w:val="18"/>
          <w:szCs w:val="18"/>
          <w:shd w:val="clear" w:fill="FFFFFF"/>
          <w:lang w:val="en-US" w:eastAsia="zh-CN" w:bidi="ar"/>
        </w:rPr>
        <w:drawing>
          <wp:inline distT="0" distB="0" distL="114300" distR="114300">
            <wp:extent cx="6347460" cy="3900805"/>
            <wp:effectExtent l="0" t="0" r="5715" b="4445"/>
            <wp:docPr id="7" name="图片 7" descr="反向散点图结果xlsx_Sheet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反向散点图结果xlsx_Sheet1(2)"/>
                    <pic:cNvPicPr>
                      <a:picLocks noChangeAspect="1"/>
                    </pic:cNvPicPr>
                  </pic:nvPicPr>
                  <pic:blipFill>
                    <a:blip r:embed="rId6"/>
                    <a:stretch>
                      <a:fillRect/>
                    </a:stretch>
                  </pic:blipFill>
                  <pic:spPr>
                    <a:xfrm>
                      <a:off x="0" y="0"/>
                      <a:ext cx="6347460" cy="3900805"/>
                    </a:xfrm>
                    <a:prstGeom prst="rect">
                      <a:avLst/>
                    </a:prstGeom>
                  </pic:spPr>
                </pic:pic>
              </a:graphicData>
            </a:graphic>
          </wp:inline>
        </w:drawing>
      </w:r>
    </w:p>
    <w:p>
      <w:pPr>
        <w:rPr>
          <w:rFonts w:hint="default" w:ascii="Cambria" w:hAnsi="Cambria" w:eastAsia="Cambria" w:cs="Cambria"/>
          <w:color w:val="333333"/>
          <w:kern w:val="2"/>
          <w:sz w:val="18"/>
          <w:szCs w:val="18"/>
          <w:shd w:val="clear" w:fill="FFFCF0"/>
          <w:lang w:val="en-US" w:eastAsia="zh-CN" w:bidi="ar"/>
        </w:rPr>
      </w:pPr>
      <w:r>
        <w:rPr>
          <w:rFonts w:hint="default" w:ascii="Times New Roman Bold" w:hAnsi="Times New Roman Bold" w:eastAsia="宋体" w:cs="Times New Roman Bold"/>
          <w:b w:val="0"/>
          <w:bCs w:val="0"/>
          <w:sz w:val="21"/>
          <w:szCs w:val="21"/>
          <w:lang w:eastAsia="zh-Hans"/>
        </w:rPr>
        <w:t>Supplementary Figure S</w:t>
      </w:r>
      <w:r>
        <w:rPr>
          <w:rFonts w:hint="eastAsia" w:ascii="Times New Roman Bold" w:hAnsi="Times New Roman Bold" w:eastAsia="宋体" w:cs="Times New Roman Bold"/>
          <w:b w:val="0"/>
          <w:bCs w:val="0"/>
          <w:sz w:val="21"/>
          <w:szCs w:val="21"/>
          <w:lang w:val="en-US" w:eastAsia="zh-CN"/>
        </w:rPr>
        <w:t>3.</w:t>
      </w:r>
      <w:r>
        <w:rPr>
          <w:rFonts w:hint="default" w:ascii="Cambria" w:hAnsi="Cambria" w:eastAsia="Cambria" w:cs="Cambria"/>
          <w:color w:val="333333"/>
          <w:kern w:val="2"/>
          <w:sz w:val="18"/>
          <w:szCs w:val="18"/>
          <w:shd w:val="clear" w:fill="FFFCF0"/>
          <w:lang w:val="en-US" w:eastAsia="zh-CN" w:bidi="ar"/>
        </w:rPr>
        <w:t xml:space="preserve"> </w:t>
      </w:r>
      <w:r>
        <w:rPr>
          <w:rFonts w:hint="default" w:ascii="Times New Roman" w:hAnsi="Times New Roman" w:eastAsia="Segoe UI" w:cs="Times New Roman"/>
          <w:i w:val="0"/>
          <w:iCs w:val="0"/>
          <w:caps w:val="0"/>
          <w:color w:val="374151"/>
          <w:spacing w:val="0"/>
          <w:sz w:val="18"/>
          <w:szCs w:val="18"/>
        </w:rPr>
        <w:t>Scatter plots depicting the causal relationships between lung cancer (LUCA) and its subtypes and HPV (HPV-16 E7 protein, HPV-18 E7 protein) using different Mendelian Randomization (MR) methods. (G) Causal estimation of lung cancer on HPV-16 E7 protein. (H) Causal estimation of lung cancer on HPV-18 E7 protein. (I) Causal estimation of squamous cell carcinoma on HPV-16 E7 protein. (J) Causal estimation of squamous cell carcinoma on HPV-18 E7 protein. (K) Causal estimation of adenocarcinoma on HPV-16 E7 protein. (L) Causal estimation of adenocarcinoma on HPV-18 E7 protein. The slope of each line corresponds to the causal estimation values for each method. Individual SNP effects on outcomes (dots and vertical lines) and their effects on exposure (dots and horizontal lines) are depicted in the background. LUCA, lung cancer; LUSC, squamous cell carcinoma; LUAD, adenocarcinoma.</w:t>
      </w:r>
    </w:p>
    <w:p>
      <w:pPr>
        <w:rPr>
          <w:rFonts w:hint="eastAsia" w:ascii="Times New Roman" w:hAnsi="Times New Roman" w:eastAsia="宋体" w:cs="Times New Roman"/>
          <w:color w:val="212121"/>
          <w:kern w:val="2"/>
          <w:sz w:val="18"/>
          <w:szCs w:val="18"/>
          <w:shd w:val="clear" w:fill="FFFFFF"/>
          <w:lang w:val="en-US" w:eastAsia="zh-CN" w:bidi="ar"/>
        </w:rPr>
      </w:pPr>
      <w:r>
        <w:rPr>
          <w:rFonts w:hint="eastAsia" w:ascii="Times New Roman" w:hAnsi="Times New Roman" w:eastAsia="宋体" w:cs="Times New Roman"/>
          <w:color w:val="212121"/>
          <w:kern w:val="2"/>
          <w:sz w:val="18"/>
          <w:szCs w:val="18"/>
          <w:shd w:val="clear" w:fill="FFFFFF"/>
          <w:lang w:val="en-US" w:eastAsia="zh-CN" w:bidi="ar"/>
        </w:rPr>
        <w:drawing>
          <wp:inline distT="0" distB="0" distL="114300" distR="114300">
            <wp:extent cx="6182360" cy="3808095"/>
            <wp:effectExtent l="0" t="0" r="8890" b="1905"/>
            <wp:docPr id="11" name="图片 11" descr="反向肺癌HPV漏斗图.png_She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反向肺癌HPV漏斗图.png_Sheet1"/>
                    <pic:cNvPicPr>
                      <a:picLocks noChangeAspect="1"/>
                    </pic:cNvPicPr>
                  </pic:nvPicPr>
                  <pic:blipFill>
                    <a:blip r:embed="rId7"/>
                    <a:stretch>
                      <a:fillRect/>
                    </a:stretch>
                  </pic:blipFill>
                  <pic:spPr>
                    <a:xfrm>
                      <a:off x="0" y="0"/>
                      <a:ext cx="6182360" cy="3808095"/>
                    </a:xfrm>
                    <a:prstGeom prst="rect">
                      <a:avLst/>
                    </a:prstGeom>
                  </pic:spPr>
                </pic:pic>
              </a:graphicData>
            </a:graphic>
          </wp:inline>
        </w:drawing>
      </w:r>
    </w:p>
    <w:p>
      <w:pPr>
        <w:keepNext w:val="0"/>
        <w:keepLines w:val="0"/>
        <w:widowControl/>
        <w:suppressLineNumbers w:val="0"/>
        <w:spacing w:before="0" w:beforeAutospacing="0" w:after="0" w:afterAutospacing="0" w:line="360" w:lineRule="auto"/>
        <w:ind w:left="0" w:right="0"/>
        <w:jc w:val="both"/>
        <w:rPr>
          <w:rFonts w:hint="eastAsia" w:ascii="宋体" w:hAnsi="宋体" w:eastAsia="宋体" w:cs="宋体"/>
          <w:color w:val="212121"/>
          <w:kern w:val="2"/>
          <w:sz w:val="18"/>
          <w:szCs w:val="18"/>
          <w:shd w:val="clear" w:fill="FFFFFF"/>
          <w:lang w:val="en-US" w:eastAsia="zh-CN" w:bidi="ar"/>
        </w:rPr>
      </w:pPr>
      <w:r>
        <w:rPr>
          <w:rFonts w:hint="default" w:ascii="Times New Roman Bold" w:hAnsi="Times New Roman Bold" w:eastAsia="宋体" w:cs="Times New Roman Bold"/>
          <w:b w:val="0"/>
          <w:bCs w:val="0"/>
          <w:sz w:val="21"/>
          <w:szCs w:val="21"/>
          <w:lang w:eastAsia="zh-Hans"/>
        </w:rPr>
        <w:t>Supplementary Figure S</w:t>
      </w:r>
      <w:r>
        <w:rPr>
          <w:rFonts w:hint="eastAsia" w:ascii="Times New Roman Bold" w:hAnsi="Times New Roman Bold" w:eastAsia="宋体" w:cs="Times New Roman Bold"/>
          <w:b w:val="0"/>
          <w:bCs w:val="0"/>
          <w:sz w:val="21"/>
          <w:szCs w:val="21"/>
          <w:lang w:val="en-US" w:eastAsia="zh-CN"/>
        </w:rPr>
        <w:t>4.</w:t>
      </w:r>
      <w:r>
        <w:rPr>
          <w:rFonts w:hint="default" w:ascii="Cambria" w:hAnsi="Cambria" w:eastAsia="Cambria" w:cs="Cambria"/>
          <w:color w:val="333333"/>
          <w:kern w:val="2"/>
          <w:sz w:val="18"/>
          <w:szCs w:val="18"/>
          <w:shd w:val="clear" w:fill="FFFCF0"/>
          <w:lang w:val="en-US" w:eastAsia="zh-CN" w:bidi="ar"/>
        </w:rPr>
        <w:t xml:space="preserve"> </w:t>
      </w:r>
      <w:r>
        <w:rPr>
          <w:rFonts w:hint="default" w:ascii="Times New Roman" w:hAnsi="Times New Roman" w:eastAsia="Segoe UI" w:cs="Times New Roman"/>
          <w:i w:val="0"/>
          <w:iCs w:val="0"/>
          <w:caps w:val="0"/>
          <w:color w:val="374151"/>
          <w:spacing w:val="0"/>
          <w:sz w:val="18"/>
          <w:szCs w:val="18"/>
        </w:rPr>
        <w:t>Funnel plots illustrating the overall heterogeneity in Mendelian Randomization (MR) estimates of the impact of lung cancer and its subtypes on HPV (HPV-16 E7 protein, HPV-18 E7 protein). (G) Funnel plot for the causal effect of lung cancer on HPV-16 E7 protein. (H) Funnel plot for the causal effect of lung cancer on HPV-18 E7 protein. (I) Funnel plot for the causal effect of squamous cell carcinoma on HPV-16 E7 protein. (J) Funnel plot for the causal effect of squamous cell carcinoma on HPV-18 E7 protein. (K) Funnel plot for the causal effect of adenocarcinoma on HPV-16 E7 protein. (L) Funnel plot for the causal effect of adenocarcinoma</w:t>
      </w:r>
      <w:r>
        <w:rPr>
          <w:rFonts w:hint="eastAsia" w:ascii="Times New Roman" w:hAnsi="Times New Roman" w:eastAsia="宋体" w:cs="Times New Roman"/>
          <w:i w:val="0"/>
          <w:iCs w:val="0"/>
          <w:caps w:val="0"/>
          <w:color w:val="374151"/>
          <w:spacing w:val="0"/>
          <w:sz w:val="18"/>
          <w:szCs w:val="18"/>
          <w:lang w:val="en-US" w:eastAsia="zh-CN"/>
        </w:rPr>
        <w:t xml:space="preserve"> </w:t>
      </w:r>
      <w:r>
        <w:rPr>
          <w:rFonts w:hint="default" w:ascii="Times New Roman" w:hAnsi="Times New Roman" w:eastAsia="Segoe UI" w:cs="Times New Roman"/>
          <w:i w:val="0"/>
          <w:iCs w:val="0"/>
          <w:caps w:val="0"/>
          <w:color w:val="374151"/>
          <w:spacing w:val="0"/>
          <w:sz w:val="18"/>
          <w:szCs w:val="18"/>
        </w:rPr>
        <w:t>on HPV-18 E7 protein. IVW, Inverse Variance Weighted.</w:t>
      </w:r>
      <w:r>
        <w:rPr>
          <w:rFonts w:hint="eastAsia" w:ascii="宋体" w:hAnsi="宋体" w:eastAsia="宋体" w:cs="宋体"/>
          <w:color w:val="212121"/>
          <w:kern w:val="2"/>
          <w:sz w:val="18"/>
          <w:szCs w:val="18"/>
          <w:shd w:val="clear" w:fill="FFFFFF"/>
          <w:lang w:val="en-US" w:eastAsia="zh-CN" w:bidi="ar"/>
        </w:rPr>
        <w:drawing>
          <wp:inline distT="0" distB="0" distL="114300" distR="114300">
            <wp:extent cx="6209030" cy="3888105"/>
            <wp:effectExtent l="0" t="0" r="1270" b="7620"/>
            <wp:docPr id="12" name="图片 12" descr="反向肺癌HPV留一法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反向肺癌HPV留一法分析"/>
                    <pic:cNvPicPr>
                      <a:picLocks noChangeAspect="1"/>
                    </pic:cNvPicPr>
                  </pic:nvPicPr>
                  <pic:blipFill>
                    <a:blip r:embed="rId8"/>
                    <a:stretch>
                      <a:fillRect/>
                    </a:stretch>
                  </pic:blipFill>
                  <pic:spPr>
                    <a:xfrm>
                      <a:off x="0" y="0"/>
                      <a:ext cx="6209030" cy="3888105"/>
                    </a:xfrm>
                    <a:prstGeom prst="rect">
                      <a:avLst/>
                    </a:prstGeom>
                  </pic:spPr>
                </pic:pic>
              </a:graphicData>
            </a:graphic>
          </wp:inline>
        </w:drawing>
      </w:r>
    </w:p>
    <w:p>
      <w:pPr>
        <w:keepNext w:val="0"/>
        <w:keepLines w:val="0"/>
        <w:widowControl/>
        <w:suppressLineNumbers w:val="0"/>
        <w:spacing w:before="0" w:beforeAutospacing="0" w:after="0" w:afterAutospacing="0" w:line="360" w:lineRule="auto"/>
        <w:ind w:left="0" w:right="0"/>
        <w:jc w:val="both"/>
        <w:rPr>
          <w:rFonts w:hint="eastAsia" w:ascii="宋体" w:hAnsi="宋体" w:eastAsia="宋体" w:cs="Times New Roman"/>
          <w:color w:val="212121"/>
          <w:kern w:val="2"/>
          <w:sz w:val="18"/>
          <w:szCs w:val="18"/>
          <w:shd w:val="clear" w:fill="FFFFFF"/>
          <w:lang w:val="en-US" w:eastAsia="zh-CN" w:bidi="ar"/>
        </w:rPr>
      </w:pPr>
      <w:r>
        <w:rPr>
          <w:rFonts w:hint="default" w:ascii="Times New Roman Bold" w:hAnsi="Times New Roman Bold" w:eastAsia="宋体" w:cs="Times New Roman Bold"/>
          <w:b w:val="0"/>
          <w:bCs w:val="0"/>
          <w:sz w:val="21"/>
          <w:szCs w:val="21"/>
          <w:lang w:eastAsia="zh-Hans"/>
        </w:rPr>
        <w:t>Supplementary Figure S</w:t>
      </w:r>
      <w:r>
        <w:rPr>
          <w:rFonts w:hint="eastAsia" w:ascii="Times New Roman Bold" w:hAnsi="Times New Roman Bold" w:eastAsia="宋体" w:cs="Times New Roman Bold"/>
          <w:b w:val="0"/>
          <w:bCs w:val="0"/>
          <w:sz w:val="21"/>
          <w:szCs w:val="21"/>
          <w:lang w:val="en-US" w:eastAsia="zh-CN"/>
        </w:rPr>
        <w:t>5.</w:t>
      </w:r>
      <w:r>
        <w:rPr>
          <w:rFonts w:hint="default" w:ascii="Cambria" w:hAnsi="Cambria" w:eastAsia="Cambria" w:cs="Cambria"/>
          <w:color w:val="333333"/>
          <w:kern w:val="2"/>
          <w:sz w:val="18"/>
          <w:szCs w:val="18"/>
          <w:shd w:val="clear" w:fill="FFFCF0"/>
          <w:lang w:val="en-US" w:eastAsia="zh-CN" w:bidi="ar"/>
        </w:rPr>
        <w:t xml:space="preserve"> </w:t>
      </w:r>
      <w:r>
        <w:rPr>
          <w:rFonts w:ascii="宋体" w:hAnsi="宋体" w:eastAsia="宋体" w:cs="宋体"/>
          <w:sz w:val="24"/>
          <w:szCs w:val="24"/>
        </w:rPr>
        <w:br w:type="textWrapping"/>
      </w:r>
      <w:r>
        <w:rPr>
          <w:rFonts w:hint="default" w:ascii="Times New Roman" w:hAnsi="Times New Roman" w:eastAsia="Segoe UI" w:cs="Times New Roman"/>
          <w:i w:val="0"/>
          <w:iCs w:val="0"/>
          <w:caps w:val="0"/>
          <w:color w:val="374151"/>
          <w:spacing w:val="0"/>
          <w:sz w:val="18"/>
          <w:szCs w:val="18"/>
        </w:rPr>
        <w:t>Leave-one-out analysis plots depicting the causal relationships between lung cancer (LUCA) and its subtypes with HPV (HPV-16 E7 protein, HPV-18 E7 protein). The red line represents the analysis result for the random-effects Inverse Variance Weighted (IVW) method. (G) Leave-one-out analysis for lung cancer and HPV-16 E7 protein. (H) Leave-one-out analysis for lung cancer and HPV-18 E7 protein. (I) Leave-one-out analysis for squamous cell carcinoma and HPV-16 E7 protein. (J) Leave-one-out analysis for squamous cell carcinoma and HPV-18 E7 protein. (K) Leave-one-out analysis for adenocarcinoma and HPV-16 E7 protein. (L) Leave-one-out analysis for adenocarcinoma and HPV-18 E7 protein. LUCA, lung cancer; LUSC, squamous cell carcinoma; LUAD, adenocarcinoma. IVW, Inverse Variance Weighted.</w:t>
      </w:r>
    </w:p>
    <w:p>
      <w:pPr>
        <w:keepNext w:val="0"/>
        <w:keepLines w:val="0"/>
        <w:widowControl/>
        <w:suppressLineNumbers w:val="0"/>
        <w:spacing w:before="0" w:beforeAutospacing="0" w:after="0" w:afterAutospacing="0" w:line="360" w:lineRule="auto"/>
        <w:ind w:left="0" w:right="0"/>
        <w:jc w:val="both"/>
        <w:rPr>
          <w:rFonts w:hint="eastAsia" w:ascii="宋体" w:hAnsi="宋体" w:eastAsia="宋体" w:cs="Times New Roman"/>
          <w:color w:val="212121"/>
          <w:kern w:val="2"/>
          <w:sz w:val="18"/>
          <w:szCs w:val="18"/>
          <w:shd w:val="clear" w:fill="FFFFFF"/>
          <w:lang w:val="en-US" w:eastAsia="zh-CN" w:bidi="ar"/>
        </w:rPr>
      </w:pPr>
      <w:r>
        <w:rPr>
          <w:rFonts w:hint="eastAsia" w:ascii="宋体" w:hAnsi="宋体" w:eastAsia="宋体" w:cs="Times New Roman"/>
          <w:color w:val="212121"/>
          <w:kern w:val="2"/>
          <w:sz w:val="18"/>
          <w:szCs w:val="18"/>
          <w:shd w:val="clear" w:fill="FFFFFF"/>
          <w:lang w:val="en-US" w:eastAsia="zh-CN" w:bidi="ar"/>
        </w:rPr>
        <w:drawing>
          <wp:inline distT="0" distB="0" distL="114300" distR="114300">
            <wp:extent cx="6096635" cy="3689985"/>
            <wp:effectExtent l="0" t="0" r="8890" b="5715"/>
            <wp:docPr id="14" name="图片 14" descr="反向个体效应森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反向个体效应森林图"/>
                    <pic:cNvPicPr>
                      <a:picLocks noChangeAspect="1"/>
                    </pic:cNvPicPr>
                  </pic:nvPicPr>
                  <pic:blipFill>
                    <a:blip r:embed="rId9"/>
                    <a:stretch>
                      <a:fillRect/>
                    </a:stretch>
                  </pic:blipFill>
                  <pic:spPr>
                    <a:xfrm>
                      <a:off x="0" y="0"/>
                      <a:ext cx="6096635" cy="3689985"/>
                    </a:xfrm>
                    <a:prstGeom prst="rect">
                      <a:avLst/>
                    </a:prstGeom>
                  </pic:spPr>
                </pic:pic>
              </a:graphicData>
            </a:graphic>
          </wp:inline>
        </w:drawing>
      </w:r>
    </w:p>
    <w:p>
      <w:pPr>
        <w:keepNext w:val="0"/>
        <w:keepLines w:val="0"/>
        <w:widowControl/>
        <w:suppressLineNumbers w:val="0"/>
        <w:spacing w:before="0" w:beforeAutospacing="0" w:after="0" w:afterAutospacing="0" w:line="360" w:lineRule="auto"/>
        <w:ind w:left="0" w:right="0"/>
        <w:jc w:val="both"/>
        <w:rPr>
          <w:rFonts w:hint="default" w:ascii="Times New Roman" w:hAnsi="Times New Roman" w:eastAsia="宋体" w:cs="Times New Roman"/>
          <w:color w:val="212121"/>
          <w:kern w:val="2"/>
          <w:sz w:val="18"/>
          <w:szCs w:val="18"/>
          <w:shd w:val="clear" w:fill="FFFFFF"/>
          <w:lang w:val="en-US" w:eastAsia="zh-CN" w:bidi="ar"/>
        </w:rPr>
      </w:pPr>
      <w:r>
        <w:rPr>
          <w:rFonts w:hint="default" w:ascii="Times New Roman Bold" w:hAnsi="Times New Roman Bold" w:eastAsia="宋体" w:cs="Times New Roman Bold"/>
          <w:b w:val="0"/>
          <w:bCs w:val="0"/>
          <w:sz w:val="21"/>
          <w:szCs w:val="21"/>
          <w:lang w:eastAsia="zh-Hans"/>
        </w:rPr>
        <w:t>Supplementary Figure S</w:t>
      </w:r>
      <w:r>
        <w:rPr>
          <w:rFonts w:hint="eastAsia" w:ascii="Times New Roman Bold" w:hAnsi="Times New Roman Bold" w:eastAsia="宋体" w:cs="Times New Roman Bold"/>
          <w:b w:val="0"/>
          <w:bCs w:val="0"/>
          <w:sz w:val="21"/>
          <w:szCs w:val="21"/>
          <w:lang w:val="en-US" w:eastAsia="zh-CN"/>
        </w:rPr>
        <w:t>6.</w:t>
      </w:r>
      <w:r>
        <w:rPr>
          <w:rFonts w:hint="default" w:ascii="Cambria" w:hAnsi="Cambria" w:eastAsia="Cambria" w:cs="Cambria"/>
          <w:color w:val="333333"/>
          <w:kern w:val="2"/>
          <w:sz w:val="18"/>
          <w:szCs w:val="18"/>
          <w:shd w:val="clear" w:fill="FFFCF0"/>
          <w:lang w:val="en-US" w:eastAsia="zh-CN" w:bidi="ar"/>
        </w:rPr>
        <w:t xml:space="preserve"> </w:t>
      </w:r>
      <w:r>
        <w:rPr>
          <w:rFonts w:hint="default" w:ascii="Times New Roman" w:hAnsi="Times New Roman" w:eastAsia="Segoe UI" w:cs="Times New Roman"/>
          <w:i w:val="0"/>
          <w:iCs w:val="0"/>
          <w:caps w:val="0"/>
          <w:color w:val="374151"/>
          <w:spacing w:val="0"/>
          <w:sz w:val="18"/>
          <w:szCs w:val="18"/>
        </w:rPr>
        <w:t>Forest plots illustrating the causal effects of lung cancer and its subtypes associated single nucleotide polymorphisms (SNPs) on HPV (HPV-16 E7 protein, HPV-18 E7 protein). (G) Forest plot for the causal effect of lung cancer on HPV-16 E7 protein. (H) Forest plot for the causal effect of lung cancer on HPV-18 E7 protein. (I) Forest plot for the causal effect of squamous cell carcinoma on HPV-16 E7 protein. (J) Forest plot for the causal effect of squamous cell carcinoma on HPV-18 E7 protein. (K) Forest plot for the causal effect of adenocarcinoma on HPV-16 E7 protein. (L) Forest plot for the causal effect of adenocarcinoma on HPV-18 E7 protein. LUCA, lung cancer; LUSC, squamous cell carcinoma; LUAD, adenocarcinoma.</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New Roman Bold">
    <w:altName w:val="Times New Roman"/>
    <w:panose1 w:val="02020803070505020304"/>
    <w:charset w:val="00"/>
    <w:family w:val="auto"/>
    <w:pitch w:val="default"/>
    <w:sig w:usb0="00000000" w:usb1="00000000" w:usb2="00000009" w:usb3="00000000" w:csb0="400001FF" w:csb1="FFFF0000"/>
  </w:font>
  <w:font w:name="Cambria">
    <w:panose1 w:val="02040503050406030204"/>
    <w:charset w:val="00"/>
    <w:family w:val="auto"/>
    <w:pitch w:val="default"/>
    <w:sig w:usb0="E00006FF" w:usb1="420024FF" w:usb2="02000000" w:usb3="00000000" w:csb0="2000019F" w:csb1="00000000"/>
  </w:font>
  <w:font w:name="Segoe UI">
    <w:panose1 w:val="020B0502040204020203"/>
    <w:charset w:val="00"/>
    <w:family w:val="auto"/>
    <w:pitch w:val="default"/>
    <w:sig w:usb0="E4002EFF" w:usb1="C000E47F" w:usb2="00000009" w:usb3="00000000" w:csb0="200001FF" w:csb1="00000000"/>
  </w:font>
  <w:font w:name="Cambria Math">
    <w:panose1 w:val="02040503050406030204"/>
    <w:charset w:val="00"/>
    <w:family w:val="auto"/>
    <w:pitch w:val="default"/>
    <w:sig w:usb0="E00006FF" w:usb1="420024FF" w:usb2="02000000" w:usb3="00000000" w:csb0="2000019F" w:csb1="00000000"/>
  </w:font>
  <w:font w:name="Bookshelf Symbol 7">
    <w:panose1 w:val="05010101010101010101"/>
    <w:charset w:val="00"/>
    <w:family w:val="auto"/>
    <w:pitch w:val="default"/>
    <w:sig w:usb0="00000000" w:usb1="00000000" w:usb2="00000000" w:usb3="00000000" w:csb0="80000000" w:csb1="00000000"/>
  </w:font>
  <w:font w:name="Blackadder ITC">
    <w:panose1 w:val="04020505051007020D02"/>
    <w:charset w:val="00"/>
    <w:family w:val="auto"/>
    <w:pitch w:val="default"/>
    <w:sig w:usb0="00000003" w:usb1="00000000" w:usb2="00000000" w:usb3="00000000" w:csb0="20000001" w:csb1="00000000"/>
  </w:font>
  <w:font w:name="Segoe UI Semibold">
    <w:panose1 w:val="020B0702040204020203"/>
    <w:charset w:val="00"/>
    <w:family w:val="auto"/>
    <w:pitch w:val="default"/>
    <w:sig w:usb0="E4002EFF" w:usb1="C000E47F" w:usb2="00000009" w:usb3="00000000" w:csb0="200001FF" w:csb1="00000000"/>
  </w:font>
  <w:font w:name="Rage Italic">
    <w:panose1 w:val="03070502040507070304"/>
    <w:charset w:val="00"/>
    <w:family w:val="auto"/>
    <w:pitch w:val="default"/>
    <w:sig w:usb0="00000003" w:usb1="00000000" w:usb2="00000000" w:usb3="00000000" w:csb0="20000001" w:csb1="00000000"/>
  </w:font>
  <w:font w:name="Poor Richard">
    <w:panose1 w:val="02080502050505020702"/>
    <w:charset w:val="00"/>
    <w:family w:val="auto"/>
    <w:pitch w:val="default"/>
    <w:sig w:usb0="00000003" w:usb1="00000000" w:usb2="00000000" w:usb3="00000000" w:csb0="20000001" w:csb1="00000000"/>
  </w:font>
  <w:font w:name="Modern No. 20">
    <w:panose1 w:val="02070704070505020303"/>
    <w:charset w:val="00"/>
    <w:family w:val="auto"/>
    <w:pitch w:val="default"/>
    <w:sig w:usb0="00000003" w:usb1="00000000" w:usb2="00000000" w:usb3="00000000" w:csb0="20000001" w:csb1="00000000"/>
  </w:font>
  <w:font w:name="Segoe Fluent Icons">
    <w:panose1 w:val="050A0102010101010101"/>
    <w:charset w:val="00"/>
    <w:family w:val="auto"/>
    <w:pitch w:val="default"/>
    <w:sig w:usb0="00000000" w:usb1="10000000" w:usb2="00000000" w:usb3="00000000" w:csb0="00000001" w:csb1="00000000"/>
  </w:font>
  <w:font w:name="Monotype Corsiva">
    <w:panose1 w:val="03010101010201010101"/>
    <w:charset w:val="00"/>
    <w:family w:val="auto"/>
    <w:pitch w:val="default"/>
    <w:sig w:usb0="00000287" w:usb1="00000000" w:usb2="00000000" w:usb3="00000000" w:csb0="2000009F" w:csb1="DFD70000"/>
  </w:font>
  <w:font w:name="Microsoft Sans Serif">
    <w:panose1 w:val="020B0604020202020204"/>
    <w:charset w:val="00"/>
    <w:family w:val="auto"/>
    <w:pitch w:val="default"/>
    <w:sig w:usb0="E5002EFF" w:usb1="C000605B" w:usb2="00000029" w:usb3="00000000" w:csb0="200101FF" w:csb1="20280000"/>
  </w:font>
  <w:font w:name="Lucida Fax">
    <w:panose1 w:val="02060602050505020204"/>
    <w:charset w:val="00"/>
    <w:family w:val="auto"/>
    <w:pitch w:val="default"/>
    <w:sig w:usb0="00000003" w:usb1="00000000" w:usb2="00000000" w:usb3="00000000" w:csb0="20000001" w:csb1="00000000"/>
  </w:font>
  <w:font w:name="Javanese Text">
    <w:panose1 w:val="02000000000000000000"/>
    <w:charset w:val="00"/>
    <w:family w:val="auto"/>
    <w:pitch w:val="default"/>
    <w:sig w:usb0="80000003" w:usb1="00002000" w:usb2="00000000" w:usb3="00000000" w:csb0="00000001" w:csb1="00000000"/>
  </w:font>
  <w:font w:name="Haettenschweiler">
    <w:panose1 w:val="020B0706040902060204"/>
    <w:charset w:val="00"/>
    <w:family w:val="auto"/>
    <w:pitch w:val="default"/>
    <w:sig w:usb0="00000287" w:usb1="00000000" w:usb2="00000000" w:usb3="00000000" w:csb0="2000009F" w:csb1="DFD70000"/>
  </w:font>
  <w:font w:name="Garamond">
    <w:panose1 w:val="02020404030301010803"/>
    <w:charset w:val="00"/>
    <w:family w:val="auto"/>
    <w:pitch w:val="default"/>
    <w:sig w:usb0="00000287" w:usb1="00000000" w:usb2="00000000" w:usb3="00000000" w:csb0="0000009F" w:csb1="DFD70000"/>
  </w:font>
  <w:font w:name="Forte">
    <w:panose1 w:val="03060902040502070203"/>
    <w:charset w:val="00"/>
    <w:family w:val="auto"/>
    <w:pitch w:val="default"/>
    <w:sig w:usb0="00000003" w:usb1="00000000" w:usb2="00000000" w:usb3="00000000" w:csb0="20000001" w:csb1="00000000"/>
  </w:font>
  <w:font w:name="Dubai Medium">
    <w:panose1 w:val="020B0603030403030204"/>
    <w:charset w:val="00"/>
    <w:family w:val="auto"/>
    <w:pitch w:val="default"/>
    <w:sig w:usb0="80002067" w:usb1="80000000" w:usb2="00000008" w:usb3="00000000" w:csb0="20000041" w:csb1="00000000"/>
  </w:font>
  <w:font w:name="Constantia">
    <w:panose1 w:val="02030602050306030303"/>
    <w:charset w:val="00"/>
    <w:family w:val="auto"/>
    <w:pitch w:val="default"/>
    <w:sig w:usb0="A00002EF" w:usb1="4000204B" w:usb2="00000000" w:usb3="00000000" w:csb0="2000019F" w:csb1="00000000"/>
  </w:font>
  <w:font w:name="Centaur">
    <w:panose1 w:val="02030504050205020304"/>
    <w:charset w:val="00"/>
    <w:family w:val="auto"/>
    <w:pitch w:val="default"/>
    <w:sig w:usb0="00000003"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Rockwell Condensed">
    <w:panose1 w:val="020606030504050201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45D275C1"/>
    <w:rsid w:val="07BB031E"/>
    <w:rsid w:val="086B70C1"/>
    <w:rsid w:val="0AEF5E7D"/>
    <w:rsid w:val="1A964C71"/>
    <w:rsid w:val="1DD957B9"/>
    <w:rsid w:val="3C8450B1"/>
    <w:rsid w:val="3F676D46"/>
    <w:rsid w:val="45D275C1"/>
    <w:rsid w:val="4CDD40CE"/>
    <w:rsid w:val="54884183"/>
    <w:rsid w:val="5E7C09F8"/>
    <w:rsid w:val="659C2241"/>
    <w:rsid w:val="68C71AA0"/>
    <w:rsid w:val="6FE941D9"/>
    <w:rsid w:val="762B02D6"/>
    <w:rsid w:val="792B0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2023-12-06T16:14:00Z</dcterms:created>
  <dc:creator>位斗蜒约闭</dc:creator>
  <cp:lastModifiedBy>20718</cp:lastModifiedBy>
  <dcterms:modified xsi:type="dcterms:W3CDTF">2023-12-19T11:58:16Z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7968C398D4B2498E9933E81BCA43109F_11</vt:lpwstr>
  </property>
</Properties>
</file>