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2D720" w14:textId="77777777" w:rsidR="00B656C8" w:rsidRPr="0035167D" w:rsidRDefault="00B656C8" w:rsidP="00B656C8">
      <w:pPr>
        <w:tabs>
          <w:tab w:val="left" w:pos="2865"/>
        </w:tabs>
        <w:spacing w:line="480" w:lineRule="auto"/>
        <w:rPr>
          <w:rFonts w:cs="Arial"/>
          <w:b/>
          <w:color w:val="000000"/>
          <w:sz w:val="22"/>
          <w:szCs w:val="22"/>
        </w:rPr>
      </w:pPr>
      <w:r w:rsidRPr="0035167D">
        <w:rPr>
          <w:rFonts w:cs="Arial"/>
          <w:b/>
          <w:color w:val="000000"/>
          <w:sz w:val="22"/>
          <w:szCs w:val="22"/>
        </w:rPr>
        <w:t xml:space="preserve">Appendix </w:t>
      </w:r>
    </w:p>
    <w:p w14:paraId="4253C483" w14:textId="77777777" w:rsidR="00B656C8" w:rsidRPr="0035167D" w:rsidRDefault="00B656C8" w:rsidP="00B656C8">
      <w:pPr>
        <w:tabs>
          <w:tab w:val="left" w:pos="2865"/>
        </w:tabs>
        <w:spacing w:line="480" w:lineRule="auto"/>
        <w:rPr>
          <w:rFonts w:cs="Arial"/>
          <w:color w:val="000000"/>
          <w:sz w:val="22"/>
          <w:szCs w:val="22"/>
        </w:rPr>
      </w:pPr>
      <w:r w:rsidRPr="0035167D">
        <w:rPr>
          <w:rFonts w:cs="Arial"/>
          <w:color w:val="000000"/>
          <w:sz w:val="22"/>
          <w:szCs w:val="22"/>
        </w:rPr>
        <w:t>An example of a causal tree according to the PRISMA-medical method</w:t>
      </w:r>
    </w:p>
    <w:p w14:paraId="22A69FEC" w14:textId="77777777" w:rsidR="00B656C8" w:rsidRPr="0035167D" w:rsidRDefault="00B656C8" w:rsidP="00B656C8">
      <w:pPr>
        <w:keepNext/>
        <w:tabs>
          <w:tab w:val="left" w:pos="2865"/>
        </w:tabs>
        <w:spacing w:line="480" w:lineRule="auto"/>
      </w:pPr>
      <w:r w:rsidRPr="0035167D">
        <w:rPr>
          <w:rFonts w:cs="Arial"/>
          <w:noProof/>
          <w:color w:val="000000"/>
          <w:sz w:val="22"/>
          <w:szCs w:val="22"/>
          <w:lang w:val="nl-NL"/>
        </w:rPr>
        <w:drawing>
          <wp:inline distT="0" distB="0" distL="0" distR="0" wp14:anchorId="1D70E922" wp14:editId="05EA6AB9">
            <wp:extent cx="6504305" cy="2933065"/>
            <wp:effectExtent l="0" t="0" r="0" b="635"/>
            <wp:docPr id="1" name="Picture 1" descr="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293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1DB67" w14:textId="77777777" w:rsidR="00B656C8" w:rsidRDefault="00B656C8" w:rsidP="00B656C8">
      <w:pPr>
        <w:pStyle w:val="Caption"/>
        <w:rPr>
          <w:b w:val="0"/>
          <w:i/>
        </w:rPr>
      </w:pPr>
      <w:r w:rsidRPr="0035167D">
        <w:rPr>
          <w:b w:val="0"/>
          <w:i/>
        </w:rPr>
        <w:t xml:space="preserve">Figure A: An example of a causal tree according to the </w:t>
      </w:r>
      <w:r>
        <w:rPr>
          <w:b w:val="0"/>
          <w:i/>
        </w:rPr>
        <w:t>Prevention and Recovery Information System for Monitoring and Analysis (</w:t>
      </w:r>
      <w:r w:rsidRPr="0035167D">
        <w:rPr>
          <w:b w:val="0"/>
          <w:i/>
        </w:rPr>
        <w:t>PRISMA</w:t>
      </w:r>
      <w:r>
        <w:rPr>
          <w:b w:val="0"/>
          <w:i/>
        </w:rPr>
        <w:t xml:space="preserve">) </w:t>
      </w:r>
      <w:r w:rsidRPr="0035167D">
        <w:rPr>
          <w:b w:val="0"/>
          <w:i/>
        </w:rPr>
        <w:t>-medical method</w:t>
      </w:r>
      <w:r>
        <w:rPr>
          <w:b w:val="0"/>
          <w:i/>
        </w:rPr>
        <w:t xml:space="preserve">. </w:t>
      </w:r>
    </w:p>
    <w:p w14:paraId="785AE0DF" w14:textId="77777777" w:rsidR="00B656C8" w:rsidRPr="00055AC1" w:rsidRDefault="00B656C8" w:rsidP="00B656C8">
      <w:pPr>
        <w:pStyle w:val="Caption"/>
        <w:rPr>
          <w:b w:val="0"/>
          <w:i/>
        </w:rPr>
      </w:pPr>
      <w:r>
        <w:rPr>
          <w:b w:val="0"/>
          <w:i/>
        </w:rPr>
        <w:t xml:space="preserve">ICU= intensive care unit. </w:t>
      </w:r>
      <w:r w:rsidRPr="00055AC1">
        <w:rPr>
          <w:b w:val="0"/>
          <w:i/>
        </w:rPr>
        <w:t>DRF= disease related factor. PRF= patient related factor. HRI=human related factor.</w:t>
      </w:r>
      <w:r w:rsidRPr="00055AC1">
        <w:rPr>
          <w:rFonts w:cs="Arial"/>
          <w:b w:val="0"/>
          <w:color w:val="000000"/>
          <w:sz w:val="22"/>
          <w:szCs w:val="22"/>
        </w:rPr>
        <w:t xml:space="preserve"> </w:t>
      </w:r>
    </w:p>
    <w:p w14:paraId="5171BEED" w14:textId="77777777" w:rsidR="00B656C8" w:rsidRPr="0035167D" w:rsidRDefault="00B656C8" w:rsidP="00B656C8">
      <w:pPr>
        <w:tabs>
          <w:tab w:val="left" w:pos="2865"/>
        </w:tabs>
        <w:spacing w:line="480" w:lineRule="auto"/>
        <w:rPr>
          <w:rFonts w:cs="Arial"/>
          <w:color w:val="000000"/>
          <w:sz w:val="22"/>
          <w:szCs w:val="22"/>
        </w:rPr>
      </w:pPr>
    </w:p>
    <w:p w14:paraId="13B663F1" w14:textId="77777777" w:rsidR="00B656C8" w:rsidRPr="0035167D" w:rsidRDefault="00B656C8" w:rsidP="00B656C8">
      <w:pPr>
        <w:tabs>
          <w:tab w:val="left" w:pos="2865"/>
        </w:tabs>
        <w:spacing w:line="480" w:lineRule="auto"/>
        <w:rPr>
          <w:rFonts w:cs="Arial"/>
          <w:color w:val="000000"/>
          <w:sz w:val="22"/>
          <w:szCs w:val="22"/>
        </w:rPr>
      </w:pPr>
      <w:r w:rsidRPr="0035167D">
        <w:rPr>
          <w:rFonts w:cs="Arial"/>
          <w:color w:val="000000"/>
          <w:sz w:val="22"/>
          <w:szCs w:val="22"/>
        </w:rPr>
        <w:t xml:space="preserve">Definitions of the Eindhoven classification model with examples. 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699"/>
        <w:gridCol w:w="1542"/>
        <w:gridCol w:w="721"/>
        <w:gridCol w:w="2763"/>
        <w:gridCol w:w="2625"/>
      </w:tblGrid>
      <w:tr w:rsidR="00B656C8" w:rsidRPr="0035167D" w14:paraId="37E13450" w14:textId="77777777" w:rsidTr="00A14DC9">
        <w:tc>
          <w:tcPr>
            <w:tcW w:w="10246" w:type="dxa"/>
            <w:gridSpan w:val="5"/>
            <w:shd w:val="clear" w:color="auto" w:fill="auto"/>
          </w:tcPr>
          <w:p w14:paraId="5724BFDC" w14:textId="77777777" w:rsidR="00B656C8" w:rsidRPr="0045595F" w:rsidRDefault="00B656C8" w:rsidP="00A14DC9">
            <w:pPr>
              <w:rPr>
                <w:rFonts w:ascii="Segoe UI" w:eastAsia="Calibri" w:hAnsi="Segoe UI" w:cs="Segoe UI"/>
                <w:b/>
                <w:bCs/>
                <w:sz w:val="22"/>
                <w:szCs w:val="22"/>
              </w:rPr>
            </w:pPr>
            <w:r w:rsidRPr="0045595F">
              <w:rPr>
                <w:b/>
                <w:sz w:val="22"/>
                <w:szCs w:val="22"/>
              </w:rPr>
              <w:t>Definitions of the Eindhoven classification model with examples</w:t>
            </w:r>
          </w:p>
        </w:tc>
      </w:tr>
      <w:tr w:rsidR="00B656C8" w:rsidRPr="0035167D" w14:paraId="0684FE50" w14:textId="77777777" w:rsidTr="00A14DC9">
        <w:tc>
          <w:tcPr>
            <w:tcW w:w="1720" w:type="dxa"/>
            <w:shd w:val="clear" w:color="auto" w:fill="auto"/>
            <w:hideMark/>
          </w:tcPr>
          <w:p w14:paraId="55A0AF49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  <w:t>Main category</w:t>
            </w:r>
          </w:p>
        </w:tc>
        <w:tc>
          <w:tcPr>
            <w:tcW w:w="1595" w:type="dxa"/>
            <w:shd w:val="clear" w:color="auto" w:fill="auto"/>
            <w:hideMark/>
          </w:tcPr>
          <w:p w14:paraId="107175A3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  <w:t>Subcategory</w:t>
            </w:r>
          </w:p>
        </w:tc>
        <w:tc>
          <w:tcPr>
            <w:tcW w:w="721" w:type="dxa"/>
            <w:shd w:val="clear" w:color="auto" w:fill="auto"/>
            <w:hideMark/>
          </w:tcPr>
          <w:p w14:paraId="6BBABA31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  <w:t xml:space="preserve">Code </w:t>
            </w:r>
          </w:p>
        </w:tc>
        <w:tc>
          <w:tcPr>
            <w:tcW w:w="2936" w:type="dxa"/>
            <w:shd w:val="clear" w:color="auto" w:fill="auto"/>
            <w:hideMark/>
          </w:tcPr>
          <w:p w14:paraId="7585CAAE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  <w:t xml:space="preserve">Definition </w:t>
            </w:r>
          </w:p>
        </w:tc>
        <w:tc>
          <w:tcPr>
            <w:tcW w:w="3274" w:type="dxa"/>
            <w:shd w:val="clear" w:color="auto" w:fill="auto"/>
            <w:hideMark/>
          </w:tcPr>
          <w:p w14:paraId="28BD702C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  <w:t xml:space="preserve">Example </w:t>
            </w:r>
          </w:p>
        </w:tc>
      </w:tr>
      <w:tr w:rsidR="00B656C8" w:rsidRPr="0035167D" w14:paraId="290ED06C" w14:textId="77777777" w:rsidTr="00A14DC9">
        <w:tc>
          <w:tcPr>
            <w:tcW w:w="1720" w:type="dxa"/>
            <w:hideMark/>
          </w:tcPr>
          <w:p w14:paraId="371CEAA0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  <w:t xml:space="preserve">Technical </w:t>
            </w:r>
          </w:p>
        </w:tc>
        <w:tc>
          <w:tcPr>
            <w:tcW w:w="1595" w:type="dxa"/>
            <w:hideMark/>
          </w:tcPr>
          <w:p w14:paraId="6B61D25D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External </w:t>
            </w:r>
          </w:p>
        </w:tc>
        <w:tc>
          <w:tcPr>
            <w:tcW w:w="721" w:type="dxa"/>
            <w:hideMark/>
          </w:tcPr>
          <w:p w14:paraId="22D03C9D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T-ex </w:t>
            </w:r>
          </w:p>
        </w:tc>
        <w:tc>
          <w:tcPr>
            <w:tcW w:w="2936" w:type="dxa"/>
            <w:hideMark/>
          </w:tcPr>
          <w:p w14:paraId="29B20C35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Technical failures beyond the control of the organization.</w:t>
            </w:r>
          </w:p>
        </w:tc>
        <w:tc>
          <w:tcPr>
            <w:tcW w:w="3274" w:type="dxa"/>
          </w:tcPr>
          <w:p w14:paraId="2E8B176F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-Vacuum wound pump was not working</w:t>
            </w:r>
          </w:p>
        </w:tc>
      </w:tr>
      <w:tr w:rsidR="00B656C8" w:rsidRPr="0035167D" w14:paraId="389E9D72" w14:textId="77777777" w:rsidTr="00A14DC9">
        <w:tc>
          <w:tcPr>
            <w:tcW w:w="1720" w:type="dxa"/>
          </w:tcPr>
          <w:p w14:paraId="385E8392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1CEA44B1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Design</w:t>
            </w:r>
          </w:p>
        </w:tc>
        <w:tc>
          <w:tcPr>
            <w:tcW w:w="721" w:type="dxa"/>
            <w:hideMark/>
          </w:tcPr>
          <w:p w14:paraId="625A0D2B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TD</w:t>
            </w:r>
          </w:p>
        </w:tc>
        <w:tc>
          <w:tcPr>
            <w:tcW w:w="2936" w:type="dxa"/>
            <w:hideMark/>
          </w:tcPr>
          <w:p w14:paraId="33B826C7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Failures to poor design of equipment etc. </w:t>
            </w:r>
          </w:p>
        </w:tc>
        <w:tc>
          <w:tcPr>
            <w:tcW w:w="3274" w:type="dxa"/>
          </w:tcPr>
          <w:p w14:paraId="3AB4794F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</w:p>
        </w:tc>
      </w:tr>
      <w:tr w:rsidR="00B656C8" w:rsidRPr="0035167D" w14:paraId="25C2420B" w14:textId="77777777" w:rsidTr="00A14DC9">
        <w:tc>
          <w:tcPr>
            <w:tcW w:w="1720" w:type="dxa"/>
          </w:tcPr>
          <w:p w14:paraId="380AFEC6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18DCBC09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Construction </w:t>
            </w:r>
          </w:p>
        </w:tc>
        <w:tc>
          <w:tcPr>
            <w:tcW w:w="721" w:type="dxa"/>
            <w:hideMark/>
          </w:tcPr>
          <w:p w14:paraId="67267165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TC</w:t>
            </w:r>
          </w:p>
        </w:tc>
        <w:tc>
          <w:tcPr>
            <w:tcW w:w="2936" w:type="dxa"/>
            <w:hideMark/>
          </w:tcPr>
          <w:p w14:paraId="48D91E83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Correct design inappropriately constructed or placed. </w:t>
            </w:r>
          </w:p>
        </w:tc>
        <w:tc>
          <w:tcPr>
            <w:tcW w:w="3274" w:type="dxa"/>
          </w:tcPr>
          <w:p w14:paraId="4C7453DE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</w:p>
        </w:tc>
      </w:tr>
      <w:tr w:rsidR="00B656C8" w:rsidRPr="0035167D" w14:paraId="4C77DA59" w14:textId="77777777" w:rsidTr="00A14DC9">
        <w:tc>
          <w:tcPr>
            <w:tcW w:w="1720" w:type="dxa"/>
          </w:tcPr>
          <w:p w14:paraId="286C6408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61465E0C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Materials </w:t>
            </w:r>
          </w:p>
        </w:tc>
        <w:tc>
          <w:tcPr>
            <w:tcW w:w="721" w:type="dxa"/>
            <w:hideMark/>
          </w:tcPr>
          <w:p w14:paraId="6392D5B6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TM</w:t>
            </w:r>
          </w:p>
        </w:tc>
        <w:tc>
          <w:tcPr>
            <w:tcW w:w="2936" w:type="dxa"/>
            <w:hideMark/>
          </w:tcPr>
          <w:p w14:paraId="131DA1C7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Material defects not classified under TD or TC. </w:t>
            </w:r>
          </w:p>
        </w:tc>
        <w:tc>
          <w:tcPr>
            <w:tcW w:w="3274" w:type="dxa"/>
          </w:tcPr>
          <w:p w14:paraId="72D41007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-Stiches broke from the abdominal drain</w:t>
            </w:r>
          </w:p>
        </w:tc>
      </w:tr>
      <w:tr w:rsidR="00B656C8" w:rsidRPr="0035167D" w14:paraId="535E7D28" w14:textId="77777777" w:rsidTr="00A14DC9">
        <w:tc>
          <w:tcPr>
            <w:tcW w:w="1720" w:type="dxa"/>
            <w:hideMark/>
          </w:tcPr>
          <w:p w14:paraId="2D006146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  <w:t xml:space="preserve">Organizational </w:t>
            </w:r>
          </w:p>
        </w:tc>
        <w:tc>
          <w:tcPr>
            <w:tcW w:w="1595" w:type="dxa"/>
            <w:hideMark/>
          </w:tcPr>
          <w:p w14:paraId="02A08536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External </w:t>
            </w:r>
          </w:p>
        </w:tc>
        <w:tc>
          <w:tcPr>
            <w:tcW w:w="721" w:type="dxa"/>
            <w:hideMark/>
          </w:tcPr>
          <w:p w14:paraId="632326BB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O-ex</w:t>
            </w:r>
          </w:p>
        </w:tc>
        <w:tc>
          <w:tcPr>
            <w:tcW w:w="2936" w:type="dxa"/>
            <w:hideMark/>
          </w:tcPr>
          <w:p w14:paraId="5691C407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Failures at an organizational level beyond the control and responsibility of the investigating team. </w:t>
            </w:r>
          </w:p>
        </w:tc>
        <w:tc>
          <w:tcPr>
            <w:tcW w:w="3274" w:type="dxa"/>
          </w:tcPr>
          <w:p w14:paraId="311A2732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</w:p>
        </w:tc>
      </w:tr>
      <w:tr w:rsidR="00B656C8" w:rsidRPr="0035167D" w14:paraId="78FD677F" w14:textId="77777777" w:rsidTr="00A14DC9">
        <w:tc>
          <w:tcPr>
            <w:tcW w:w="1720" w:type="dxa"/>
          </w:tcPr>
          <w:p w14:paraId="6AF4591F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3B0BE230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Transfer of knowledge </w:t>
            </w:r>
          </w:p>
        </w:tc>
        <w:tc>
          <w:tcPr>
            <w:tcW w:w="721" w:type="dxa"/>
            <w:hideMark/>
          </w:tcPr>
          <w:p w14:paraId="51F122E1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OK</w:t>
            </w:r>
          </w:p>
        </w:tc>
        <w:tc>
          <w:tcPr>
            <w:tcW w:w="2936" w:type="dxa"/>
            <w:hideMark/>
          </w:tcPr>
          <w:p w14:paraId="2AD3EA9B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 resulting from inadequate measures to train or supervise new or inexperienced staff. </w:t>
            </w:r>
          </w:p>
        </w:tc>
        <w:tc>
          <w:tcPr>
            <w:tcW w:w="3274" w:type="dxa"/>
          </w:tcPr>
          <w:p w14:paraId="1EDC001F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</w:p>
        </w:tc>
      </w:tr>
      <w:tr w:rsidR="00B656C8" w:rsidRPr="0035167D" w14:paraId="4873F880" w14:textId="77777777" w:rsidTr="00A14DC9">
        <w:tc>
          <w:tcPr>
            <w:tcW w:w="1720" w:type="dxa"/>
          </w:tcPr>
          <w:p w14:paraId="2C7862DB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21753ECE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Protocols </w:t>
            </w:r>
          </w:p>
        </w:tc>
        <w:tc>
          <w:tcPr>
            <w:tcW w:w="721" w:type="dxa"/>
            <w:hideMark/>
          </w:tcPr>
          <w:p w14:paraId="29F7371C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OP</w:t>
            </w:r>
          </w:p>
        </w:tc>
        <w:tc>
          <w:tcPr>
            <w:tcW w:w="2936" w:type="dxa"/>
            <w:hideMark/>
          </w:tcPr>
          <w:p w14:paraId="0C09F196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Failures relating to the quality or availability of appropriate protocols. </w:t>
            </w:r>
          </w:p>
        </w:tc>
        <w:tc>
          <w:tcPr>
            <w:tcW w:w="3274" w:type="dxa"/>
            <w:hideMark/>
          </w:tcPr>
          <w:p w14:paraId="7485B4BF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-Not following pain treatment protocol after surgery </w:t>
            </w:r>
          </w:p>
        </w:tc>
      </w:tr>
      <w:tr w:rsidR="00B656C8" w:rsidRPr="0035167D" w14:paraId="53EC3E0A" w14:textId="77777777" w:rsidTr="00A14DC9">
        <w:tc>
          <w:tcPr>
            <w:tcW w:w="1720" w:type="dxa"/>
          </w:tcPr>
          <w:p w14:paraId="24111CBF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3F88817C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Management priorities </w:t>
            </w:r>
          </w:p>
        </w:tc>
        <w:tc>
          <w:tcPr>
            <w:tcW w:w="721" w:type="dxa"/>
            <w:hideMark/>
          </w:tcPr>
          <w:p w14:paraId="72DC516E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OM</w:t>
            </w:r>
          </w:p>
        </w:tc>
        <w:tc>
          <w:tcPr>
            <w:tcW w:w="2936" w:type="dxa"/>
            <w:hideMark/>
          </w:tcPr>
          <w:p w14:paraId="092CCB92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Internal management decisions which reduce focus on patient safety when faced with conflicting priorities. </w:t>
            </w:r>
          </w:p>
        </w:tc>
        <w:tc>
          <w:tcPr>
            <w:tcW w:w="3274" w:type="dxa"/>
            <w:hideMark/>
          </w:tcPr>
          <w:p w14:paraId="168A5504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-No bed available at ICU</w:t>
            </w:r>
          </w:p>
        </w:tc>
      </w:tr>
      <w:tr w:rsidR="00B656C8" w:rsidRPr="0035167D" w14:paraId="264845B3" w14:textId="77777777" w:rsidTr="00A14DC9">
        <w:tc>
          <w:tcPr>
            <w:tcW w:w="1720" w:type="dxa"/>
          </w:tcPr>
          <w:p w14:paraId="2914D954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1FE2413C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Culture </w:t>
            </w:r>
          </w:p>
        </w:tc>
        <w:tc>
          <w:tcPr>
            <w:tcW w:w="721" w:type="dxa"/>
            <w:hideMark/>
          </w:tcPr>
          <w:p w14:paraId="45ED6CD8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OC</w:t>
            </w:r>
          </w:p>
        </w:tc>
        <w:tc>
          <w:tcPr>
            <w:tcW w:w="2936" w:type="dxa"/>
            <w:hideMark/>
          </w:tcPr>
          <w:p w14:paraId="40757056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 due to attitude and approach of the treating organization. </w:t>
            </w:r>
          </w:p>
        </w:tc>
        <w:tc>
          <w:tcPr>
            <w:tcW w:w="3274" w:type="dxa"/>
            <w:hideMark/>
          </w:tcPr>
          <w:p w14:paraId="74637339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</w:p>
        </w:tc>
      </w:tr>
      <w:tr w:rsidR="00B656C8" w:rsidRPr="0035167D" w14:paraId="0746FED4" w14:textId="77777777" w:rsidTr="00A14DC9">
        <w:tc>
          <w:tcPr>
            <w:tcW w:w="1720" w:type="dxa"/>
            <w:hideMark/>
          </w:tcPr>
          <w:p w14:paraId="3DA69E66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  <w:t xml:space="preserve">Human </w:t>
            </w:r>
          </w:p>
        </w:tc>
        <w:tc>
          <w:tcPr>
            <w:tcW w:w="1595" w:type="dxa"/>
            <w:hideMark/>
          </w:tcPr>
          <w:p w14:paraId="3C1775A3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External </w:t>
            </w:r>
          </w:p>
        </w:tc>
        <w:tc>
          <w:tcPr>
            <w:tcW w:w="721" w:type="dxa"/>
            <w:hideMark/>
          </w:tcPr>
          <w:p w14:paraId="6B08CC19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H-ex </w:t>
            </w:r>
          </w:p>
        </w:tc>
        <w:tc>
          <w:tcPr>
            <w:tcW w:w="2936" w:type="dxa"/>
            <w:hideMark/>
          </w:tcPr>
          <w:p w14:paraId="4B8ACBC6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Human failures beyond the control of the organization/department </w:t>
            </w:r>
          </w:p>
        </w:tc>
        <w:tc>
          <w:tcPr>
            <w:tcW w:w="3274" w:type="dxa"/>
            <w:hideMark/>
          </w:tcPr>
          <w:p w14:paraId="26B84BF7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-Impassable jejunal feeding tube as a consequence of inadequate flushing by the homecare nurse</w:t>
            </w:r>
          </w:p>
        </w:tc>
      </w:tr>
      <w:tr w:rsidR="00B656C8" w:rsidRPr="0035167D" w14:paraId="79A77541" w14:textId="77777777" w:rsidTr="00A14DC9">
        <w:tc>
          <w:tcPr>
            <w:tcW w:w="1720" w:type="dxa"/>
          </w:tcPr>
          <w:p w14:paraId="49AAB20E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347D8EEA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Knowledge based behavior</w:t>
            </w:r>
          </w:p>
        </w:tc>
        <w:tc>
          <w:tcPr>
            <w:tcW w:w="721" w:type="dxa"/>
            <w:hideMark/>
          </w:tcPr>
          <w:p w14:paraId="4FE079F4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HKK</w:t>
            </w:r>
          </w:p>
        </w:tc>
        <w:tc>
          <w:tcPr>
            <w:tcW w:w="2936" w:type="dxa"/>
            <w:hideMark/>
          </w:tcPr>
          <w:p w14:paraId="71B36266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 of an individual to apply their knowledge to a new clinical situation </w:t>
            </w:r>
          </w:p>
        </w:tc>
        <w:tc>
          <w:tcPr>
            <w:tcW w:w="3274" w:type="dxa"/>
            <w:hideMark/>
          </w:tcPr>
          <w:p w14:paraId="09D2DE51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-Physician gave another order to supply fluid despite non-responsiveness of the patient in urine production and tension. </w:t>
            </w:r>
          </w:p>
        </w:tc>
      </w:tr>
      <w:tr w:rsidR="00B656C8" w:rsidRPr="0035167D" w14:paraId="10685B0E" w14:textId="77777777" w:rsidTr="00A14DC9">
        <w:tc>
          <w:tcPr>
            <w:tcW w:w="1720" w:type="dxa"/>
          </w:tcPr>
          <w:p w14:paraId="284A48C8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44D6F866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Qualifications </w:t>
            </w:r>
          </w:p>
        </w:tc>
        <w:tc>
          <w:tcPr>
            <w:tcW w:w="721" w:type="dxa"/>
            <w:hideMark/>
          </w:tcPr>
          <w:p w14:paraId="06042F6F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HRQ</w:t>
            </w:r>
          </w:p>
        </w:tc>
        <w:tc>
          <w:tcPr>
            <w:tcW w:w="2936" w:type="dxa"/>
            <w:hideMark/>
          </w:tcPr>
          <w:p w14:paraId="699C68A6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An inappropriately trained individual performing the clinical task </w:t>
            </w:r>
          </w:p>
        </w:tc>
        <w:tc>
          <w:tcPr>
            <w:tcW w:w="3274" w:type="dxa"/>
          </w:tcPr>
          <w:p w14:paraId="30679268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</w:p>
        </w:tc>
      </w:tr>
      <w:tr w:rsidR="00B656C8" w:rsidRPr="0035167D" w14:paraId="6360D9C1" w14:textId="77777777" w:rsidTr="00A14DC9">
        <w:tc>
          <w:tcPr>
            <w:tcW w:w="1720" w:type="dxa"/>
          </w:tcPr>
          <w:p w14:paraId="0E79CF34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720EAA52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Coordination </w:t>
            </w:r>
          </w:p>
        </w:tc>
        <w:tc>
          <w:tcPr>
            <w:tcW w:w="721" w:type="dxa"/>
            <w:hideMark/>
          </w:tcPr>
          <w:p w14:paraId="37A900FA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HRC</w:t>
            </w:r>
          </w:p>
        </w:tc>
        <w:tc>
          <w:tcPr>
            <w:tcW w:w="2936" w:type="dxa"/>
            <w:hideMark/>
          </w:tcPr>
          <w:p w14:paraId="699753F4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A lack of task co-ordination within the healthcare team </w:t>
            </w:r>
          </w:p>
        </w:tc>
        <w:tc>
          <w:tcPr>
            <w:tcW w:w="3274" w:type="dxa"/>
            <w:hideMark/>
          </w:tcPr>
          <w:p w14:paraId="6D7CAF60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</w:p>
        </w:tc>
      </w:tr>
      <w:tr w:rsidR="00B656C8" w:rsidRPr="0035167D" w14:paraId="7C61D8B8" w14:textId="77777777" w:rsidTr="00A14DC9">
        <w:tc>
          <w:tcPr>
            <w:tcW w:w="1720" w:type="dxa"/>
          </w:tcPr>
          <w:p w14:paraId="158E9FE7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1B990BC8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Verification </w:t>
            </w:r>
          </w:p>
        </w:tc>
        <w:tc>
          <w:tcPr>
            <w:tcW w:w="721" w:type="dxa"/>
            <w:hideMark/>
          </w:tcPr>
          <w:p w14:paraId="5965A73C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HRV</w:t>
            </w:r>
          </w:p>
        </w:tc>
        <w:tc>
          <w:tcPr>
            <w:tcW w:w="2936" w:type="dxa"/>
            <w:hideMark/>
          </w:tcPr>
          <w:p w14:paraId="2BCD8FC0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 to correctly check and assess the situation before performing interventions </w:t>
            </w:r>
          </w:p>
        </w:tc>
        <w:tc>
          <w:tcPr>
            <w:tcW w:w="3274" w:type="dxa"/>
            <w:hideMark/>
          </w:tcPr>
          <w:p w14:paraId="08108242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</w:p>
        </w:tc>
      </w:tr>
      <w:tr w:rsidR="00B656C8" w:rsidRPr="0035167D" w14:paraId="365079EE" w14:textId="77777777" w:rsidTr="00A14DC9">
        <w:tc>
          <w:tcPr>
            <w:tcW w:w="1720" w:type="dxa"/>
          </w:tcPr>
          <w:p w14:paraId="50C3F444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087EC46D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Intervention</w:t>
            </w:r>
          </w:p>
        </w:tc>
        <w:tc>
          <w:tcPr>
            <w:tcW w:w="721" w:type="dxa"/>
            <w:hideMark/>
          </w:tcPr>
          <w:p w14:paraId="02423669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HRI</w:t>
            </w:r>
          </w:p>
        </w:tc>
        <w:tc>
          <w:tcPr>
            <w:tcW w:w="2936" w:type="dxa"/>
            <w:hideMark/>
          </w:tcPr>
          <w:p w14:paraId="412DFF16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 resulting from faulty task planning or performance </w:t>
            </w:r>
          </w:p>
        </w:tc>
        <w:tc>
          <w:tcPr>
            <w:tcW w:w="3274" w:type="dxa"/>
            <w:hideMark/>
          </w:tcPr>
          <w:p w14:paraId="1C9FB787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-No prescribed anticoagulation by the ward doctor like advised by an</w:t>
            </w:r>
            <w:r>
              <w:rPr>
                <w:rFonts w:ascii="Segoe UI" w:eastAsia="Calibri" w:hAnsi="Segoe UI" w:cs="Segoe UI"/>
                <w:sz w:val="21"/>
                <w:szCs w:val="21"/>
              </w:rPr>
              <w:t>a</w:t>
            </w: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esthesiologist</w:t>
            </w:r>
          </w:p>
        </w:tc>
      </w:tr>
      <w:tr w:rsidR="00B656C8" w:rsidRPr="0035167D" w14:paraId="6BB5405B" w14:textId="77777777" w:rsidTr="00A14DC9">
        <w:tc>
          <w:tcPr>
            <w:tcW w:w="1720" w:type="dxa"/>
          </w:tcPr>
          <w:p w14:paraId="486268AA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02562D5C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Monitoring </w:t>
            </w:r>
          </w:p>
        </w:tc>
        <w:tc>
          <w:tcPr>
            <w:tcW w:w="721" w:type="dxa"/>
            <w:hideMark/>
          </w:tcPr>
          <w:p w14:paraId="3F16CF9B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HRM</w:t>
            </w:r>
          </w:p>
        </w:tc>
        <w:tc>
          <w:tcPr>
            <w:tcW w:w="2936" w:type="dxa"/>
            <w:hideMark/>
          </w:tcPr>
          <w:p w14:paraId="69273517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 to monitor the patient’s progress or condition </w:t>
            </w:r>
          </w:p>
        </w:tc>
        <w:tc>
          <w:tcPr>
            <w:tcW w:w="3274" w:type="dxa"/>
            <w:hideMark/>
          </w:tcPr>
          <w:p w14:paraId="202CA4A6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 </w:t>
            </w:r>
          </w:p>
        </w:tc>
      </w:tr>
      <w:tr w:rsidR="00B656C8" w:rsidRPr="0035167D" w14:paraId="2B964C2E" w14:textId="77777777" w:rsidTr="00A14DC9">
        <w:tc>
          <w:tcPr>
            <w:tcW w:w="1720" w:type="dxa"/>
          </w:tcPr>
          <w:p w14:paraId="2372CAE9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05DF1D32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Skills-based </w:t>
            </w:r>
          </w:p>
        </w:tc>
        <w:tc>
          <w:tcPr>
            <w:tcW w:w="721" w:type="dxa"/>
            <w:hideMark/>
          </w:tcPr>
          <w:p w14:paraId="5B6FC4C1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HSS</w:t>
            </w:r>
          </w:p>
        </w:tc>
        <w:tc>
          <w:tcPr>
            <w:tcW w:w="2936" w:type="dxa"/>
            <w:hideMark/>
          </w:tcPr>
          <w:p w14:paraId="69DC05CA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 in performance of highly developed skills </w:t>
            </w:r>
          </w:p>
        </w:tc>
        <w:tc>
          <w:tcPr>
            <w:tcW w:w="3274" w:type="dxa"/>
            <w:hideMark/>
          </w:tcPr>
          <w:p w14:paraId="38D702E1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-Luxation wound catheter  </w:t>
            </w:r>
          </w:p>
        </w:tc>
      </w:tr>
      <w:tr w:rsidR="00B656C8" w:rsidRPr="0035167D" w14:paraId="17758AE2" w14:textId="77777777" w:rsidTr="00A14DC9">
        <w:tc>
          <w:tcPr>
            <w:tcW w:w="1720" w:type="dxa"/>
            <w:hideMark/>
          </w:tcPr>
          <w:p w14:paraId="3FF53D67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  <w:lastRenderedPageBreak/>
              <w:t xml:space="preserve">Patient </w:t>
            </w:r>
          </w:p>
        </w:tc>
        <w:tc>
          <w:tcPr>
            <w:tcW w:w="1595" w:type="dxa"/>
            <w:hideMark/>
          </w:tcPr>
          <w:p w14:paraId="3E417734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Patient-related</w:t>
            </w:r>
          </w:p>
        </w:tc>
        <w:tc>
          <w:tcPr>
            <w:tcW w:w="721" w:type="dxa"/>
            <w:hideMark/>
          </w:tcPr>
          <w:p w14:paraId="7086D71C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PRF</w:t>
            </w:r>
          </w:p>
        </w:tc>
        <w:tc>
          <w:tcPr>
            <w:tcW w:w="2936" w:type="dxa"/>
            <w:hideMark/>
          </w:tcPr>
          <w:p w14:paraId="7FF74979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Failures related to patient characteristics or conditions, which are beyond the control of staff and influence clinical progress </w:t>
            </w:r>
          </w:p>
        </w:tc>
        <w:tc>
          <w:tcPr>
            <w:tcW w:w="3274" w:type="dxa"/>
            <w:hideMark/>
          </w:tcPr>
          <w:p w14:paraId="4CCAB459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-Patient did not take prescribed medication</w:t>
            </w:r>
          </w:p>
        </w:tc>
      </w:tr>
      <w:tr w:rsidR="00B656C8" w:rsidRPr="0035167D" w14:paraId="55B7268D" w14:textId="77777777" w:rsidTr="00A14DC9">
        <w:tc>
          <w:tcPr>
            <w:tcW w:w="1720" w:type="dxa"/>
          </w:tcPr>
          <w:p w14:paraId="135DBDB2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  <w:hideMark/>
          </w:tcPr>
          <w:p w14:paraId="0E4314FB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Disease-related </w:t>
            </w:r>
          </w:p>
        </w:tc>
        <w:tc>
          <w:tcPr>
            <w:tcW w:w="721" w:type="dxa"/>
            <w:hideMark/>
          </w:tcPr>
          <w:p w14:paraId="3E88A751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DRF</w:t>
            </w:r>
          </w:p>
        </w:tc>
        <w:tc>
          <w:tcPr>
            <w:tcW w:w="2936" w:type="dxa"/>
            <w:hideMark/>
          </w:tcPr>
          <w:p w14:paraId="1B87A8DE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Failures related to the natural progress of disease which are beyond control of patient, its carers and staff </w:t>
            </w:r>
          </w:p>
        </w:tc>
        <w:tc>
          <w:tcPr>
            <w:tcW w:w="3274" w:type="dxa"/>
            <w:hideMark/>
          </w:tcPr>
          <w:p w14:paraId="3E660957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-Inflammation of the skin near the insertion of the abdominal drain,</w:t>
            </w:r>
          </w:p>
          <w:p w14:paraId="6B812D63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-Biliary pancreatitis </w:t>
            </w:r>
          </w:p>
        </w:tc>
      </w:tr>
      <w:tr w:rsidR="00B656C8" w:rsidRPr="0035167D" w14:paraId="373C5184" w14:textId="77777777" w:rsidTr="00A14DC9">
        <w:tc>
          <w:tcPr>
            <w:tcW w:w="1720" w:type="dxa"/>
            <w:hideMark/>
          </w:tcPr>
          <w:p w14:paraId="6E4EC52A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  <w:t>X</w:t>
            </w:r>
          </w:p>
        </w:tc>
        <w:tc>
          <w:tcPr>
            <w:tcW w:w="1595" w:type="dxa"/>
            <w:hideMark/>
          </w:tcPr>
          <w:p w14:paraId="5EEEC335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Unclassifiable </w:t>
            </w:r>
          </w:p>
        </w:tc>
        <w:tc>
          <w:tcPr>
            <w:tcW w:w="721" w:type="dxa"/>
            <w:hideMark/>
          </w:tcPr>
          <w:p w14:paraId="08C3B847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X</w:t>
            </w:r>
          </w:p>
        </w:tc>
        <w:tc>
          <w:tcPr>
            <w:tcW w:w="2936" w:type="dxa"/>
            <w:hideMark/>
          </w:tcPr>
          <w:p w14:paraId="57811E1C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X </w:t>
            </w:r>
          </w:p>
        </w:tc>
        <w:tc>
          <w:tcPr>
            <w:tcW w:w="3274" w:type="dxa"/>
            <w:hideMark/>
          </w:tcPr>
          <w:p w14:paraId="0F6CF95B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-Origin of blood loss objectivated by the patient was not found</w:t>
            </w:r>
          </w:p>
          <w:p w14:paraId="62A6E216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</w:p>
        </w:tc>
      </w:tr>
      <w:tr w:rsidR="00B656C8" w:rsidRPr="0035167D" w14:paraId="615C78A5" w14:textId="77777777" w:rsidTr="00A14DC9">
        <w:tc>
          <w:tcPr>
            <w:tcW w:w="1720" w:type="dxa"/>
          </w:tcPr>
          <w:p w14:paraId="20100188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</w:tcPr>
          <w:p w14:paraId="21178A50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</w:p>
        </w:tc>
        <w:tc>
          <w:tcPr>
            <w:tcW w:w="721" w:type="dxa"/>
          </w:tcPr>
          <w:p w14:paraId="1F21D29E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X-nrc</w:t>
            </w:r>
          </w:p>
        </w:tc>
        <w:tc>
          <w:tcPr>
            <w:tcW w:w="2936" w:type="dxa"/>
          </w:tcPr>
          <w:p w14:paraId="6F99A9AC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This root cause has no relation with the initial surgery nor rehabilitation after the initial surgery</w:t>
            </w:r>
          </w:p>
        </w:tc>
        <w:tc>
          <w:tcPr>
            <w:tcW w:w="3274" w:type="dxa"/>
          </w:tcPr>
          <w:p w14:paraId="750F271D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-ER visit due to appendicitis or galstones</w:t>
            </w:r>
          </w:p>
        </w:tc>
      </w:tr>
      <w:tr w:rsidR="00B656C8" w:rsidRPr="0035167D" w14:paraId="067DA1C1" w14:textId="77777777" w:rsidTr="00A14DC9">
        <w:tc>
          <w:tcPr>
            <w:tcW w:w="1720" w:type="dxa"/>
          </w:tcPr>
          <w:p w14:paraId="338D4E8C" w14:textId="77777777" w:rsidR="00B656C8" w:rsidRPr="0035167D" w:rsidRDefault="00B656C8" w:rsidP="00A14DC9">
            <w:pPr>
              <w:rPr>
                <w:rFonts w:ascii="Segoe UI" w:eastAsia="Calibri" w:hAnsi="Segoe UI" w:cs="Segoe UI"/>
                <w:b/>
                <w:bCs/>
                <w:sz w:val="21"/>
                <w:szCs w:val="21"/>
              </w:rPr>
            </w:pPr>
          </w:p>
        </w:tc>
        <w:tc>
          <w:tcPr>
            <w:tcW w:w="1595" w:type="dxa"/>
          </w:tcPr>
          <w:p w14:paraId="4F0B2D52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</w:p>
        </w:tc>
        <w:tc>
          <w:tcPr>
            <w:tcW w:w="721" w:type="dxa"/>
          </w:tcPr>
          <w:p w14:paraId="7AD6822B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>X-FIP</w:t>
            </w:r>
          </w:p>
        </w:tc>
        <w:tc>
          <w:tcPr>
            <w:tcW w:w="2936" w:type="dxa"/>
          </w:tcPr>
          <w:p w14:paraId="124CB498" w14:textId="77777777" w:rsidR="00B656C8" w:rsidRPr="0035167D" w:rsidRDefault="00B656C8" w:rsidP="00A14DC9">
            <w:pPr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Failures related to the healthcare delivered by the </w:t>
            </w:r>
            <w:r w:rsidRPr="0035167D"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family caregiver </w:t>
            </w:r>
          </w:p>
        </w:tc>
        <w:tc>
          <w:tcPr>
            <w:tcW w:w="3274" w:type="dxa"/>
          </w:tcPr>
          <w:p w14:paraId="23B8E032" w14:textId="77777777" w:rsidR="00B656C8" w:rsidRPr="0035167D" w:rsidRDefault="00B656C8" w:rsidP="00A14DC9">
            <w:pPr>
              <w:keepNext/>
              <w:rPr>
                <w:rFonts w:ascii="Segoe UI" w:eastAsia="Calibri" w:hAnsi="Segoe UI" w:cs="Segoe UI"/>
                <w:sz w:val="21"/>
                <w:szCs w:val="21"/>
              </w:rPr>
            </w:pP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-Detoriation or infection of wounds as a consequence of inadequate healthcare provided by the </w:t>
            </w:r>
            <w:r w:rsidRPr="0035167D"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family caregiver </w:t>
            </w:r>
            <w:r w:rsidRPr="0035167D">
              <w:rPr>
                <w:rFonts w:ascii="Segoe UI" w:eastAsia="Calibri" w:hAnsi="Segoe UI" w:cs="Segoe UI"/>
                <w:sz w:val="21"/>
                <w:szCs w:val="21"/>
              </w:rPr>
              <w:t xml:space="preserve">. </w:t>
            </w:r>
          </w:p>
        </w:tc>
      </w:tr>
    </w:tbl>
    <w:p w14:paraId="1CB31673" w14:textId="77777777" w:rsidR="00B656C8" w:rsidRPr="0035167D" w:rsidRDefault="00B656C8" w:rsidP="00B656C8">
      <w:pPr>
        <w:tabs>
          <w:tab w:val="left" w:pos="2865"/>
        </w:tabs>
        <w:spacing w:line="480" w:lineRule="auto"/>
        <w:rPr>
          <w:rFonts w:cs="Arial"/>
          <w:i/>
          <w:color w:val="000000"/>
          <w:sz w:val="22"/>
          <w:szCs w:val="22"/>
        </w:rPr>
      </w:pPr>
      <w:r w:rsidRPr="0035167D">
        <w:rPr>
          <w:i/>
        </w:rPr>
        <w:t>Table A: Definitions of the Eindhoven classification model with examples</w:t>
      </w:r>
    </w:p>
    <w:p w14:paraId="78CD8E3E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6C8"/>
    <w:rsid w:val="000C30FD"/>
    <w:rsid w:val="000D4074"/>
    <w:rsid w:val="001E4B73"/>
    <w:rsid w:val="005314AC"/>
    <w:rsid w:val="009B53F0"/>
    <w:rsid w:val="00B6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72914"/>
  <w15:chartTrackingRefBased/>
  <w15:docId w15:val="{AB514824-3215-4DE9-BE9C-4213E59A9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6C8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val="en-GB" w:eastAsia="nl-N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B656C8"/>
    <w:rPr>
      <w:b/>
      <w:bCs/>
    </w:rPr>
  </w:style>
  <w:style w:type="table" w:styleId="TableGridLight">
    <w:name w:val="Grid Table Light"/>
    <w:basedOn w:val="TableNormal"/>
    <w:uiPriority w:val="40"/>
    <w:rsid w:val="00B656C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nl-NL" w:eastAsia="nl-NL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522</Words>
  <Characters>2982</Characters>
  <Application>Microsoft Office Word</Application>
  <DocSecurity>0</DocSecurity>
  <Lines>24</Lines>
  <Paragraphs>6</Paragraphs>
  <ScaleCrop>false</ScaleCrop>
  <Company>Springer Nature</Company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2024-03-01T18:09:00Z</dcterms:created>
  <dcterms:modified xsi:type="dcterms:W3CDTF">2024-03-01T18:09:00Z</dcterms:modified>
</cp:coreProperties>
</file>